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4C3D3">
      <w:pPr>
        <w:jc w:val="center"/>
        <w:rPr>
          <w:b/>
          <w:bCs/>
          <w:snapToGrid w:val="0"/>
          <w:color w:val="000000" w:themeColor="text1"/>
          <w:kern w:val="0"/>
          <w:sz w:val="44"/>
          <w:szCs w:val="44"/>
          <w:highlight w:val="none"/>
          <w14:textFill>
            <w14:solidFill>
              <w14:schemeClr w14:val="tx1"/>
            </w14:solidFill>
          </w14:textFill>
        </w:rPr>
      </w:pPr>
    </w:p>
    <w:p w14:paraId="6E4C06D8">
      <w:pPr>
        <w:jc w:val="center"/>
        <w:rPr>
          <w:b/>
          <w:bCs/>
          <w:snapToGrid w:val="0"/>
          <w:color w:val="000000" w:themeColor="text1"/>
          <w:kern w:val="0"/>
          <w:sz w:val="44"/>
          <w:szCs w:val="44"/>
          <w:highlight w:val="none"/>
          <w14:textFill>
            <w14:solidFill>
              <w14:schemeClr w14:val="tx1"/>
            </w14:solidFill>
          </w14:textFill>
        </w:rPr>
      </w:pPr>
      <w:r>
        <w:rPr>
          <w:rFonts w:hint="eastAsia"/>
          <w:b/>
          <w:bCs/>
          <w:snapToGrid w:val="0"/>
          <w:color w:val="000000" w:themeColor="text1"/>
          <w:kern w:val="0"/>
          <w:sz w:val="44"/>
          <w:szCs w:val="44"/>
          <w:highlight w:val="none"/>
          <w14:textFill>
            <w14:solidFill>
              <w14:schemeClr w14:val="tx1"/>
            </w14:solidFill>
          </w14:textFill>
        </w:rPr>
        <w:t>彩钢瓦屋顶修缮工程</w:t>
      </w:r>
    </w:p>
    <w:p w14:paraId="529E15D8">
      <w:pPr>
        <w:rPr>
          <w:b/>
          <w:bCs/>
          <w:snapToGrid w:val="0"/>
          <w:color w:val="000000" w:themeColor="text1"/>
          <w:kern w:val="0"/>
          <w:sz w:val="44"/>
          <w:szCs w:val="44"/>
          <w:highlight w:val="none"/>
          <w14:textFill>
            <w14:solidFill>
              <w14:schemeClr w14:val="tx1"/>
            </w14:solidFill>
          </w14:textFill>
        </w:rPr>
      </w:pPr>
    </w:p>
    <w:p w14:paraId="4C84E868">
      <w:pPr>
        <w:rPr>
          <w:b/>
          <w:bCs/>
          <w:snapToGrid w:val="0"/>
          <w:color w:val="000000" w:themeColor="text1"/>
          <w:kern w:val="0"/>
          <w:sz w:val="44"/>
          <w:szCs w:val="44"/>
          <w:highlight w:val="none"/>
          <w14:textFill>
            <w14:solidFill>
              <w14:schemeClr w14:val="tx1"/>
            </w14:solidFill>
          </w14:textFill>
        </w:rPr>
      </w:pPr>
    </w:p>
    <w:p w14:paraId="52F9E0B1">
      <w:pPr>
        <w:rPr>
          <w:b/>
          <w:bCs/>
          <w:snapToGrid w:val="0"/>
          <w:color w:val="000000" w:themeColor="text1"/>
          <w:kern w:val="0"/>
          <w:sz w:val="44"/>
          <w:szCs w:val="44"/>
          <w:highlight w:val="none"/>
          <w14:textFill>
            <w14:solidFill>
              <w14:schemeClr w14:val="tx1"/>
            </w14:solidFill>
          </w14:textFill>
        </w:rPr>
      </w:pPr>
    </w:p>
    <w:p w14:paraId="18114A95">
      <w:pPr>
        <w:pStyle w:val="2"/>
        <w:rPr>
          <w:b/>
          <w:bCs/>
          <w:snapToGrid w:val="0"/>
          <w:color w:val="000000" w:themeColor="text1"/>
          <w:kern w:val="0"/>
          <w:sz w:val="44"/>
          <w:szCs w:val="44"/>
          <w:highlight w:val="none"/>
          <w14:textFill>
            <w14:solidFill>
              <w14:schemeClr w14:val="tx1"/>
            </w14:solidFill>
          </w14:textFill>
        </w:rPr>
      </w:pPr>
    </w:p>
    <w:p w14:paraId="3AD5EC55">
      <w:pPr>
        <w:rPr>
          <w:highlight w:val="none"/>
        </w:rPr>
      </w:pPr>
    </w:p>
    <w:p w14:paraId="18521A45">
      <w:pPr>
        <w:rPr>
          <w:b/>
          <w:bCs/>
          <w:snapToGrid w:val="0"/>
          <w:color w:val="000000" w:themeColor="text1"/>
          <w:kern w:val="0"/>
          <w:sz w:val="44"/>
          <w:szCs w:val="44"/>
          <w:highlight w:val="none"/>
          <w14:textFill>
            <w14:solidFill>
              <w14:schemeClr w14:val="tx1"/>
            </w14:solidFill>
          </w14:textFill>
        </w:rPr>
      </w:pPr>
    </w:p>
    <w:p w14:paraId="6647C98C">
      <w:pPr>
        <w:jc w:val="center"/>
        <w:rPr>
          <w:color w:val="000000" w:themeColor="text1"/>
          <w:spacing w:val="60"/>
          <w:sz w:val="84"/>
          <w:szCs w:val="84"/>
          <w:highlight w:val="none"/>
          <w14:textFill>
            <w14:solidFill>
              <w14:schemeClr w14:val="tx1"/>
            </w14:solidFill>
          </w14:textFill>
        </w:rPr>
      </w:pPr>
      <w:r>
        <w:rPr>
          <w:rFonts w:hint="eastAsia" w:cs="黑体"/>
          <w:color w:val="000000" w:themeColor="text1"/>
          <w:spacing w:val="60"/>
          <w:sz w:val="84"/>
          <w:szCs w:val="84"/>
          <w:highlight w:val="none"/>
          <w14:textFill>
            <w14:solidFill>
              <w14:schemeClr w14:val="tx1"/>
            </w14:solidFill>
          </w14:textFill>
        </w:rPr>
        <w:t>招标文件</w:t>
      </w:r>
    </w:p>
    <w:p w14:paraId="2153FDB0">
      <w:pPr>
        <w:rPr>
          <w:b/>
          <w:bCs/>
          <w:color w:val="000000" w:themeColor="text1"/>
          <w:sz w:val="44"/>
          <w:szCs w:val="44"/>
          <w:highlight w:val="none"/>
          <w14:textFill>
            <w14:solidFill>
              <w14:schemeClr w14:val="tx1"/>
            </w14:solidFill>
          </w14:textFill>
        </w:rPr>
      </w:pPr>
    </w:p>
    <w:p w14:paraId="39C4D9FF">
      <w:pPr>
        <w:rPr>
          <w:b/>
          <w:bCs/>
          <w:snapToGrid w:val="0"/>
          <w:color w:val="000000" w:themeColor="text1"/>
          <w:kern w:val="0"/>
          <w:sz w:val="44"/>
          <w:szCs w:val="44"/>
          <w:highlight w:val="none"/>
          <w14:textFill>
            <w14:solidFill>
              <w14:schemeClr w14:val="tx1"/>
            </w14:solidFill>
          </w14:textFill>
        </w:rPr>
      </w:pPr>
    </w:p>
    <w:p w14:paraId="700B39C8">
      <w:pPr>
        <w:jc w:val="center"/>
        <w:rPr>
          <w:b/>
          <w:bCs/>
          <w:color w:val="000000" w:themeColor="text1"/>
          <w:sz w:val="44"/>
          <w:szCs w:val="44"/>
          <w:highlight w:val="none"/>
          <w14:textFill>
            <w14:solidFill>
              <w14:schemeClr w14:val="tx1"/>
            </w14:solidFill>
          </w14:textFill>
        </w:rPr>
      </w:pPr>
    </w:p>
    <w:p w14:paraId="50F44054">
      <w:pPr>
        <w:jc w:val="center"/>
        <w:rPr>
          <w:b/>
          <w:bCs/>
          <w:color w:val="000000" w:themeColor="text1"/>
          <w:sz w:val="44"/>
          <w:szCs w:val="44"/>
          <w:highlight w:val="none"/>
          <w14:textFill>
            <w14:solidFill>
              <w14:schemeClr w14:val="tx1"/>
            </w14:solidFill>
          </w14:textFill>
        </w:rPr>
      </w:pPr>
    </w:p>
    <w:p w14:paraId="30676C9C">
      <w:pPr>
        <w:rPr>
          <w:b/>
          <w:bCs/>
          <w:color w:val="000000" w:themeColor="text1"/>
          <w:sz w:val="44"/>
          <w:szCs w:val="44"/>
          <w:highlight w:val="none"/>
          <w14:textFill>
            <w14:solidFill>
              <w14:schemeClr w14:val="tx1"/>
            </w14:solidFill>
          </w14:textFill>
        </w:rPr>
      </w:pPr>
    </w:p>
    <w:p w14:paraId="2F16E2FB">
      <w:pPr>
        <w:rPr>
          <w:b/>
          <w:bCs/>
          <w:color w:val="000000" w:themeColor="text1"/>
          <w:sz w:val="44"/>
          <w:szCs w:val="44"/>
          <w:highlight w:val="none"/>
          <w14:textFill>
            <w14:solidFill>
              <w14:schemeClr w14:val="tx1"/>
            </w14:solidFill>
          </w14:textFill>
        </w:rPr>
      </w:pPr>
    </w:p>
    <w:p w14:paraId="193A33ED">
      <w:pPr>
        <w:rPr>
          <w:b/>
          <w:bCs/>
          <w:color w:val="000000" w:themeColor="text1"/>
          <w:sz w:val="44"/>
          <w:szCs w:val="44"/>
          <w:highlight w:val="none"/>
          <w14:textFill>
            <w14:solidFill>
              <w14:schemeClr w14:val="tx1"/>
            </w14:solidFill>
          </w14:textFill>
        </w:rPr>
      </w:pPr>
    </w:p>
    <w:p w14:paraId="73D9B729">
      <w:pPr>
        <w:pStyle w:val="2"/>
        <w:rPr>
          <w:b/>
          <w:bCs/>
          <w:color w:val="000000" w:themeColor="text1"/>
          <w:sz w:val="44"/>
          <w:szCs w:val="44"/>
          <w:highlight w:val="none"/>
          <w14:textFill>
            <w14:solidFill>
              <w14:schemeClr w14:val="tx1"/>
            </w14:solidFill>
          </w14:textFill>
        </w:rPr>
      </w:pPr>
    </w:p>
    <w:p w14:paraId="66A32A15">
      <w:pPr>
        <w:rPr>
          <w:highlight w:val="none"/>
        </w:rPr>
      </w:pPr>
    </w:p>
    <w:p w14:paraId="09ED4359">
      <w:pPr>
        <w:rPr>
          <w:b/>
          <w:bCs/>
          <w:color w:val="000000" w:themeColor="text1"/>
          <w:sz w:val="44"/>
          <w:szCs w:val="44"/>
          <w:highlight w:val="none"/>
          <w14:textFill>
            <w14:solidFill>
              <w14:schemeClr w14:val="tx1"/>
            </w14:solidFill>
          </w14:textFill>
        </w:rPr>
      </w:pPr>
    </w:p>
    <w:tbl>
      <w:tblPr>
        <w:tblStyle w:val="16"/>
        <w:tblW w:w="8830" w:type="dxa"/>
        <w:jc w:val="center"/>
        <w:tblLayout w:type="fixed"/>
        <w:tblCellMar>
          <w:top w:w="0" w:type="dxa"/>
          <w:left w:w="108" w:type="dxa"/>
          <w:bottom w:w="0" w:type="dxa"/>
          <w:right w:w="108" w:type="dxa"/>
        </w:tblCellMar>
      </w:tblPr>
      <w:tblGrid>
        <w:gridCol w:w="2011"/>
        <w:gridCol w:w="6819"/>
      </w:tblGrid>
      <w:tr w14:paraId="7ECF4B1E">
        <w:tblPrEx>
          <w:tblCellMar>
            <w:top w:w="0" w:type="dxa"/>
            <w:left w:w="108" w:type="dxa"/>
            <w:bottom w:w="0" w:type="dxa"/>
            <w:right w:w="108" w:type="dxa"/>
          </w:tblCellMar>
        </w:tblPrEx>
        <w:trPr>
          <w:trHeight w:val="566" w:hRule="atLeast"/>
          <w:jc w:val="center"/>
        </w:trPr>
        <w:tc>
          <w:tcPr>
            <w:tcW w:w="2011" w:type="dxa"/>
            <w:vAlign w:val="center"/>
          </w:tcPr>
          <w:p w14:paraId="6F5C4B9C">
            <w:pPr>
              <w:jc w:val="distribute"/>
              <w:rPr>
                <w:b/>
                <w:bCs/>
                <w:color w:val="000000" w:themeColor="text1"/>
                <w:kern w:val="0"/>
                <w:sz w:val="36"/>
                <w:szCs w:val="36"/>
                <w:highlight w:val="none"/>
                <w14:textFill>
                  <w14:solidFill>
                    <w14:schemeClr w14:val="tx1"/>
                  </w14:solidFill>
                </w14:textFill>
              </w:rPr>
            </w:pPr>
            <w:r>
              <w:rPr>
                <w:rFonts w:hint="eastAsia" w:cs="宋体"/>
                <w:b/>
                <w:bCs/>
                <w:color w:val="000000" w:themeColor="text1"/>
                <w:kern w:val="0"/>
                <w:sz w:val="36"/>
                <w:szCs w:val="36"/>
                <w:highlight w:val="none"/>
                <w14:textFill>
                  <w14:solidFill>
                    <w14:schemeClr w14:val="tx1"/>
                  </w14:solidFill>
                </w14:textFill>
              </w:rPr>
              <w:t>招标人：</w:t>
            </w:r>
          </w:p>
        </w:tc>
        <w:tc>
          <w:tcPr>
            <w:tcW w:w="6819" w:type="dxa"/>
            <w:vAlign w:val="center"/>
          </w:tcPr>
          <w:p w14:paraId="6FDECD29">
            <w:pPr>
              <w:jc w:val="distribute"/>
              <w:rPr>
                <w:b/>
                <w:bCs/>
                <w:color w:val="000000" w:themeColor="text1"/>
                <w:kern w:val="0"/>
                <w:sz w:val="32"/>
                <w:szCs w:val="32"/>
                <w:highlight w:val="none"/>
                <w14:textFill>
                  <w14:solidFill>
                    <w14:schemeClr w14:val="tx1"/>
                  </w14:solidFill>
                </w14:textFill>
              </w:rPr>
            </w:pPr>
            <w:r>
              <w:rPr>
                <w:rFonts w:hint="eastAsia" w:cs="宋体"/>
                <w:b/>
                <w:bCs/>
                <w:color w:val="000000" w:themeColor="text1"/>
                <w:kern w:val="0"/>
                <w:sz w:val="36"/>
                <w:szCs w:val="36"/>
                <w:highlight w:val="none"/>
                <w14:textFill>
                  <w14:solidFill>
                    <w14:schemeClr w14:val="tx1"/>
                  </w14:solidFill>
                </w14:textFill>
              </w:rPr>
              <w:t>南通市交通公共事业发展中心</w:t>
            </w:r>
          </w:p>
        </w:tc>
      </w:tr>
    </w:tbl>
    <w:p w14:paraId="3C4C049E">
      <w:pPr>
        <w:spacing w:before="120" w:beforeLines="50"/>
        <w:jc w:val="center"/>
        <w:rPr>
          <w:b/>
          <w:bCs/>
          <w:color w:val="000000" w:themeColor="text1"/>
          <w:spacing w:val="40"/>
          <w:sz w:val="36"/>
          <w:szCs w:val="36"/>
          <w:highlight w:val="none"/>
          <w14:textFill>
            <w14:solidFill>
              <w14:schemeClr w14:val="tx1"/>
            </w14:solidFill>
          </w14:textFill>
        </w:rPr>
      </w:pPr>
      <w:r>
        <w:rPr>
          <w:rFonts w:hint="eastAsia" w:cs="宋体"/>
          <w:b/>
          <w:bCs/>
          <w:color w:val="000000" w:themeColor="text1"/>
          <w:spacing w:val="40"/>
          <w:sz w:val="36"/>
          <w:szCs w:val="36"/>
          <w:highlight w:val="none"/>
          <w14:textFill>
            <w14:solidFill>
              <w14:schemeClr w14:val="tx1"/>
            </w14:solidFill>
          </w14:textFill>
        </w:rPr>
        <w:t>二〇二五年</w:t>
      </w:r>
      <w:r>
        <w:rPr>
          <w:rFonts w:hint="eastAsia" w:cs="宋体"/>
          <w:b/>
          <w:bCs/>
          <w:color w:val="000000" w:themeColor="text1"/>
          <w:spacing w:val="40"/>
          <w:sz w:val="36"/>
          <w:szCs w:val="36"/>
          <w:highlight w:val="none"/>
          <w:lang w:val="en-US" w:eastAsia="zh-CN"/>
          <w14:textFill>
            <w14:solidFill>
              <w14:schemeClr w14:val="tx1"/>
            </w14:solidFill>
          </w14:textFill>
        </w:rPr>
        <w:t>四</w:t>
      </w:r>
      <w:r>
        <w:rPr>
          <w:rFonts w:hint="eastAsia" w:cs="宋体"/>
          <w:b/>
          <w:bCs/>
          <w:color w:val="000000" w:themeColor="text1"/>
          <w:spacing w:val="40"/>
          <w:sz w:val="36"/>
          <w:szCs w:val="36"/>
          <w:highlight w:val="none"/>
          <w14:textFill>
            <w14:solidFill>
              <w14:schemeClr w14:val="tx1"/>
            </w14:solidFill>
          </w14:textFill>
        </w:rPr>
        <w:t>月</w:t>
      </w:r>
    </w:p>
    <w:p w14:paraId="18DA0C7A">
      <w:pPr>
        <w:pStyle w:val="3"/>
        <w:spacing w:before="0" w:after="0" w:line="360" w:lineRule="auto"/>
        <w:jc w:val="center"/>
        <w:rPr>
          <w:rFonts w:cs="黑体"/>
          <w:b w:val="0"/>
          <w:bCs w:val="0"/>
          <w:color w:val="000000" w:themeColor="text1"/>
          <w:highlight w:val="none"/>
          <w14:textFill>
            <w14:solidFill>
              <w14:schemeClr w14:val="tx1"/>
            </w14:solidFill>
          </w14:textFill>
        </w:rPr>
        <w:sectPr>
          <w:pgSz w:w="11920" w:h="16840"/>
          <w:pgMar w:top="1140" w:right="1247" w:bottom="1060" w:left="1247" w:header="884" w:footer="838" w:gutter="0"/>
          <w:cols w:space="720" w:num="1"/>
        </w:sectPr>
      </w:pPr>
      <w:bookmarkStart w:id="0" w:name="_Toc234675048"/>
      <w:bookmarkStart w:id="1" w:name="_Toc11427"/>
      <w:bookmarkStart w:id="2" w:name="_Toc234744417"/>
      <w:bookmarkStart w:id="3" w:name="_Toc155855594"/>
      <w:bookmarkStart w:id="4" w:name="_Toc238559171"/>
      <w:bookmarkStart w:id="5" w:name="_Toc11070"/>
      <w:bookmarkStart w:id="6" w:name="_Toc460366490"/>
      <w:bookmarkStart w:id="7" w:name="_Toc508615685"/>
      <w:bookmarkStart w:id="8" w:name="_Toc218933019"/>
      <w:bookmarkStart w:id="9" w:name="_Toc170618587"/>
      <w:bookmarkStart w:id="10" w:name="_Toc30496"/>
    </w:p>
    <w:bookmarkEnd w:id="0"/>
    <w:bookmarkEnd w:id="1"/>
    <w:bookmarkEnd w:id="2"/>
    <w:bookmarkEnd w:id="3"/>
    <w:bookmarkEnd w:id="4"/>
    <w:bookmarkEnd w:id="5"/>
    <w:bookmarkEnd w:id="6"/>
    <w:bookmarkEnd w:id="7"/>
    <w:bookmarkEnd w:id="8"/>
    <w:bookmarkEnd w:id="9"/>
    <w:bookmarkEnd w:id="10"/>
    <w:p w14:paraId="29DF4747">
      <w:pPr>
        <w:jc w:val="center"/>
        <w:rPr>
          <w:b/>
          <w:bCs/>
          <w:color w:val="000000" w:themeColor="text1"/>
          <w:sz w:val="32"/>
          <w:szCs w:val="32"/>
          <w:highlight w:val="none"/>
          <w14:textFill>
            <w14:solidFill>
              <w14:schemeClr w14:val="tx1"/>
            </w14:solidFill>
          </w14:textFill>
        </w:rPr>
      </w:pPr>
      <w:bookmarkStart w:id="11" w:name="_Toc179632544"/>
      <w:bookmarkStart w:id="12" w:name="_Toc238559183"/>
      <w:bookmarkStart w:id="13" w:name="_Toc152045527"/>
      <w:bookmarkStart w:id="14" w:name="_Toc460366495"/>
      <w:bookmarkStart w:id="15" w:name="_Toc152042303"/>
      <w:bookmarkStart w:id="16" w:name="_Toc9226"/>
      <w:bookmarkStart w:id="17" w:name="_Toc234744442"/>
      <w:bookmarkStart w:id="18" w:name="_Toc12183"/>
      <w:bookmarkStart w:id="19" w:name="_Toc25662"/>
      <w:bookmarkStart w:id="20" w:name="_Toc19318"/>
      <w:bookmarkStart w:id="21" w:name="_Toc144974495"/>
      <w:bookmarkStart w:id="22" w:name="_Toc234675074"/>
      <w:bookmarkStart w:id="23" w:name="_Toc508615691"/>
      <w:r>
        <w:rPr>
          <w:rFonts w:hint="eastAsia" w:cs="宋体"/>
          <w:b/>
          <w:bCs/>
          <w:color w:val="000000" w:themeColor="text1"/>
          <w:sz w:val="32"/>
          <w:szCs w:val="32"/>
          <w:highlight w:val="none"/>
          <w:lang w:val="en-US" w:eastAsia="zh-CN"/>
          <w14:textFill>
            <w14:solidFill>
              <w14:schemeClr w14:val="tx1"/>
            </w14:solidFill>
          </w14:textFill>
        </w:rPr>
        <w:t xml:space="preserve">第一章  </w:t>
      </w:r>
      <w:r>
        <w:rPr>
          <w:rFonts w:hint="eastAsia" w:cs="宋体"/>
          <w:b/>
          <w:bCs/>
          <w:color w:val="000000" w:themeColor="text1"/>
          <w:sz w:val="32"/>
          <w:szCs w:val="32"/>
          <w:highlight w:val="none"/>
          <w14:textFill>
            <w14:solidFill>
              <w14:schemeClr w14:val="tx1"/>
            </w14:solidFill>
          </w14:textFill>
        </w:rPr>
        <w:t>招标公告</w:t>
      </w:r>
    </w:p>
    <w:p w14:paraId="106AA3ED">
      <w:pPr>
        <w:jc w:val="center"/>
        <w:rPr>
          <w:rFonts w:cs="宋体"/>
          <w:b/>
          <w:bCs/>
          <w:color w:val="000000" w:themeColor="text1"/>
          <w:sz w:val="32"/>
          <w:szCs w:val="32"/>
          <w:highlight w:val="none"/>
          <w14:textFill>
            <w14:solidFill>
              <w14:schemeClr w14:val="tx1"/>
            </w14:solidFill>
          </w14:textFill>
        </w:rPr>
      </w:pPr>
      <w:r>
        <w:rPr>
          <w:rFonts w:hint="eastAsia" w:cs="宋体"/>
          <w:b/>
          <w:bCs/>
          <w:color w:val="000000" w:themeColor="text1"/>
          <w:sz w:val="32"/>
          <w:szCs w:val="32"/>
          <w:highlight w:val="none"/>
          <w14:textFill>
            <w14:solidFill>
              <w14:schemeClr w14:val="tx1"/>
            </w14:solidFill>
          </w14:textFill>
        </w:rPr>
        <w:t>彩钢瓦屋顶修缮工程</w:t>
      </w:r>
    </w:p>
    <w:p w14:paraId="73DA52FF">
      <w:pPr>
        <w:pStyle w:val="8"/>
        <w:topLinePunct/>
        <w:spacing w:line="360" w:lineRule="auto"/>
        <w:ind w:firstLine="48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1. 招标条件</w:t>
      </w:r>
    </w:p>
    <w:p w14:paraId="06764527">
      <w:pPr>
        <w:adjustRightInd w:val="0"/>
        <w:snapToGrid w:val="0"/>
        <w:spacing w:line="360" w:lineRule="auto"/>
        <w:ind w:firstLine="468" w:firstLineChars="200"/>
        <w:rPr>
          <w:rFonts w:ascii="宋体" w:hAnsi="宋体" w:cs="宋体"/>
          <w:color w:val="000000" w:themeColor="text1"/>
          <w:spacing w:val="27"/>
          <w:highlight w:val="none"/>
          <w14:textFill>
            <w14:solidFill>
              <w14:schemeClr w14:val="tx1"/>
            </w14:solidFill>
          </w14:textFill>
        </w:rPr>
      </w:pPr>
      <w:r>
        <w:rPr>
          <w:rFonts w:hint="eastAsia" w:ascii="宋体" w:hAnsi="宋体" w:cs="宋体"/>
          <w:color w:val="000000" w:themeColor="text1"/>
          <w:spacing w:val="12"/>
          <w:highlight w:val="none"/>
          <w14:textFill>
            <w14:solidFill>
              <w14:schemeClr w14:val="tx1"/>
            </w14:solidFill>
          </w14:textFill>
        </w:rPr>
        <w:t>本招标项目</w:t>
      </w:r>
      <w:r>
        <w:rPr>
          <w:rFonts w:hint="eastAsia" w:ascii="宋体" w:hAnsi="宋体" w:cs="宋体"/>
          <w:color w:val="000000" w:themeColor="text1"/>
          <w:spacing w:val="12"/>
          <w:highlight w:val="none"/>
          <w:u w:val="single"/>
          <w14:textFill>
            <w14:solidFill>
              <w14:schemeClr w14:val="tx1"/>
            </w14:solidFill>
          </w14:textFill>
        </w:rPr>
        <w:t>彩钢瓦屋顶修缮工程</w:t>
      </w:r>
      <w:r>
        <w:rPr>
          <w:rFonts w:hint="eastAsia" w:ascii="宋体" w:hAnsi="宋体" w:cs="宋体"/>
          <w:color w:val="000000" w:themeColor="text1"/>
          <w:spacing w:val="12"/>
          <w:highlight w:val="none"/>
          <w14:textFill>
            <w14:solidFill>
              <w14:schemeClr w14:val="tx1"/>
            </w14:solidFill>
          </w14:textFill>
        </w:rPr>
        <w:t>已</w:t>
      </w:r>
      <w:r>
        <w:rPr>
          <w:rFonts w:hint="eastAsia" w:ascii="宋体" w:hAnsi="宋体" w:cs="宋体"/>
          <w:color w:val="000000" w:themeColor="text1"/>
          <w:spacing w:val="27"/>
          <w:highlight w:val="none"/>
          <w14:textFill>
            <w14:solidFill>
              <w14:schemeClr w14:val="tx1"/>
            </w14:solidFill>
          </w14:textFill>
        </w:rPr>
        <w:t>批准建设，</w:t>
      </w:r>
      <w:r>
        <w:rPr>
          <w:rFonts w:hint="eastAsia" w:ascii="宋体" w:hAnsi="宋体" w:cs="宋体"/>
          <w:color w:val="000000" w:themeColor="text1"/>
          <w:spacing w:val="12"/>
          <w:highlight w:val="none"/>
          <w14:textFill>
            <w14:solidFill>
              <w14:schemeClr w14:val="tx1"/>
            </w14:solidFill>
          </w14:textFill>
        </w:rPr>
        <w:t>建设资金已落实</w:t>
      </w:r>
      <w:r>
        <w:rPr>
          <w:rFonts w:hint="eastAsia" w:ascii="宋体" w:hAnsi="宋体" w:cs="宋体"/>
          <w:color w:val="000000" w:themeColor="text1"/>
          <w:spacing w:val="-3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招标人为</w:t>
      </w:r>
      <w:r>
        <w:rPr>
          <w:rFonts w:hint="eastAsia" w:ascii="宋体" w:hAnsi="宋体" w:cs="宋体"/>
          <w:color w:val="000000" w:themeColor="text1"/>
          <w:highlight w:val="none"/>
          <w:u w:val="single"/>
          <w14:textFill>
            <w14:solidFill>
              <w14:schemeClr w14:val="tx1"/>
            </w14:solidFill>
          </w14:textFill>
        </w:rPr>
        <w:t>南通市交通公共事业发展中心</w:t>
      </w:r>
      <w:r>
        <w:rPr>
          <w:rFonts w:hint="eastAsia" w:ascii="宋体" w:hAnsi="宋体" w:cs="宋体"/>
          <w:color w:val="000000" w:themeColor="text1"/>
          <w:spacing w:val="-3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项目已具备招标条件</w:t>
      </w:r>
      <w:r>
        <w:rPr>
          <w:rFonts w:hint="eastAsia" w:ascii="宋体" w:hAnsi="宋体" w:cs="宋体"/>
          <w:color w:val="000000" w:themeColor="text1"/>
          <w:spacing w:val="-3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现对该项目的施工进行公开招标。</w:t>
      </w:r>
    </w:p>
    <w:p w14:paraId="0D656236">
      <w:pPr>
        <w:pStyle w:val="8"/>
        <w:topLinePunct/>
        <w:spacing w:line="360" w:lineRule="auto"/>
        <w:ind w:firstLine="48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2. 项目概况与招标范围</w:t>
      </w:r>
    </w:p>
    <w:p w14:paraId="70F549B4">
      <w:pPr>
        <w:adjustRightInd w:val="0"/>
        <w:snapToGrid w:val="0"/>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 项目概况：</w:t>
      </w:r>
    </w:p>
    <w:p w14:paraId="5EFCB6BF">
      <w:pPr>
        <w:snapToGrid w:val="0"/>
        <w:spacing w:line="312" w:lineRule="auto"/>
        <w:ind w:firstLine="420" w:firstLineChars="200"/>
        <w:rPr>
          <w:rFonts w:ascii="宋体" w:hAnsi="宋体" w:cs="宋体"/>
          <w:color w:val="000000"/>
          <w:highlight w:val="none"/>
        </w:rPr>
      </w:pPr>
      <w:r>
        <w:rPr>
          <w:rFonts w:hint="eastAsia" w:ascii="宋体" w:hAnsi="宋体" w:cs="宋体"/>
          <w:color w:val="000000"/>
          <w:highlight w:val="none"/>
        </w:rPr>
        <w:t>本项目位于南通市港闸区永和路1133号，屋顶彩钢瓦老化、锈蚀、变形，防水层破损渗漏，排水系统堵塞积水，附属设施（如采光板、天沟）损坏，现对彩钢瓦屋顶进行修缮，涉及屋顶面积约3000平方米，屋顶结构为轻钢结构框架+彩钢瓦，屋顶高度约10米。</w:t>
      </w:r>
    </w:p>
    <w:p w14:paraId="29513019">
      <w:pPr>
        <w:snapToGrid w:val="0"/>
        <w:spacing w:line="312" w:lineRule="auto"/>
        <w:ind w:firstLine="420" w:firstLineChars="200"/>
        <w:rPr>
          <w:rFonts w:ascii="宋体" w:hAnsi="宋体" w:cs="宋体"/>
          <w:color w:val="000000"/>
          <w:highlight w:val="none"/>
        </w:rPr>
      </w:pPr>
      <w:r>
        <w:rPr>
          <w:rFonts w:hint="eastAsia" w:ascii="宋体" w:hAnsi="宋体" w:cs="宋体"/>
          <w:color w:val="000000"/>
          <w:highlight w:val="none"/>
        </w:rPr>
        <w:t>建安费约10万元。</w:t>
      </w:r>
    </w:p>
    <w:p w14:paraId="32D8A695">
      <w:pPr>
        <w:adjustRightInd w:val="0"/>
        <w:snapToGrid w:val="0"/>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2.2.招标范围与工作内容：</w:t>
      </w:r>
    </w:p>
    <w:p w14:paraId="570D65EA">
      <w:pPr>
        <w:adjustRightInd w:val="0"/>
        <w:snapToGrid w:val="0"/>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highlight w:val="none"/>
        </w:rPr>
        <w:t>对上述彩钢瓦屋顶进行修缮，工作内容包括但不限于屋顶彩钢瓦表面锈蚀打磨、屋顶彩钢瓦表面清洁、屋顶彩钢瓦防锈底漆及面漆涂装、屋顶彩钢瓦修补、漏水点防水补漏、疏通排水系统堵塞积水、清理现场及垃圾清运等，</w:t>
      </w:r>
      <w:r>
        <w:rPr>
          <w:rFonts w:hint="eastAsia" w:ascii="宋体" w:hAnsi="宋体" w:cs="宋体"/>
          <w:color w:val="000000" w:themeColor="text1"/>
          <w:highlight w:val="none"/>
          <w14:textFill>
            <w14:solidFill>
              <w14:schemeClr w14:val="tx1"/>
            </w14:solidFill>
          </w14:textFill>
        </w:rPr>
        <w:t>具体内容详见工程量清单。</w:t>
      </w:r>
    </w:p>
    <w:p w14:paraId="221ECBE9">
      <w:pPr>
        <w:adjustRightInd w:val="0"/>
        <w:snapToGrid w:val="0"/>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计划工期：自开工令签发之日起25日历日内完成。 </w:t>
      </w:r>
    </w:p>
    <w:p w14:paraId="478749EC">
      <w:pPr>
        <w:adjustRightInd w:val="0"/>
        <w:snapToGrid w:val="0"/>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质量目标：合格。</w:t>
      </w:r>
    </w:p>
    <w:p w14:paraId="7578C5F1">
      <w:pPr>
        <w:adjustRightInd w:val="0"/>
        <w:snapToGrid w:val="0"/>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安全目标：安全生产无责任事故。</w:t>
      </w:r>
    </w:p>
    <w:p w14:paraId="7FEC5986">
      <w:pPr>
        <w:adjustRightInd w:val="0"/>
        <w:snapToGrid w:val="0"/>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缺陷责任期：</w:t>
      </w:r>
      <w:r>
        <w:rPr>
          <w:rFonts w:hint="eastAsia" w:ascii="宋体" w:hAnsi="宋体" w:cs="宋体"/>
          <w:highlight w:val="none"/>
        </w:rPr>
        <w:t>本工程缺陷责任期为</w:t>
      </w:r>
      <w:r>
        <w:rPr>
          <w:rFonts w:hint="eastAsia" w:ascii="宋体" w:hAnsi="宋体" w:cs="宋体"/>
          <w:color w:val="000000" w:themeColor="text1"/>
          <w:highlight w:val="none"/>
          <w14:textFill>
            <w14:solidFill>
              <w14:schemeClr w14:val="tx1"/>
            </w14:solidFill>
          </w14:textFill>
        </w:rPr>
        <w:t>24个月</w:t>
      </w:r>
      <w:r>
        <w:rPr>
          <w:rFonts w:hint="eastAsia" w:ascii="宋体" w:hAnsi="宋体" w:cs="宋体"/>
          <w:highlight w:val="none"/>
        </w:rPr>
        <w:t>（</w:t>
      </w:r>
      <w:r>
        <w:rPr>
          <w:rFonts w:hint="eastAsia" w:ascii="宋体" w:hAnsi="宋体" w:cs="宋体"/>
          <w:color w:val="000000" w:themeColor="text1"/>
          <w:highlight w:val="none"/>
          <w14:textFill>
            <w14:solidFill>
              <w14:schemeClr w14:val="tx1"/>
            </w14:solidFill>
          </w14:textFill>
        </w:rPr>
        <w:t>自</w:t>
      </w:r>
      <w:r>
        <w:rPr>
          <w:rFonts w:hint="eastAsia" w:ascii="宋体" w:hAnsi="宋体" w:cs="宋体"/>
          <w:highlight w:val="none"/>
        </w:rPr>
        <w:t>完工验收合格之日起计算）</w:t>
      </w:r>
      <w:r>
        <w:rPr>
          <w:rFonts w:hint="eastAsia" w:ascii="宋体" w:hAnsi="宋体" w:cs="宋体"/>
          <w:color w:val="000000" w:themeColor="text1"/>
          <w:highlight w:val="none"/>
          <w14:textFill>
            <w14:solidFill>
              <w14:schemeClr w14:val="tx1"/>
            </w14:solidFill>
          </w14:textFill>
        </w:rPr>
        <w:t>。</w:t>
      </w:r>
    </w:p>
    <w:p w14:paraId="24350225">
      <w:pPr>
        <w:pStyle w:val="8"/>
        <w:topLinePunct/>
        <w:spacing w:line="360" w:lineRule="auto"/>
        <w:ind w:firstLine="48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3. 投标人资格要求</w:t>
      </w:r>
    </w:p>
    <w:p w14:paraId="5B5201E1">
      <w:pPr>
        <w:adjustRightInd w:val="0"/>
        <w:snapToGrid w:val="0"/>
        <w:spacing w:line="360" w:lineRule="auto"/>
        <w:ind w:firstLine="420" w:firstLineChars="200"/>
        <w:jc w:val="left"/>
        <w:rPr>
          <w:rFonts w:ascii="宋体" w:hAnsi="宋体" w:cs="宋体"/>
          <w:color w:val="000000" w:themeColor="text1"/>
          <w:highlight w:val="none"/>
          <w14:textFill>
            <w14:solidFill>
              <w14:schemeClr w14:val="tx1"/>
            </w14:solidFill>
          </w14:textFill>
        </w:rPr>
      </w:pPr>
      <w:bookmarkStart w:id="24" w:name="_Hlk44357884"/>
      <w:r>
        <w:rPr>
          <w:rFonts w:hint="eastAsia" w:ascii="宋体" w:hAnsi="宋体" w:cs="宋体"/>
          <w:color w:val="000000" w:themeColor="text1"/>
          <w:highlight w:val="none"/>
          <w14:textFill>
            <w14:solidFill>
              <w14:schemeClr w14:val="tx1"/>
            </w14:solidFill>
          </w14:textFill>
        </w:rPr>
        <w:t>3.1投标人应具备的承担本次招标项目的资质条件、能力和信誉要求为：</w:t>
      </w:r>
    </w:p>
    <w:p w14:paraId="210BD0D6">
      <w:pPr>
        <w:adjustRightInd w:val="0"/>
        <w:snapToGrid w:val="0"/>
        <w:spacing w:line="360" w:lineRule="auto"/>
        <w:ind w:firstLine="420" w:firstLineChars="200"/>
        <w:jc w:val="left"/>
        <w:rPr>
          <w:rFonts w:ascii="宋体" w:hAnsi="宋体" w:cs="宋体"/>
          <w:color w:val="000000" w:themeColor="text1"/>
          <w:highlight w:val="none"/>
          <w14:textFill>
            <w14:solidFill>
              <w14:schemeClr w14:val="tx1"/>
            </w14:solidFill>
          </w14:textFill>
        </w:rPr>
      </w:pPr>
      <w:bookmarkStart w:id="25" w:name="_Hlk164876052"/>
      <w:r>
        <w:rPr>
          <w:rFonts w:hint="eastAsia" w:ascii="宋体" w:hAnsi="宋体" w:cs="宋体"/>
          <w:color w:val="000000" w:themeColor="text1"/>
          <w:highlight w:val="none"/>
          <w14:textFill>
            <w14:solidFill>
              <w14:schemeClr w14:val="tx1"/>
            </w14:solidFill>
          </w14:textFill>
        </w:rPr>
        <w:t>(1)</w:t>
      </w:r>
      <w:bookmarkStart w:id="26" w:name="_Hlk164875946"/>
      <w:r>
        <w:rPr>
          <w:rFonts w:hint="eastAsia" w:ascii="宋体" w:hAnsi="宋体" w:cs="宋体"/>
          <w:color w:val="000000" w:themeColor="text1"/>
          <w:highlight w:val="none"/>
          <w14:textFill>
            <w14:solidFill>
              <w14:schemeClr w14:val="tx1"/>
            </w14:solidFill>
          </w14:textFill>
        </w:rPr>
        <w:t>资质条件：投标人应具建设行政主管部门颁发的建筑工程施工总承包叁级及以上资质，并具有有效的省级（或以上）建设行政主管部门核发的《安全生产许可证》</w:t>
      </w:r>
      <w:bookmarkEnd w:id="26"/>
      <w:r>
        <w:rPr>
          <w:rFonts w:hint="eastAsia" w:ascii="宋体" w:hAnsi="宋体" w:cs="宋体"/>
          <w:color w:val="000000" w:themeColor="text1"/>
          <w:highlight w:val="none"/>
          <w14:textFill>
            <w14:solidFill>
              <w14:schemeClr w14:val="tx1"/>
            </w14:solidFill>
          </w14:textFill>
        </w:rPr>
        <w:t>；</w:t>
      </w:r>
    </w:p>
    <w:p w14:paraId="56CEB8BA">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(2)项目经理资格：</w:t>
      </w:r>
    </w:p>
    <w:p w14:paraId="0F294602">
      <w:pPr>
        <w:adjustRightInd w:val="0"/>
        <w:snapToGrid w:val="0"/>
        <w:spacing w:line="360" w:lineRule="auto"/>
        <w:ind w:firstLine="420" w:firstLineChars="200"/>
        <w:jc w:val="left"/>
        <w:rPr>
          <w:rFonts w:ascii="宋体" w:hAnsi="宋体" w:cs="宋体"/>
          <w:color w:val="000000" w:themeColor="text1"/>
          <w:highlight w:val="none"/>
          <w14:textFill>
            <w14:solidFill>
              <w14:schemeClr w14:val="tx1"/>
            </w14:solidFill>
          </w14:textFill>
        </w:rPr>
      </w:pPr>
      <w:bookmarkStart w:id="27" w:name="_Hlk164876335"/>
      <w:r>
        <w:rPr>
          <w:rFonts w:hint="eastAsia" w:ascii="宋体" w:hAnsi="宋体" w:cs="宋体"/>
          <w:color w:val="000000" w:themeColor="text1"/>
          <w:highlight w:val="none"/>
          <w14:textFill>
            <w14:solidFill>
              <w14:schemeClr w14:val="tx1"/>
            </w14:solidFill>
          </w14:textFill>
        </w:rPr>
        <w:t>项目经理须具有有效的二级或以上建筑工程专业注册建造师资格；具有有效的建设行政主管部门核发的《建筑施工企业项目负责人安全生产考核合格证书》（B证）；</w:t>
      </w:r>
    </w:p>
    <w:bookmarkEnd w:id="27"/>
    <w:p w14:paraId="45728E42">
      <w:pPr>
        <w:adjustRightInd w:val="0"/>
        <w:snapToGrid w:val="0"/>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项目经理无在岗项目【指目前未在其他项目上任职，或虽在其他项目上任职但本项目中标后能够立即赴本项目任职（提供任职承诺）】；</w:t>
      </w:r>
    </w:p>
    <w:p w14:paraId="5C7E606F">
      <w:pPr>
        <w:adjustRightInd w:val="0"/>
        <w:snapToGrid w:val="0"/>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拟派项目经理为投标人自有人员[提供投标人（或投标人不具备法人资格的分支机构）为其缴纳的投标截止时间前三个月（2025年1月至2025年3月）中至少一个月的社保证明材料]；</w:t>
      </w:r>
    </w:p>
    <w:bookmarkEnd w:id="25"/>
    <w:p w14:paraId="095FA355">
      <w:pPr>
        <w:adjustRightInd w:val="0"/>
        <w:snapToGrid w:val="0"/>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 本次招标不接受联合体投标。</w:t>
      </w:r>
    </w:p>
    <w:p w14:paraId="17897700">
      <w:pPr>
        <w:adjustRightInd w:val="0"/>
        <w:snapToGrid w:val="0"/>
        <w:spacing w:line="360" w:lineRule="auto"/>
        <w:ind w:firstLine="42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3.3与招标人存在利害关系可能影响招标公正性的单位，不得参加投标。单位负责人为同一人或存在控股、管理关系的不同单位，不得参加同一标段投标，否则，相关投标均无效。</w:t>
      </w:r>
    </w:p>
    <w:bookmarkEnd w:id="24"/>
    <w:p w14:paraId="5EB88E80">
      <w:pPr>
        <w:pStyle w:val="8"/>
        <w:topLinePunct/>
        <w:spacing w:line="360" w:lineRule="auto"/>
        <w:ind w:firstLine="48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4．</w:t>
      </w:r>
      <w:bookmarkStart w:id="28" w:name="_Toc90106006"/>
      <w:bookmarkStart w:id="29" w:name="_Toc90105452"/>
      <w:bookmarkStart w:id="30" w:name="_Toc90105825"/>
      <w:bookmarkStart w:id="31" w:name="_Toc90106825"/>
      <w:bookmarkStart w:id="32" w:name="_Toc90105264"/>
      <w:bookmarkStart w:id="33" w:name="_Toc89848285"/>
      <w:bookmarkStart w:id="34" w:name="_Toc90105075"/>
      <w:bookmarkStart w:id="35" w:name="_Toc90105639"/>
      <w:bookmarkStart w:id="36" w:name="_Toc90106644"/>
      <w:bookmarkStart w:id="37" w:name="_Toc90106187"/>
      <w:bookmarkStart w:id="38" w:name="_Toc90104557"/>
      <w:bookmarkStart w:id="39" w:name="_Toc92015767"/>
      <w:r>
        <w:rPr>
          <w:rFonts w:hint="eastAsia" w:hAnsi="宋体"/>
          <w:b/>
          <w:bCs/>
          <w:color w:val="000000" w:themeColor="text1"/>
          <w:highlight w:val="none"/>
          <w14:textFill>
            <w14:solidFill>
              <w14:schemeClr w14:val="tx1"/>
            </w14:solidFill>
          </w14:textFill>
        </w:rPr>
        <w:t>招标文件的获取</w:t>
      </w:r>
    </w:p>
    <w:p w14:paraId="16CC2F73">
      <w:pPr>
        <w:pStyle w:val="8"/>
        <w:topLinePunct/>
        <w:spacing w:line="360" w:lineRule="auto"/>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凡有意参与本项目投标的，自公告上网发布之日起2025年</w:t>
      </w:r>
      <w:r>
        <w:rPr>
          <w:rFonts w:hint="eastAsia" w:hAnsi="宋体"/>
          <w:color w:val="000000" w:themeColor="text1"/>
          <w:sz w:val="21"/>
          <w:szCs w:val="21"/>
          <w:highlight w:val="none"/>
          <w:lang w:val="en-US" w:eastAsia="zh-CN"/>
          <w14:textFill>
            <w14:solidFill>
              <w14:schemeClr w14:val="tx1"/>
            </w14:solidFill>
          </w14:textFill>
        </w:rPr>
        <w:t>4</w:t>
      </w:r>
      <w:r>
        <w:rPr>
          <w:rFonts w:hint="eastAsia" w:hAnsi="宋体"/>
          <w:color w:val="000000" w:themeColor="text1"/>
          <w:sz w:val="21"/>
          <w:szCs w:val="21"/>
          <w:highlight w:val="none"/>
          <w14:textFill>
            <w14:solidFill>
              <w14:schemeClr w14:val="tx1"/>
            </w14:solidFill>
          </w14:textFill>
        </w:rPr>
        <w:t>月</w:t>
      </w:r>
      <w:r>
        <w:rPr>
          <w:rFonts w:hint="eastAsia" w:hAnsi="宋体"/>
          <w:color w:val="000000" w:themeColor="text1"/>
          <w:sz w:val="21"/>
          <w:szCs w:val="21"/>
          <w:highlight w:val="none"/>
          <w:lang w:val="en-US" w:eastAsia="zh-CN"/>
          <w14:textFill>
            <w14:solidFill>
              <w14:schemeClr w14:val="tx1"/>
            </w14:solidFill>
          </w14:textFill>
        </w:rPr>
        <w:t>24</w:t>
      </w:r>
      <w:r>
        <w:rPr>
          <w:rFonts w:hint="eastAsia" w:hAnsi="宋体"/>
          <w:color w:val="000000" w:themeColor="text1"/>
          <w:sz w:val="21"/>
          <w:szCs w:val="21"/>
          <w:highlight w:val="none"/>
          <w14:textFill>
            <w14:solidFill>
              <w14:schemeClr w14:val="tx1"/>
            </w14:solidFill>
          </w14:textFill>
        </w:rPr>
        <w:t>日，每日工作时间：上午9:00—11:30整，下午13:30—17:30整（双休、节假日除外）将《申请函》（格式见本项目公告附件）发彩色扫描件至招标人邮箱</w:t>
      </w:r>
      <w:r>
        <w:rPr>
          <w:rFonts w:hint="eastAsia" w:hAnsi="宋体"/>
          <w:color w:val="000000" w:themeColor="text1"/>
          <w:sz w:val="21"/>
          <w:szCs w:val="21"/>
          <w:highlight w:val="none"/>
          <w14:textFill>
            <w14:solidFill>
              <w14:schemeClr w14:val="tx1"/>
            </w14:solidFill>
          </w14:textFill>
        </w:rPr>
        <w:t>（1136778748</w:t>
      </w:r>
      <w:r>
        <w:rPr>
          <w:rFonts w:hint="eastAsia" w:hAnsi="宋体"/>
          <w:color w:val="000000" w:themeColor="text1"/>
          <w:sz w:val="21"/>
          <w:szCs w:val="21"/>
          <w:highlight w:val="none"/>
          <w:lang w:val="en-US" w:eastAsia="zh-CN"/>
          <w14:textFill>
            <w14:solidFill>
              <w14:schemeClr w14:val="tx1"/>
            </w14:solidFill>
          </w14:textFill>
        </w:rPr>
        <w:t>@qq.com</w:t>
      </w:r>
      <w:r>
        <w:rPr>
          <w:rFonts w:hint="eastAsia" w:hAnsi="宋体"/>
          <w:color w:val="000000" w:themeColor="text1"/>
          <w:sz w:val="21"/>
          <w:szCs w:val="21"/>
          <w:highlight w:val="none"/>
          <w14:textFill>
            <w14:solidFill>
              <w14:schemeClr w14:val="tx1"/>
            </w14:solidFill>
          </w14:textFill>
        </w:rPr>
        <w:t>）</w:t>
      </w:r>
      <w:r>
        <w:rPr>
          <w:rFonts w:hint="eastAsia" w:hAnsi="宋体"/>
          <w:color w:val="000000" w:themeColor="text1"/>
          <w:sz w:val="21"/>
          <w:szCs w:val="21"/>
          <w:highlight w:val="none"/>
          <w14:textFill>
            <w14:solidFill>
              <w14:schemeClr w14:val="tx1"/>
            </w14:solidFill>
          </w14:textFill>
        </w:rPr>
        <w:t xml:space="preserve">中，并致电招标人确认邮件送达，确认是否参与本次投标的相关事宜。 </w:t>
      </w:r>
    </w:p>
    <w:p w14:paraId="2EF00FF2">
      <w:pPr>
        <w:pStyle w:val="8"/>
        <w:topLinePunct/>
        <w:spacing w:line="360" w:lineRule="auto"/>
        <w:ind w:firstLine="420" w:firstLineChars="200"/>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（注：以上时间均为北京时间）</w:t>
      </w:r>
    </w:p>
    <w:p w14:paraId="6100208A">
      <w:pPr>
        <w:adjustRightInd w:val="0"/>
        <w:spacing w:line="360" w:lineRule="auto"/>
        <w:ind w:firstLine="420" w:firstLineChars="200"/>
        <w:rPr>
          <w:rFonts w:ascii="宋体" w:hAnsi="宋体" w:cs="宋体"/>
          <w:b/>
          <w:bCs/>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注：未按上述要求进行申请及获取</w:t>
      </w:r>
      <w:r>
        <w:rPr>
          <w:rFonts w:hint="eastAsia" w:hAnsi="宋体"/>
          <w:color w:val="000000" w:themeColor="text1"/>
          <w:highlight w:val="none"/>
          <w:lang w:val="en-US" w:eastAsia="zh-CN"/>
          <w14:textFill>
            <w14:solidFill>
              <w14:schemeClr w14:val="tx1"/>
            </w14:solidFill>
          </w14:textFill>
        </w:rPr>
        <w:t>招标</w:t>
      </w:r>
      <w:r>
        <w:rPr>
          <w:rFonts w:hint="eastAsia" w:hAnsi="宋体"/>
          <w:color w:val="000000" w:themeColor="text1"/>
          <w:highlight w:val="none"/>
          <w14:textFill>
            <w14:solidFill>
              <w14:schemeClr w14:val="tx1"/>
            </w14:solidFill>
          </w14:textFill>
        </w:rPr>
        <w:t>文件的，视为放弃本项目投标</w:t>
      </w:r>
      <w:r>
        <w:rPr>
          <w:rFonts w:hint="eastAsia" w:ascii="宋体" w:hAnsi="宋体" w:cs="宋体"/>
          <w:b/>
          <w:bCs/>
          <w:color w:val="000000" w:themeColor="text1"/>
          <w:highlight w:val="none"/>
          <w14:textFill>
            <w14:solidFill>
              <w14:schemeClr w14:val="tx1"/>
            </w14:solidFill>
          </w14:textFill>
        </w:rPr>
        <w:t>。</w:t>
      </w:r>
    </w:p>
    <w:p w14:paraId="07A72C8C">
      <w:pPr>
        <w:pStyle w:val="8"/>
        <w:topLinePunct/>
        <w:spacing w:line="360" w:lineRule="auto"/>
        <w:ind w:firstLine="48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5．投标文件的递交及相关事宜</w:t>
      </w:r>
    </w:p>
    <w:bookmarkEnd w:id="28"/>
    <w:bookmarkEnd w:id="29"/>
    <w:bookmarkEnd w:id="30"/>
    <w:bookmarkEnd w:id="31"/>
    <w:bookmarkEnd w:id="32"/>
    <w:bookmarkEnd w:id="33"/>
    <w:bookmarkEnd w:id="34"/>
    <w:bookmarkEnd w:id="35"/>
    <w:bookmarkEnd w:id="36"/>
    <w:bookmarkEnd w:id="37"/>
    <w:bookmarkEnd w:id="38"/>
    <w:bookmarkEnd w:id="39"/>
    <w:p w14:paraId="1A6A528B">
      <w:pPr>
        <w:adjustRightInd w:val="0"/>
        <w:spacing w:line="360" w:lineRule="auto"/>
        <w:ind w:firstLine="420" w:firstLineChars="200"/>
        <w:rPr>
          <w:rFonts w:ascii="宋体" w:hAnsi="宋体" w:cs="宋体"/>
          <w:color w:val="000000" w:themeColor="text1"/>
          <w:highlight w:val="none"/>
          <w14:textFill>
            <w14:solidFill>
              <w14:schemeClr w14:val="tx1"/>
            </w14:solidFill>
          </w14:textFill>
        </w:rPr>
      </w:pPr>
      <w:bookmarkStart w:id="40" w:name="_Toc89848286"/>
      <w:bookmarkStart w:id="41" w:name="_Toc90106188"/>
      <w:bookmarkStart w:id="42" w:name="_Toc90106645"/>
      <w:bookmarkStart w:id="43" w:name="_Toc90105265"/>
      <w:bookmarkStart w:id="44" w:name="_Toc90106007"/>
      <w:bookmarkStart w:id="45" w:name="_Toc90105076"/>
      <w:bookmarkStart w:id="46" w:name="_Toc90105826"/>
      <w:bookmarkStart w:id="47" w:name="_Toc90106826"/>
      <w:bookmarkStart w:id="48" w:name="_Toc92015768"/>
      <w:bookmarkStart w:id="49" w:name="_Toc90104558"/>
      <w:bookmarkStart w:id="50" w:name="_Toc90105453"/>
      <w:bookmarkStart w:id="51" w:name="_Toc90105640"/>
      <w:r>
        <w:rPr>
          <w:rFonts w:hint="eastAsia" w:ascii="宋体" w:hAnsi="宋体" w:cs="宋体"/>
          <w:color w:val="000000" w:themeColor="text1"/>
          <w:highlight w:val="none"/>
          <w14:textFill>
            <w14:solidFill>
              <w14:schemeClr w14:val="tx1"/>
            </w14:solidFill>
          </w14:textFill>
        </w:rPr>
        <w:t>5.1 投标文件递交时间：</w:t>
      </w:r>
      <w:r>
        <w:rPr>
          <w:rFonts w:hint="eastAsia" w:hAnsi="宋体"/>
          <w:color w:val="000000" w:themeColor="text1"/>
          <w:highlight w:val="none"/>
          <w14:textFill>
            <w14:solidFill>
              <w14:schemeClr w14:val="tx1"/>
            </w14:solidFill>
          </w14:textFill>
        </w:rPr>
        <w:t>2025年</w:t>
      </w:r>
      <w:r>
        <w:rPr>
          <w:rFonts w:hint="eastAsia" w:hAnsi="宋体"/>
          <w:color w:val="000000" w:themeColor="text1"/>
          <w:highlight w:val="none"/>
          <w:lang w:val="en-US" w:eastAsia="zh-CN"/>
          <w14:textFill>
            <w14:solidFill>
              <w14:schemeClr w14:val="tx1"/>
            </w14:solidFill>
          </w14:textFill>
        </w:rPr>
        <w:t xml:space="preserve">4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lang w:val="en-US" w:eastAsia="zh-CN"/>
          <w14:textFill>
            <w14:solidFill>
              <w14:schemeClr w14:val="tx1"/>
            </w14:solidFill>
          </w14:textFill>
        </w:rPr>
        <w:t xml:space="preserve"> 25 </w:t>
      </w:r>
      <w:r>
        <w:rPr>
          <w:rFonts w:hint="eastAsia" w:hAnsi="宋体"/>
          <w:color w:val="000000" w:themeColor="text1"/>
          <w:highlight w:val="none"/>
          <w14:textFill>
            <w14:solidFill>
              <w14:schemeClr w14:val="tx1"/>
            </w14:solidFill>
          </w14:textFill>
        </w:rPr>
        <w:t>日14时00分</w:t>
      </w:r>
      <w:r>
        <w:rPr>
          <w:rFonts w:hint="eastAsia" w:ascii="宋体" w:hAnsi="宋体" w:cs="宋体"/>
          <w:color w:val="000000" w:themeColor="text1"/>
          <w:highlight w:val="none"/>
          <w14:textFill>
            <w14:solidFill>
              <w14:schemeClr w14:val="tx1"/>
            </w14:solidFill>
          </w14:textFill>
        </w:rPr>
        <w:t>。</w:t>
      </w:r>
    </w:p>
    <w:p w14:paraId="66E95FEB">
      <w:pPr>
        <w:adjustRightIn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5.2 投标文件递交截止时间：</w:t>
      </w:r>
      <w:r>
        <w:rPr>
          <w:rFonts w:hint="eastAsia" w:hAnsi="宋体"/>
          <w:color w:val="000000" w:themeColor="text1"/>
          <w:highlight w:val="none"/>
          <w14:textFill>
            <w14:solidFill>
              <w14:schemeClr w14:val="tx1"/>
            </w14:solidFill>
          </w14:textFill>
        </w:rPr>
        <w:t>2025年</w:t>
      </w:r>
      <w:r>
        <w:rPr>
          <w:rFonts w:hint="eastAsia" w:hAnsi="宋体"/>
          <w:color w:val="000000" w:themeColor="text1"/>
          <w:highlight w:val="none"/>
          <w:lang w:val="en-US" w:eastAsia="zh-CN"/>
          <w14:textFill>
            <w14:solidFill>
              <w14:schemeClr w14:val="tx1"/>
            </w14:solidFill>
          </w14:textFill>
        </w:rPr>
        <w:t xml:space="preserve">4 </w:t>
      </w:r>
      <w:r>
        <w:rPr>
          <w:rFonts w:hint="eastAsia" w:hAnsi="宋体"/>
          <w:color w:val="000000" w:themeColor="text1"/>
          <w:highlight w:val="none"/>
          <w14:textFill>
            <w14:solidFill>
              <w14:schemeClr w14:val="tx1"/>
            </w14:solidFill>
          </w14:textFill>
        </w:rPr>
        <w:t>月</w:t>
      </w:r>
      <w:r>
        <w:rPr>
          <w:rFonts w:hint="eastAsia" w:hAnsi="宋体"/>
          <w:color w:val="000000" w:themeColor="text1"/>
          <w:highlight w:val="none"/>
          <w:lang w:val="en-US" w:eastAsia="zh-CN"/>
          <w14:textFill>
            <w14:solidFill>
              <w14:schemeClr w14:val="tx1"/>
            </w14:solidFill>
          </w14:textFill>
        </w:rPr>
        <w:t xml:space="preserve"> 25 </w:t>
      </w:r>
      <w:r>
        <w:rPr>
          <w:rFonts w:hint="eastAsia" w:hAnsi="宋体"/>
          <w:color w:val="000000" w:themeColor="text1"/>
          <w:highlight w:val="none"/>
          <w14:textFill>
            <w14:solidFill>
              <w14:schemeClr w14:val="tx1"/>
            </w14:solidFill>
          </w14:textFill>
        </w:rPr>
        <w:t>日14时</w:t>
      </w:r>
      <w:r>
        <w:rPr>
          <w:rFonts w:hint="eastAsia" w:hAnsi="宋体"/>
          <w:color w:val="000000" w:themeColor="text1"/>
          <w:highlight w:val="none"/>
          <w:lang w:val="en-US" w:eastAsia="zh-CN"/>
          <w14:textFill>
            <w14:solidFill>
              <w14:schemeClr w14:val="tx1"/>
            </w14:solidFill>
          </w14:textFill>
        </w:rPr>
        <w:t>30</w:t>
      </w:r>
      <w:r>
        <w:rPr>
          <w:rFonts w:hint="eastAsia" w:hAnsi="宋体"/>
          <w:color w:val="000000" w:themeColor="text1"/>
          <w:highlight w:val="none"/>
          <w14:textFill>
            <w14:solidFill>
              <w14:schemeClr w14:val="tx1"/>
            </w14:solidFill>
          </w14:textFill>
        </w:rPr>
        <w:t>分</w:t>
      </w:r>
      <w:r>
        <w:rPr>
          <w:rFonts w:hint="eastAsia" w:ascii="宋体" w:hAnsi="宋体" w:cs="宋体"/>
          <w:color w:val="000000" w:themeColor="text1"/>
          <w:highlight w:val="none"/>
          <w14:textFill>
            <w14:solidFill>
              <w14:schemeClr w14:val="tx1"/>
            </w14:solidFill>
          </w14:textFill>
        </w:rPr>
        <w:t>。</w:t>
      </w:r>
    </w:p>
    <w:p w14:paraId="49753B07">
      <w:pPr>
        <w:adjustRightIn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5.3 </w:t>
      </w:r>
      <w:r>
        <w:rPr>
          <w:rFonts w:hint="eastAsia" w:ascii="宋体" w:hAnsi="宋体" w:cs="宋体"/>
          <w:color w:val="000000" w:themeColor="text1"/>
          <w:highlight w:val="none"/>
          <w14:textFill>
            <w14:solidFill>
              <w14:schemeClr w14:val="tx1"/>
            </w14:solidFill>
          </w14:textFill>
        </w:rPr>
        <w:t>投标文件递交地点：</w:t>
      </w:r>
      <w:r>
        <w:rPr>
          <w:rFonts w:hint="eastAsia" w:ascii="宋体" w:eastAsia="宋体" w:cs="宋体"/>
          <w:kern w:val="0"/>
          <w:sz w:val="24"/>
          <w:szCs w:val="24"/>
          <w:highlight w:val="none"/>
          <w:lang w:bidi="ar-SA"/>
        </w:rPr>
        <w:t>南通市交通公共事业发展中心</w:t>
      </w:r>
      <w:r>
        <w:rPr>
          <w:rFonts w:hint="eastAsia" w:ascii="宋体" w:eastAsia="宋体" w:cs="宋体"/>
          <w:kern w:val="0"/>
          <w:sz w:val="24"/>
          <w:szCs w:val="24"/>
          <w:highlight w:val="none"/>
          <w:lang w:val="en-US" w:eastAsia="zh-CN" w:bidi="ar-SA"/>
        </w:rPr>
        <w:t>1</w:t>
      </w:r>
      <w:r>
        <w:rPr>
          <w:rFonts w:hint="eastAsia" w:ascii="宋体" w:eastAsia="宋体" w:cs="宋体"/>
          <w:kern w:val="0"/>
          <w:sz w:val="24"/>
          <w:szCs w:val="24"/>
          <w:highlight w:val="none"/>
          <w:lang w:bidi="ar-SA"/>
        </w:rPr>
        <w:t>08室（通京大道5号）</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bCs/>
          <w:color w:val="000000" w:themeColor="text1"/>
          <w:highlight w:val="none"/>
          <w14:textFill>
            <w14:solidFill>
              <w14:schemeClr w14:val="tx1"/>
            </w14:solidFill>
          </w14:textFill>
        </w:rPr>
        <w:t>如有变动，另行通知。</w:t>
      </w:r>
      <w:r>
        <w:rPr>
          <w:rFonts w:hint="eastAsia" w:ascii="宋体" w:hAnsi="宋体" w:cs="宋体"/>
          <w:color w:val="000000" w:themeColor="text1"/>
          <w:highlight w:val="none"/>
          <w14:textFill>
            <w14:solidFill>
              <w14:schemeClr w14:val="tx1"/>
            </w14:solidFill>
          </w14:textFill>
        </w:rPr>
        <w:t>逾期送达的或者未送达指定地点的投标文件，招标人不予受理。</w:t>
      </w:r>
    </w:p>
    <w:p w14:paraId="2954E8F4">
      <w:pPr>
        <w:adjustRightIn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5.4 开标时间：同投标文件递交截止时间。</w:t>
      </w:r>
    </w:p>
    <w:p w14:paraId="1620385B">
      <w:pPr>
        <w:adjustRightIn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5.5 开标地点：同投标文件递交地点。</w:t>
      </w:r>
    </w:p>
    <w:p w14:paraId="1E0E0E34">
      <w:pPr>
        <w:adjustRightIn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以上时间均为北京时间。</w:t>
      </w:r>
    </w:p>
    <w:p w14:paraId="76994034">
      <w:pPr>
        <w:adjustRightInd w:val="0"/>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本项目不统一组织召开现场考察与标前会议，投标人若需进行现场考察，自行前往并自行负责住宿与安全。</w:t>
      </w:r>
      <w:bookmarkEnd w:id="40"/>
      <w:bookmarkEnd w:id="41"/>
      <w:bookmarkEnd w:id="42"/>
      <w:bookmarkEnd w:id="43"/>
      <w:bookmarkEnd w:id="44"/>
      <w:bookmarkEnd w:id="45"/>
      <w:bookmarkEnd w:id="46"/>
      <w:bookmarkEnd w:id="47"/>
      <w:bookmarkEnd w:id="48"/>
      <w:bookmarkEnd w:id="49"/>
      <w:bookmarkEnd w:id="50"/>
      <w:bookmarkEnd w:id="51"/>
      <w:bookmarkStart w:id="52" w:name="_Toc26508"/>
      <w:bookmarkStart w:id="53" w:name="_Toc30157"/>
      <w:bookmarkStart w:id="54" w:name="_Toc508615689"/>
    </w:p>
    <w:bookmarkEnd w:id="52"/>
    <w:bookmarkEnd w:id="53"/>
    <w:bookmarkEnd w:id="54"/>
    <w:p w14:paraId="20DA9167">
      <w:pPr>
        <w:pStyle w:val="8"/>
        <w:topLinePunct/>
        <w:spacing w:line="360" w:lineRule="auto"/>
        <w:ind w:firstLine="482" w:firstLineChars="200"/>
        <w:rPr>
          <w:rFonts w:hAnsi="宋体"/>
          <w:b/>
          <w:bCs/>
          <w:color w:val="000000" w:themeColor="text1"/>
          <w:highlight w:val="none"/>
          <w14:textFill>
            <w14:solidFill>
              <w14:schemeClr w14:val="tx1"/>
            </w14:solidFill>
          </w14:textFill>
        </w:rPr>
      </w:pPr>
      <w:r>
        <w:rPr>
          <w:rFonts w:hint="eastAsia" w:hAnsi="宋体"/>
          <w:b/>
          <w:bCs/>
          <w:color w:val="000000" w:themeColor="text1"/>
          <w:highlight w:val="none"/>
          <w14:textFill>
            <w14:solidFill>
              <w14:schemeClr w14:val="tx1"/>
            </w14:solidFill>
          </w14:textFill>
        </w:rPr>
        <w:t>6．发布公告的媒介</w:t>
      </w:r>
    </w:p>
    <w:p w14:paraId="50F35A81">
      <w:pPr>
        <w:pStyle w:val="8"/>
        <w:topLinePunct/>
        <w:spacing w:line="360" w:lineRule="auto"/>
        <w:ind w:firstLine="420" w:firstLineChars="200"/>
        <w:jc w:val="left"/>
        <w:rPr>
          <w:rFonts w:hAnsi="宋体"/>
          <w:b/>
          <w:bCs/>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本次招标公告同时在南通市交通运输局网站（http://jtysj.nantong.gov.cn/ntjy/）上。南通市交通运输局网站是本项目招标公告、招标文件澄清、中标公示等招标信息约定的唯一公开发布媒介。</w:t>
      </w:r>
    </w:p>
    <w:p w14:paraId="6592B4BB">
      <w:pPr>
        <w:pStyle w:val="8"/>
        <w:topLinePunct/>
        <w:spacing w:line="360" w:lineRule="auto"/>
        <w:ind w:firstLine="482" w:firstLineChars="200"/>
        <w:rPr>
          <w:rFonts w:hAnsi="宋体"/>
          <w:b/>
          <w:bCs/>
          <w:color w:val="000000" w:themeColor="text1"/>
          <w:highlight w:val="none"/>
          <w14:textFill>
            <w14:solidFill>
              <w14:schemeClr w14:val="tx1"/>
            </w14:solidFill>
          </w14:textFill>
        </w:rPr>
      </w:pPr>
      <w:bookmarkStart w:id="55" w:name="_Toc90106827"/>
      <w:bookmarkStart w:id="56" w:name="_Toc92015769"/>
      <w:bookmarkStart w:id="57" w:name="_Toc90106008"/>
      <w:bookmarkStart w:id="58" w:name="_Toc90106189"/>
      <w:bookmarkStart w:id="59" w:name="_Toc90105454"/>
      <w:bookmarkStart w:id="60" w:name="_Toc90105266"/>
      <w:bookmarkStart w:id="61" w:name="_Toc90104559"/>
      <w:bookmarkStart w:id="62" w:name="_Toc90106646"/>
      <w:bookmarkStart w:id="63" w:name="_Toc89848287"/>
      <w:bookmarkStart w:id="64" w:name="_Toc90105827"/>
      <w:bookmarkStart w:id="65" w:name="_Toc90105077"/>
      <w:bookmarkStart w:id="66" w:name="_Toc90105641"/>
      <w:r>
        <w:rPr>
          <w:rFonts w:hint="eastAsia" w:hAnsi="宋体"/>
          <w:b/>
          <w:bCs/>
          <w:color w:val="000000" w:themeColor="text1"/>
          <w:highlight w:val="none"/>
          <w14:textFill>
            <w14:solidFill>
              <w14:schemeClr w14:val="tx1"/>
            </w14:solidFill>
          </w14:textFill>
        </w:rPr>
        <w:t>7. 其他</w:t>
      </w:r>
    </w:p>
    <w:p w14:paraId="3EF5B773">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7.1已获取招标文件的投标单位，不得擅自放弃投标，若因故确需放弃，则须在截止之日3日前书面告知招标人，如无故不参加投标而造成投标单位不足3家而重新招标的，若重新招标的招标需求、资格要求等未发生改变，招标人可以拒绝其参加重新招标的投标。</w:t>
      </w:r>
    </w:p>
    <w:p w14:paraId="0FBC256B">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7.2本项目无图纸，各投标人必须仔细踏勘现场，并根据现场情况进行报价，踏勘现场所发生的费用由投标人自行承担。</w:t>
      </w:r>
    </w:p>
    <w:p w14:paraId="0C3EB5A4">
      <w:pPr>
        <w:spacing w:line="360" w:lineRule="auto"/>
        <w:ind w:firstLine="482"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8．联系方式</w:t>
      </w:r>
      <w:bookmarkEnd w:id="55"/>
      <w:bookmarkEnd w:id="56"/>
      <w:bookmarkEnd w:id="57"/>
      <w:bookmarkEnd w:id="58"/>
      <w:bookmarkEnd w:id="59"/>
      <w:bookmarkEnd w:id="60"/>
      <w:bookmarkEnd w:id="61"/>
      <w:bookmarkEnd w:id="62"/>
      <w:bookmarkEnd w:id="63"/>
      <w:bookmarkEnd w:id="64"/>
      <w:bookmarkEnd w:id="65"/>
      <w:bookmarkEnd w:id="66"/>
    </w:p>
    <w:p w14:paraId="1E0A579B">
      <w:pPr>
        <w:widowControl/>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招标人：南通市交通公共事业发展中心</w:t>
      </w:r>
    </w:p>
    <w:p w14:paraId="229B16E3">
      <w:pPr>
        <w:widowControl/>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地  址： 南通市通京大道8号</w:t>
      </w:r>
    </w:p>
    <w:p w14:paraId="01D4AF84">
      <w:pPr>
        <w:widowControl/>
        <w:tabs>
          <w:tab w:val="left" w:pos="2387"/>
        </w:tabs>
        <w:spacing w:line="360" w:lineRule="auto"/>
        <w:ind w:firstLine="420" w:firstLineChars="200"/>
        <w:jc w:val="left"/>
        <w:rPr>
          <w:rFonts w:ascii="宋体" w:hAnsi="宋体" w:cs="宋体"/>
          <w:kern w:val="0"/>
          <w:highlight w:val="none"/>
        </w:rPr>
      </w:pPr>
      <w:r>
        <w:rPr>
          <w:rFonts w:hint="eastAsia" w:ascii="宋体" w:hAnsi="宋体" w:cs="宋体"/>
          <w:kern w:val="0"/>
          <w:highlight w:val="none"/>
        </w:rPr>
        <w:t>联 系 人：</w:t>
      </w:r>
      <w:r>
        <w:rPr>
          <w:rFonts w:hint="eastAsia" w:ascii="宋体" w:hAnsi="宋体" w:cs="宋体"/>
          <w:kern w:val="0"/>
          <w:highlight w:val="none"/>
          <w:lang w:val="en-US" w:eastAsia="zh-CN"/>
        </w:rPr>
        <w:t>张先生</w:t>
      </w:r>
      <w:r>
        <w:rPr>
          <w:rFonts w:ascii="宋体" w:hAnsi="宋体" w:cs="宋体"/>
          <w:kern w:val="0"/>
          <w:highlight w:val="none"/>
        </w:rPr>
        <w:tab/>
      </w:r>
    </w:p>
    <w:p w14:paraId="721AC5FE">
      <w:pPr>
        <w:pStyle w:val="14"/>
        <w:spacing w:before="0" w:beforeAutospacing="0" w:after="0" w:afterAutospacing="0" w:line="360" w:lineRule="auto"/>
        <w:ind w:firstLine="420" w:firstLineChars="200"/>
        <w:rPr>
          <w:rFonts w:hint="default" w:eastAsia="宋体"/>
          <w:sz w:val="21"/>
          <w:szCs w:val="21"/>
          <w:highlight w:val="none"/>
          <w:lang w:val="en-US" w:eastAsia="zh-CN"/>
        </w:rPr>
      </w:pPr>
      <w:r>
        <w:rPr>
          <w:rFonts w:hint="eastAsia" w:ascii="Times New Roman" w:hAnsi="Times New Roman"/>
          <w:kern w:val="2"/>
          <w:sz w:val="21"/>
          <w:szCs w:val="21"/>
          <w:highlight w:val="none"/>
        </w:rPr>
        <w:t>电   话：</w:t>
      </w:r>
      <w:r>
        <w:rPr>
          <w:rFonts w:hint="eastAsia" w:ascii="Times New Roman" w:hAnsi="Times New Roman"/>
          <w:kern w:val="2"/>
          <w:sz w:val="21"/>
          <w:szCs w:val="21"/>
          <w:highlight w:val="none"/>
          <w:lang w:val="en-US" w:eastAsia="zh-CN"/>
        </w:rPr>
        <w:t>0513-59001192</w:t>
      </w:r>
    </w:p>
    <w:p w14:paraId="58FC1F23">
      <w:pPr>
        <w:spacing w:line="360" w:lineRule="auto"/>
        <w:ind w:firstLine="420" w:firstLineChars="200"/>
        <w:jc w:val="left"/>
        <w:rPr>
          <w:rFonts w:ascii="宋体" w:hAnsi="宋体" w:cs="宋体"/>
          <w:highlight w:val="none"/>
        </w:rPr>
      </w:pPr>
      <w:r>
        <w:rPr>
          <w:rFonts w:hint="eastAsia" w:ascii="宋体" w:hAnsi="宋体" w:cs="宋体"/>
          <w:highlight w:val="none"/>
        </w:rPr>
        <w:t xml:space="preserve">                              </w:t>
      </w:r>
    </w:p>
    <w:p w14:paraId="369ADE33">
      <w:pPr>
        <w:jc w:val="right"/>
        <w:rPr>
          <w:rFonts w:hint="eastAsia" w:ascii="宋体" w:hAnsi="宋体" w:cs="宋体"/>
          <w:spacing w:val="4"/>
          <w:highlight w:val="none"/>
        </w:rPr>
      </w:pPr>
      <w:r>
        <w:rPr>
          <w:rFonts w:hint="eastAsia" w:ascii="宋体" w:hAnsi="宋体" w:cs="宋体"/>
          <w:spacing w:val="4"/>
          <w:highlight w:val="none"/>
        </w:rPr>
        <w:t>2025年</w:t>
      </w:r>
      <w:r>
        <w:rPr>
          <w:rFonts w:hint="eastAsia" w:ascii="宋体" w:hAnsi="宋体" w:cs="宋体"/>
          <w:spacing w:val="4"/>
          <w:highlight w:val="none"/>
          <w:lang w:val="en-US" w:eastAsia="zh-CN"/>
        </w:rPr>
        <w:t xml:space="preserve">4 </w:t>
      </w:r>
      <w:r>
        <w:rPr>
          <w:rFonts w:hint="eastAsia" w:ascii="宋体" w:hAnsi="宋体" w:cs="宋体"/>
          <w:spacing w:val="4"/>
          <w:highlight w:val="none"/>
        </w:rPr>
        <w:t>月</w:t>
      </w:r>
      <w:r>
        <w:rPr>
          <w:rFonts w:hint="eastAsia" w:ascii="宋体" w:hAnsi="宋体" w:cs="宋体"/>
          <w:spacing w:val="4"/>
          <w:highlight w:val="none"/>
          <w:lang w:val="en-US" w:eastAsia="zh-CN"/>
        </w:rPr>
        <w:t xml:space="preserve">14 </w:t>
      </w:r>
      <w:r>
        <w:rPr>
          <w:rFonts w:hint="eastAsia" w:ascii="宋体" w:hAnsi="宋体" w:cs="宋体"/>
          <w:spacing w:val="4"/>
          <w:highlight w:val="none"/>
        </w:rPr>
        <w:t>日</w:t>
      </w:r>
    </w:p>
    <w:p w14:paraId="4BA3A458">
      <w:pPr>
        <w:rPr>
          <w:rFonts w:hint="eastAsia" w:ascii="宋体" w:hAnsi="宋体" w:cs="宋体"/>
          <w:spacing w:val="4"/>
          <w:highlight w:val="none"/>
        </w:rPr>
      </w:pPr>
      <w:r>
        <w:rPr>
          <w:rFonts w:hint="eastAsia" w:ascii="宋体" w:hAnsi="宋体" w:cs="宋体"/>
          <w:spacing w:val="4"/>
          <w:highlight w:val="none"/>
        </w:rPr>
        <w:br w:type="page"/>
      </w:r>
    </w:p>
    <w:p w14:paraId="7344498B">
      <w:pPr>
        <w:jc w:val="left"/>
        <w:rPr>
          <w:rFonts w:hint="eastAsia" w:ascii="宋体" w:hAnsi="宋体" w:cs="宋体"/>
          <w:spacing w:val="4"/>
          <w:sz w:val="30"/>
          <w:szCs w:val="30"/>
          <w:highlight w:val="none"/>
          <w:lang w:val="en-US" w:eastAsia="zh-CN"/>
        </w:rPr>
      </w:pPr>
      <w:r>
        <w:rPr>
          <w:rFonts w:hint="eastAsia" w:ascii="宋体" w:hAnsi="宋体" w:cs="宋体"/>
          <w:spacing w:val="4"/>
          <w:sz w:val="30"/>
          <w:szCs w:val="30"/>
          <w:highlight w:val="none"/>
          <w:lang w:val="en-US" w:eastAsia="zh-CN"/>
        </w:rPr>
        <w:t>附件：</w:t>
      </w:r>
    </w:p>
    <w:p w14:paraId="26731A99">
      <w:pPr>
        <w:spacing w:line="420" w:lineRule="exact"/>
        <w:jc w:val="center"/>
        <w:rPr>
          <w:rFonts w:hint="eastAsia"/>
          <w:b/>
          <w:color w:val="0D0D0D"/>
          <w:kern w:val="0"/>
          <w:sz w:val="32"/>
          <w:szCs w:val="20"/>
        </w:rPr>
      </w:pPr>
      <w:r>
        <w:rPr>
          <w:rFonts w:hint="eastAsia"/>
          <w:b/>
          <w:color w:val="0D0D0D"/>
          <w:kern w:val="0"/>
          <w:sz w:val="32"/>
          <w:szCs w:val="20"/>
        </w:rPr>
        <w:t>申请函</w:t>
      </w:r>
    </w:p>
    <w:p w14:paraId="08658A4F">
      <w:pPr>
        <w:spacing w:line="420" w:lineRule="exact"/>
        <w:jc w:val="left"/>
        <w:rPr>
          <w:rFonts w:hint="eastAsia"/>
          <w:b/>
          <w:color w:val="0D0D0D"/>
          <w:kern w:val="0"/>
          <w:sz w:val="32"/>
          <w:szCs w:val="20"/>
        </w:rPr>
      </w:pPr>
    </w:p>
    <w:p w14:paraId="61386979">
      <w:pPr>
        <w:snapToGrid w:val="0"/>
        <w:spacing w:line="360" w:lineRule="auto"/>
        <w:jc w:val="left"/>
        <w:rPr>
          <w:rFonts w:hint="eastAsia" w:ascii="宋体" w:hAnsi="宋体" w:cs="宋体"/>
          <w:b/>
          <w:color w:val="0D0D0D"/>
          <w:kern w:val="0"/>
          <w:sz w:val="24"/>
          <w:u w:val="single"/>
        </w:rPr>
      </w:pPr>
      <w:r>
        <w:rPr>
          <w:rFonts w:hint="eastAsia" w:ascii="宋体" w:hAnsi="宋体" w:cs="宋体"/>
          <w:b/>
          <w:color w:val="0D0D0D"/>
          <w:kern w:val="0"/>
          <w:sz w:val="24"/>
        </w:rPr>
        <w:t>致：</w:t>
      </w:r>
      <w:r>
        <w:rPr>
          <w:rFonts w:hint="eastAsia" w:ascii="宋体" w:hAnsi="宋体" w:cs="宋体"/>
          <w:b/>
          <w:bCs/>
          <w:color w:val="0D0D0D"/>
          <w:spacing w:val="7"/>
          <w:kern w:val="0"/>
          <w:sz w:val="24"/>
          <w:u w:val="single"/>
        </w:rPr>
        <w:t>南通市交通公共事业发展中心</w:t>
      </w:r>
    </w:p>
    <w:p w14:paraId="36ADFE82">
      <w:pPr>
        <w:snapToGrid w:val="0"/>
        <w:spacing w:line="360" w:lineRule="auto"/>
        <w:ind w:firstLine="480" w:firstLineChars="200"/>
        <w:jc w:val="left"/>
        <w:rPr>
          <w:rFonts w:hint="eastAsia" w:ascii="宋体" w:hAnsi="宋体" w:cs="宋体"/>
          <w:color w:val="0D0D0D"/>
          <w:kern w:val="0"/>
          <w:sz w:val="24"/>
        </w:rPr>
      </w:pPr>
      <w:r>
        <w:rPr>
          <w:rFonts w:hint="eastAsia" w:ascii="宋体" w:hAnsi="宋体" w:cs="宋体"/>
          <w:color w:val="0D0D0D"/>
          <w:kern w:val="0"/>
          <w:sz w:val="24"/>
        </w:rPr>
        <w:t>我公司已获悉贵单位发出的</w:t>
      </w:r>
      <w:r>
        <w:rPr>
          <w:rFonts w:hint="eastAsia" w:ascii="宋体" w:hAnsi="宋体" w:cs="宋体"/>
          <w:color w:val="0D0D0D"/>
          <w:spacing w:val="7"/>
          <w:kern w:val="0"/>
          <w:sz w:val="24"/>
          <w:u w:val="single"/>
        </w:rPr>
        <w:t>彩钢瓦屋顶修缮工程</w:t>
      </w:r>
      <w:r>
        <w:rPr>
          <w:rFonts w:hint="eastAsia" w:ascii="宋体" w:hAnsi="宋体" w:cs="宋体"/>
          <w:color w:val="0D0D0D"/>
          <w:spacing w:val="7"/>
          <w:kern w:val="0"/>
          <w:sz w:val="24"/>
        </w:rPr>
        <w:t>招标公告</w:t>
      </w:r>
      <w:r>
        <w:rPr>
          <w:rFonts w:hint="eastAsia" w:ascii="宋体" w:hAnsi="宋体" w:cs="宋体"/>
          <w:color w:val="0D0D0D"/>
          <w:kern w:val="0"/>
          <w:sz w:val="24"/>
        </w:rPr>
        <w:t>，经研究，我单位拟参加本项目投标，现申请获取招标文件。</w:t>
      </w:r>
    </w:p>
    <w:p w14:paraId="6DDAD5B8">
      <w:pPr>
        <w:snapToGrid w:val="0"/>
        <w:spacing w:line="360" w:lineRule="auto"/>
        <w:ind w:firstLine="480" w:firstLineChars="200"/>
        <w:jc w:val="left"/>
        <w:rPr>
          <w:rFonts w:hint="eastAsia" w:ascii="宋体" w:hAnsi="宋体" w:cs="宋体"/>
          <w:color w:val="0D0D0D"/>
          <w:kern w:val="0"/>
          <w:sz w:val="24"/>
        </w:rPr>
      </w:pPr>
    </w:p>
    <w:p w14:paraId="18BDC171">
      <w:pPr>
        <w:snapToGrid w:val="0"/>
        <w:spacing w:line="360" w:lineRule="auto"/>
        <w:ind w:firstLine="480" w:firstLineChars="200"/>
        <w:jc w:val="left"/>
        <w:rPr>
          <w:rFonts w:hint="eastAsia" w:ascii="宋体" w:hAnsi="宋体" w:cs="宋体"/>
          <w:color w:val="0D0D0D"/>
          <w:kern w:val="0"/>
          <w:sz w:val="24"/>
        </w:rPr>
      </w:pPr>
      <w:r>
        <w:rPr>
          <w:rFonts w:hint="eastAsia" w:ascii="宋体" w:hAnsi="宋体" w:cs="宋体"/>
          <w:color w:val="0D0D0D"/>
          <w:kern w:val="0"/>
          <w:sz w:val="24"/>
        </w:rPr>
        <w:t>联系人：</w:t>
      </w:r>
    </w:p>
    <w:p w14:paraId="350B74A7">
      <w:pPr>
        <w:snapToGrid w:val="0"/>
        <w:spacing w:line="360" w:lineRule="auto"/>
        <w:ind w:firstLine="480" w:firstLineChars="200"/>
        <w:jc w:val="left"/>
        <w:rPr>
          <w:rFonts w:hint="eastAsia" w:ascii="宋体" w:hAnsi="宋体" w:cs="宋体"/>
          <w:color w:val="0D0D0D"/>
          <w:kern w:val="0"/>
          <w:sz w:val="24"/>
        </w:rPr>
      </w:pPr>
      <w:r>
        <w:rPr>
          <w:rFonts w:hint="eastAsia" w:ascii="宋体" w:hAnsi="宋体" w:cs="宋体"/>
          <w:color w:val="0D0D0D"/>
          <w:kern w:val="0"/>
          <w:sz w:val="24"/>
        </w:rPr>
        <w:t>联系电话：</w:t>
      </w:r>
    </w:p>
    <w:p w14:paraId="5DEAE340">
      <w:pPr>
        <w:snapToGrid w:val="0"/>
        <w:spacing w:line="360" w:lineRule="auto"/>
        <w:ind w:firstLine="480" w:firstLineChars="200"/>
        <w:jc w:val="left"/>
        <w:rPr>
          <w:rFonts w:hint="eastAsia" w:ascii="宋体" w:hAnsi="宋体" w:cs="宋体"/>
          <w:color w:val="0D0D0D"/>
          <w:kern w:val="0"/>
          <w:sz w:val="24"/>
        </w:rPr>
      </w:pPr>
      <w:r>
        <w:rPr>
          <w:rFonts w:hint="eastAsia" w:ascii="宋体" w:hAnsi="宋体" w:cs="宋体"/>
          <w:color w:val="0D0D0D"/>
          <w:kern w:val="0"/>
          <w:sz w:val="24"/>
        </w:rPr>
        <w:t>单位地址</w:t>
      </w:r>
    </w:p>
    <w:p w14:paraId="3C724CB6">
      <w:pPr>
        <w:snapToGrid w:val="0"/>
        <w:spacing w:line="360" w:lineRule="auto"/>
        <w:ind w:firstLine="480" w:firstLineChars="200"/>
        <w:jc w:val="left"/>
        <w:rPr>
          <w:rFonts w:hint="eastAsia" w:ascii="宋体" w:hAnsi="宋体" w:cs="宋体"/>
          <w:color w:val="0D0D0D"/>
          <w:kern w:val="0"/>
          <w:sz w:val="24"/>
          <w:lang w:val="zh-CN"/>
        </w:rPr>
      </w:pPr>
      <w:r>
        <w:rPr>
          <w:rFonts w:hint="eastAsia" w:ascii="宋体" w:hAnsi="宋体" w:cs="宋体"/>
          <w:color w:val="0D0D0D"/>
          <w:kern w:val="0"/>
          <w:sz w:val="24"/>
          <w:lang w:val="zh-CN"/>
        </w:rPr>
        <w:t>E-MAIL地址：</w:t>
      </w:r>
    </w:p>
    <w:p w14:paraId="46BA1A3F">
      <w:pPr>
        <w:spacing w:line="360" w:lineRule="auto"/>
        <w:jc w:val="left"/>
        <w:rPr>
          <w:rFonts w:hint="eastAsia" w:cs="宋体"/>
          <w:color w:val="0D0D0D"/>
          <w:kern w:val="0"/>
          <w:sz w:val="24"/>
          <w:lang w:val="zh-CN"/>
        </w:rPr>
      </w:pPr>
    </w:p>
    <w:p w14:paraId="33FABF7C">
      <w:pPr>
        <w:spacing w:line="360" w:lineRule="auto"/>
        <w:jc w:val="left"/>
        <w:rPr>
          <w:rFonts w:hint="eastAsia" w:cs="宋体"/>
          <w:b/>
          <w:color w:val="0D0D0D"/>
          <w:kern w:val="0"/>
          <w:sz w:val="24"/>
          <w:lang w:val="zh-CN"/>
        </w:rPr>
      </w:pPr>
    </w:p>
    <w:p w14:paraId="7F935588">
      <w:pPr>
        <w:spacing w:line="360" w:lineRule="auto"/>
        <w:jc w:val="left"/>
        <w:rPr>
          <w:rFonts w:hint="eastAsia" w:cs="宋体"/>
          <w:b/>
          <w:color w:val="0D0D0D"/>
          <w:kern w:val="0"/>
          <w:sz w:val="24"/>
          <w:lang w:val="zh-CN"/>
        </w:rPr>
      </w:pPr>
    </w:p>
    <w:p w14:paraId="6CC11276">
      <w:pPr>
        <w:spacing w:line="360" w:lineRule="auto"/>
        <w:jc w:val="left"/>
        <w:rPr>
          <w:rFonts w:hint="eastAsia" w:cs="宋体"/>
          <w:b/>
          <w:color w:val="0D0D0D"/>
          <w:kern w:val="0"/>
          <w:sz w:val="24"/>
          <w:lang w:val="zh-CN"/>
        </w:rPr>
      </w:pPr>
    </w:p>
    <w:p w14:paraId="1B7DF680">
      <w:pPr>
        <w:spacing w:line="360" w:lineRule="auto"/>
        <w:ind w:firstLine="5280" w:firstLineChars="2200"/>
        <w:jc w:val="left"/>
        <w:rPr>
          <w:rFonts w:hint="eastAsia" w:cs="宋体"/>
          <w:color w:val="0D0D0D"/>
          <w:kern w:val="0"/>
          <w:sz w:val="24"/>
          <w:u w:val="single"/>
          <w:lang w:val="zh-CN"/>
        </w:rPr>
      </w:pPr>
      <w:r>
        <w:rPr>
          <w:rFonts w:hint="eastAsia" w:cs="宋体"/>
          <w:color w:val="0D0D0D"/>
          <w:kern w:val="0"/>
          <w:sz w:val="24"/>
          <w:lang w:val="zh-CN"/>
        </w:rPr>
        <w:t>单位：</w:t>
      </w:r>
      <w:r>
        <w:rPr>
          <w:rFonts w:hint="eastAsia" w:cs="宋体"/>
          <w:color w:val="0D0D0D"/>
          <w:kern w:val="0"/>
          <w:sz w:val="24"/>
          <w:u w:val="single"/>
          <w:lang w:val="zh-CN"/>
        </w:rPr>
        <w:t xml:space="preserve"> （盖章）                 </w:t>
      </w:r>
    </w:p>
    <w:p w14:paraId="437E79F0">
      <w:pPr>
        <w:spacing w:line="360" w:lineRule="auto"/>
        <w:ind w:firstLine="6470" w:firstLineChars="2696"/>
        <w:jc w:val="left"/>
        <w:rPr>
          <w:rFonts w:hint="eastAsia"/>
          <w:color w:val="0D0D0D"/>
          <w:kern w:val="0"/>
          <w:sz w:val="24"/>
        </w:rPr>
      </w:pPr>
      <w:r>
        <w:rPr>
          <w:rFonts w:hint="eastAsia" w:cs="宋体"/>
          <w:color w:val="0D0D0D"/>
          <w:kern w:val="0"/>
          <w:sz w:val="24"/>
          <w:lang w:val="zh-CN"/>
        </w:rPr>
        <w:t>年   月   日</w:t>
      </w:r>
    </w:p>
    <w:p w14:paraId="7998518D">
      <w:pPr>
        <w:jc w:val="left"/>
        <w:rPr>
          <w:rFonts w:hint="eastAsia" w:ascii="宋体" w:hAnsi="宋体" w:cs="宋体"/>
          <w:spacing w:val="4"/>
          <w:sz w:val="30"/>
          <w:szCs w:val="30"/>
          <w:highlight w:val="none"/>
          <w:lang w:val="en-US" w:eastAsia="zh-CN"/>
        </w:rPr>
      </w:pPr>
      <w:bookmarkStart w:id="280" w:name="_GoBack"/>
      <w:bookmarkEnd w:id="280"/>
    </w:p>
    <w:p w14:paraId="4C1DFEC8">
      <w:pPr>
        <w:pStyle w:val="3"/>
        <w:spacing w:before="120" w:beforeLines="50" w:after="120" w:afterLines="50" w:line="240" w:lineRule="auto"/>
        <w:jc w:val="center"/>
        <w:rPr>
          <w:rFonts w:hint="default" w:eastAsia="宋体" w:cs="黑体"/>
          <w:b w:val="0"/>
          <w:bCs w:val="0"/>
          <w:color w:val="000000" w:themeColor="text1"/>
          <w:highlight w:val="none"/>
          <w:lang w:val="en-US" w:eastAsia="zh-CN"/>
          <w14:textFill>
            <w14:solidFill>
              <w14:schemeClr w14:val="tx1"/>
            </w14:solidFill>
          </w14:textFill>
        </w:rPr>
      </w:pPr>
      <w:r>
        <w:rPr>
          <w:rFonts w:hint="eastAsia" w:cs="黑体"/>
          <w:b w:val="0"/>
          <w:bCs w:val="0"/>
          <w:color w:val="000000" w:themeColor="text1"/>
          <w:highlight w:val="none"/>
          <w14:textFill>
            <w14:solidFill>
              <w14:schemeClr w14:val="tx1"/>
            </w14:solidFill>
          </w14:textFill>
        </w:rPr>
        <w:br w:type="page"/>
      </w:r>
    </w:p>
    <w:p w14:paraId="686B7D22">
      <w:pPr>
        <w:pStyle w:val="3"/>
        <w:spacing w:before="120" w:beforeLines="50" w:after="120" w:afterLines="50" w:line="240" w:lineRule="auto"/>
        <w:jc w:val="center"/>
        <w:rPr>
          <w:rFonts w:cs="宋体"/>
          <w:color w:val="000000" w:themeColor="text1"/>
          <w:sz w:val="24"/>
          <w:szCs w:val="24"/>
          <w:highlight w:val="none"/>
          <w14:textFill>
            <w14:solidFill>
              <w14:schemeClr w14:val="tx1"/>
            </w14:solidFill>
          </w14:textFill>
        </w:rPr>
      </w:pPr>
      <w:r>
        <w:rPr>
          <w:rFonts w:hint="eastAsia" w:cs="黑体"/>
          <w:b w:val="0"/>
          <w:bCs w:val="0"/>
          <w:color w:val="000000" w:themeColor="text1"/>
          <w:highlight w:val="none"/>
          <w14:textFill>
            <w14:solidFill>
              <w14:schemeClr w14:val="tx1"/>
            </w14:solidFill>
          </w14:textFill>
        </w:rPr>
        <w:t>第</w:t>
      </w:r>
      <w:r>
        <w:rPr>
          <w:rFonts w:hint="eastAsia" w:cs="黑体"/>
          <w:b w:val="0"/>
          <w:bCs w:val="0"/>
          <w:color w:val="000000" w:themeColor="text1"/>
          <w:highlight w:val="none"/>
          <w:lang w:val="en-US" w:eastAsia="zh-CN"/>
          <w14:textFill>
            <w14:solidFill>
              <w14:schemeClr w14:val="tx1"/>
            </w14:solidFill>
          </w14:textFill>
        </w:rPr>
        <w:t>二</w:t>
      </w:r>
      <w:r>
        <w:rPr>
          <w:rFonts w:hint="eastAsia" w:cs="黑体"/>
          <w:b w:val="0"/>
          <w:bCs w:val="0"/>
          <w:color w:val="000000" w:themeColor="text1"/>
          <w:highlight w:val="none"/>
          <w14:textFill>
            <w14:solidFill>
              <w14:schemeClr w14:val="tx1"/>
            </w14:solidFill>
          </w14:textFill>
        </w:rPr>
        <w:t>章投标人须知</w:t>
      </w:r>
      <w:bookmarkEnd w:id="11"/>
      <w:bookmarkEnd w:id="12"/>
      <w:bookmarkEnd w:id="13"/>
      <w:bookmarkEnd w:id="14"/>
      <w:bookmarkEnd w:id="15"/>
      <w:bookmarkEnd w:id="16"/>
      <w:bookmarkEnd w:id="17"/>
      <w:bookmarkEnd w:id="18"/>
      <w:bookmarkEnd w:id="19"/>
      <w:bookmarkEnd w:id="20"/>
      <w:bookmarkEnd w:id="21"/>
      <w:bookmarkEnd w:id="22"/>
      <w:bookmarkEnd w:id="23"/>
      <w:bookmarkStart w:id="67" w:name="_Toc234675075"/>
      <w:bookmarkStart w:id="68" w:name="_Toc152045528"/>
      <w:bookmarkStart w:id="69" w:name="_Toc179632545"/>
      <w:bookmarkStart w:id="70" w:name="_Toc12135"/>
      <w:bookmarkStart w:id="71" w:name="_Toc144974496"/>
      <w:bookmarkStart w:id="72" w:name="_Toc152042304"/>
      <w:bookmarkStart w:id="73" w:name="_Toc238559184"/>
      <w:bookmarkStart w:id="74" w:name="_Toc460366496"/>
      <w:bookmarkStart w:id="75" w:name="_Toc234744443"/>
    </w:p>
    <w:p w14:paraId="1F0DAD39">
      <w:pPr>
        <w:adjustRightInd w:val="0"/>
        <w:snapToGrid w:val="0"/>
        <w:spacing w:line="360" w:lineRule="auto"/>
        <w:ind w:left="228" w:right="-20"/>
        <w:rPr>
          <w:rFonts w:cs="宋体"/>
          <w:color w:val="000000" w:themeColor="text1"/>
          <w:sz w:val="24"/>
          <w:szCs w:val="24"/>
          <w:highlight w:val="none"/>
          <w14:textFill>
            <w14:solidFill>
              <w14:schemeClr w14:val="tx1"/>
            </w14:solidFill>
          </w14:textFill>
        </w:rPr>
      </w:pPr>
    </w:p>
    <w:tbl>
      <w:tblPr>
        <w:tblStyle w:val="17"/>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2"/>
        <w:gridCol w:w="1688"/>
        <w:gridCol w:w="5689"/>
      </w:tblGrid>
      <w:tr w14:paraId="73CF6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01" w:type="pct"/>
            <w:vAlign w:val="center"/>
          </w:tcPr>
          <w:p w14:paraId="62471D35">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条款号</w:t>
            </w:r>
          </w:p>
        </w:tc>
        <w:tc>
          <w:tcPr>
            <w:tcW w:w="937" w:type="pct"/>
            <w:vAlign w:val="center"/>
          </w:tcPr>
          <w:p w14:paraId="3CF24553">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条款名称</w:t>
            </w:r>
          </w:p>
        </w:tc>
        <w:tc>
          <w:tcPr>
            <w:tcW w:w="3160" w:type="pct"/>
            <w:vAlign w:val="center"/>
          </w:tcPr>
          <w:p w14:paraId="08F7A4B1">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编列内容</w:t>
            </w:r>
          </w:p>
        </w:tc>
      </w:tr>
      <w:tr w14:paraId="2EE01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1B89AFB5">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1.1.2</w:t>
            </w:r>
          </w:p>
        </w:tc>
        <w:tc>
          <w:tcPr>
            <w:tcW w:w="937" w:type="pct"/>
            <w:vAlign w:val="center"/>
          </w:tcPr>
          <w:p w14:paraId="25F3993B">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招标人</w:t>
            </w:r>
          </w:p>
        </w:tc>
        <w:tc>
          <w:tcPr>
            <w:tcW w:w="3160" w:type="pct"/>
            <w:vAlign w:val="center"/>
          </w:tcPr>
          <w:p w14:paraId="340B88EE">
            <w:pPr>
              <w:widowControl/>
              <w:adjustRightInd w:val="0"/>
              <w:snapToGrid w:val="0"/>
              <w:jc w:val="left"/>
              <w:rPr>
                <w:rFonts w:ascii="宋体" w:hAnsi="宋体" w:cs="宋体"/>
                <w:kern w:val="0"/>
                <w:highlight w:val="none"/>
              </w:rPr>
            </w:pPr>
            <w:r>
              <w:rPr>
                <w:rFonts w:hint="eastAsia" w:ascii="宋体" w:hAnsi="宋体" w:cs="宋体"/>
                <w:kern w:val="0"/>
                <w:highlight w:val="none"/>
              </w:rPr>
              <w:t>招标人：南通市交通公共事业发展中心</w:t>
            </w:r>
          </w:p>
          <w:p w14:paraId="34C90F7E">
            <w:pPr>
              <w:widowControl/>
              <w:adjustRightInd w:val="0"/>
              <w:snapToGrid w:val="0"/>
              <w:jc w:val="left"/>
              <w:rPr>
                <w:rFonts w:ascii="宋体" w:hAnsi="宋体" w:cs="宋体"/>
                <w:kern w:val="0"/>
                <w:highlight w:val="none"/>
              </w:rPr>
            </w:pPr>
            <w:r>
              <w:rPr>
                <w:rFonts w:hint="eastAsia" w:ascii="宋体" w:hAnsi="宋体" w:cs="宋体"/>
                <w:kern w:val="0"/>
                <w:highlight w:val="none"/>
              </w:rPr>
              <w:t>地  址： 南通市通京大道8号</w:t>
            </w:r>
          </w:p>
          <w:p w14:paraId="1117B0E0">
            <w:pPr>
              <w:widowControl/>
              <w:adjustRightInd w:val="0"/>
              <w:snapToGrid w:val="0"/>
              <w:jc w:val="left"/>
              <w:rPr>
                <w:rFonts w:hint="eastAsia" w:ascii="宋体" w:hAnsi="宋体" w:cs="宋体"/>
                <w:kern w:val="0"/>
                <w:highlight w:val="none"/>
              </w:rPr>
            </w:pPr>
            <w:r>
              <w:rPr>
                <w:rFonts w:hint="eastAsia" w:ascii="宋体" w:hAnsi="宋体" w:cs="宋体"/>
                <w:kern w:val="0"/>
                <w:highlight w:val="none"/>
              </w:rPr>
              <w:t>联 系 人：</w:t>
            </w:r>
            <w:r>
              <w:rPr>
                <w:rFonts w:hint="eastAsia" w:ascii="宋体" w:hAnsi="宋体" w:cs="宋体"/>
                <w:kern w:val="0"/>
                <w:highlight w:val="none"/>
                <w:lang w:val="en-US" w:eastAsia="zh-CN"/>
              </w:rPr>
              <w:t>张先生</w:t>
            </w:r>
            <w:r>
              <w:rPr>
                <w:rFonts w:hint="eastAsia" w:ascii="宋体" w:hAnsi="宋体" w:cs="宋体"/>
                <w:kern w:val="0"/>
                <w:highlight w:val="none"/>
              </w:rPr>
              <w:tab/>
            </w:r>
          </w:p>
          <w:p w14:paraId="53152008">
            <w:pPr>
              <w:rPr>
                <w:rFonts w:hint="default" w:eastAsia="宋体"/>
                <w:color w:val="000000" w:themeColor="text1"/>
                <w:spacing w:val="4"/>
                <w:highlight w:val="none"/>
                <w:lang w:val="en-US" w:eastAsia="zh-CN"/>
                <w14:textFill>
                  <w14:solidFill>
                    <w14:schemeClr w14:val="tx1"/>
                  </w14:solidFill>
                </w14:textFill>
              </w:rPr>
            </w:pPr>
            <w:r>
              <w:rPr>
                <w:rFonts w:hint="eastAsia" w:ascii="宋体" w:hAnsi="宋体" w:cs="宋体"/>
                <w:kern w:val="0"/>
                <w:sz w:val="21"/>
                <w:szCs w:val="21"/>
                <w:highlight w:val="none"/>
              </w:rPr>
              <w:t>电   话：</w:t>
            </w:r>
            <w:r>
              <w:rPr>
                <w:rFonts w:hint="eastAsia" w:ascii="宋体" w:hAnsi="宋体" w:cs="宋体"/>
                <w:color w:val="000000" w:themeColor="text1"/>
                <w:kern w:val="0"/>
                <w:sz w:val="21"/>
                <w:szCs w:val="21"/>
                <w:highlight w:val="none"/>
                <w:u w:val="none"/>
                <w:lang w:val="en-US" w:eastAsia="zh-CN"/>
                <w14:textFill>
                  <w14:solidFill>
                    <w14:schemeClr w14:val="tx1"/>
                  </w14:solidFill>
                </w14:textFill>
              </w:rPr>
              <w:t>0513-59001192</w:t>
            </w:r>
          </w:p>
        </w:tc>
      </w:tr>
      <w:tr w14:paraId="7C364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1E465AB8">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1.1.3</w:t>
            </w:r>
          </w:p>
        </w:tc>
        <w:tc>
          <w:tcPr>
            <w:tcW w:w="937" w:type="pct"/>
            <w:vAlign w:val="center"/>
          </w:tcPr>
          <w:p w14:paraId="2BD4CE5F">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招标代理机构</w:t>
            </w:r>
          </w:p>
        </w:tc>
        <w:tc>
          <w:tcPr>
            <w:tcW w:w="3160" w:type="pct"/>
            <w:vAlign w:val="center"/>
          </w:tcPr>
          <w:p w14:paraId="7898667F">
            <w:pPr>
              <w:rPr>
                <w:rFonts w:cs="宋体"/>
                <w:color w:val="000000" w:themeColor="text1"/>
                <w:spacing w:val="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p>
        </w:tc>
      </w:tr>
      <w:tr w14:paraId="63457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59A2578B">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1.1.4</w:t>
            </w:r>
          </w:p>
        </w:tc>
        <w:tc>
          <w:tcPr>
            <w:tcW w:w="937" w:type="pct"/>
            <w:vAlign w:val="center"/>
          </w:tcPr>
          <w:p w14:paraId="6B4F6936">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招标项目名称</w:t>
            </w:r>
          </w:p>
        </w:tc>
        <w:tc>
          <w:tcPr>
            <w:tcW w:w="3160" w:type="pct"/>
            <w:vAlign w:val="center"/>
          </w:tcPr>
          <w:p w14:paraId="105E4383">
            <w:pPr>
              <w:widowControl/>
              <w:adjustRightInd w:val="0"/>
              <w:snapToGrid w:val="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彩钢瓦屋顶修缮工程</w:t>
            </w:r>
          </w:p>
        </w:tc>
      </w:tr>
      <w:tr w14:paraId="3B00E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4EADDC55">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1.1.5</w:t>
            </w:r>
          </w:p>
        </w:tc>
        <w:tc>
          <w:tcPr>
            <w:tcW w:w="937" w:type="pct"/>
            <w:vAlign w:val="center"/>
          </w:tcPr>
          <w:p w14:paraId="02204272">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标段建设地点</w:t>
            </w:r>
          </w:p>
        </w:tc>
        <w:tc>
          <w:tcPr>
            <w:tcW w:w="3160" w:type="pct"/>
            <w:vAlign w:val="center"/>
          </w:tcPr>
          <w:p w14:paraId="5ABAA7F9">
            <w:pPr>
              <w:widowControl/>
              <w:adjustRightInd w:val="0"/>
              <w:snapToGrid w:val="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南通市交通公共事业发展中心</w:t>
            </w:r>
          </w:p>
        </w:tc>
      </w:tr>
      <w:tr w14:paraId="7636F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104663E9">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1.2.1</w:t>
            </w:r>
          </w:p>
        </w:tc>
        <w:tc>
          <w:tcPr>
            <w:tcW w:w="937" w:type="pct"/>
            <w:vAlign w:val="center"/>
          </w:tcPr>
          <w:p w14:paraId="0686A120">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资金来源及比例</w:t>
            </w:r>
          </w:p>
        </w:tc>
        <w:tc>
          <w:tcPr>
            <w:tcW w:w="3160" w:type="pct"/>
            <w:vAlign w:val="center"/>
          </w:tcPr>
          <w:p w14:paraId="4A5BD640">
            <w:pPr>
              <w:widowControl/>
              <w:adjustRightInd w:val="0"/>
              <w:snapToGrid w:val="0"/>
              <w:rPr>
                <w:rFonts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100%</w:t>
            </w:r>
          </w:p>
        </w:tc>
      </w:tr>
      <w:tr w14:paraId="2FDC1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76ADDA5D">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1.2.2</w:t>
            </w:r>
          </w:p>
        </w:tc>
        <w:tc>
          <w:tcPr>
            <w:tcW w:w="937" w:type="pct"/>
            <w:vAlign w:val="center"/>
          </w:tcPr>
          <w:p w14:paraId="5E52F6C3">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资金落实情况</w:t>
            </w:r>
          </w:p>
        </w:tc>
        <w:tc>
          <w:tcPr>
            <w:tcW w:w="3160" w:type="pct"/>
            <w:vAlign w:val="center"/>
          </w:tcPr>
          <w:p w14:paraId="5542EA3C">
            <w:pPr>
              <w:widowControl/>
              <w:adjustRightInd w:val="0"/>
              <w:snapToGrid w:val="0"/>
              <w:rPr>
                <w:rFonts w:cs="宋体"/>
                <w:color w:val="000000" w:themeColor="text1"/>
                <w:highlight w:val="none"/>
                <w14:textFill>
                  <w14:solidFill>
                    <w14:schemeClr w14:val="tx1"/>
                  </w14:solidFill>
                </w14:textFill>
              </w:rPr>
            </w:pPr>
            <w:r>
              <w:rPr>
                <w:rFonts w:hint="eastAsia" w:cs="宋体"/>
                <w:color w:val="000000" w:themeColor="text1"/>
                <w:spacing w:val="4"/>
                <w:highlight w:val="none"/>
                <w14:textFill>
                  <w14:solidFill>
                    <w14:schemeClr w14:val="tx1"/>
                  </w14:solidFill>
                </w14:textFill>
              </w:rPr>
              <w:t>已落实</w:t>
            </w:r>
          </w:p>
        </w:tc>
      </w:tr>
      <w:tr w14:paraId="6ACA9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2E19EE6F">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1.3.1</w:t>
            </w:r>
          </w:p>
        </w:tc>
        <w:tc>
          <w:tcPr>
            <w:tcW w:w="937" w:type="pct"/>
            <w:vAlign w:val="center"/>
          </w:tcPr>
          <w:p w14:paraId="4D64391E">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招标范围</w:t>
            </w:r>
          </w:p>
        </w:tc>
        <w:tc>
          <w:tcPr>
            <w:tcW w:w="3160" w:type="pct"/>
            <w:vAlign w:val="center"/>
          </w:tcPr>
          <w:p w14:paraId="28012A71">
            <w:pPr>
              <w:widowControl/>
              <w:adjustRightInd w:val="0"/>
              <w:snapToGrid w:val="0"/>
              <w:rPr>
                <w:rFonts w:cs="宋体"/>
                <w:color w:val="000000" w:themeColor="text1"/>
                <w:highlight w:val="none"/>
                <w14:textFill>
                  <w14:solidFill>
                    <w14:schemeClr w14:val="tx1"/>
                  </w14:solidFill>
                </w14:textFill>
              </w:rPr>
            </w:pPr>
            <w:r>
              <w:rPr>
                <w:rFonts w:hint="eastAsia" w:cs="宋体"/>
                <w:color w:val="000000" w:themeColor="text1"/>
                <w:spacing w:val="4"/>
                <w:highlight w:val="none"/>
                <w14:textFill>
                  <w14:solidFill>
                    <w14:schemeClr w14:val="tx1"/>
                  </w14:solidFill>
                </w14:textFill>
              </w:rPr>
              <w:t>见招标公告</w:t>
            </w:r>
          </w:p>
        </w:tc>
      </w:tr>
      <w:tr w14:paraId="46ED3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167EC32E">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1.3.2</w:t>
            </w:r>
          </w:p>
        </w:tc>
        <w:tc>
          <w:tcPr>
            <w:tcW w:w="937" w:type="pct"/>
            <w:vAlign w:val="center"/>
          </w:tcPr>
          <w:p w14:paraId="4238FD02">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计划工期</w:t>
            </w:r>
          </w:p>
        </w:tc>
        <w:tc>
          <w:tcPr>
            <w:tcW w:w="3160" w:type="pct"/>
            <w:vAlign w:val="center"/>
          </w:tcPr>
          <w:p w14:paraId="1BCAE758">
            <w:pPr>
              <w:widowControl/>
              <w:adjustRightInd w:val="0"/>
              <w:snapToGrid w:val="0"/>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见招标公告</w:t>
            </w:r>
          </w:p>
        </w:tc>
      </w:tr>
      <w:tr w14:paraId="5EF91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901" w:type="pct"/>
            <w:vAlign w:val="center"/>
          </w:tcPr>
          <w:p w14:paraId="46B9CF26">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1.3.3</w:t>
            </w:r>
          </w:p>
        </w:tc>
        <w:tc>
          <w:tcPr>
            <w:tcW w:w="937" w:type="pct"/>
            <w:vAlign w:val="center"/>
          </w:tcPr>
          <w:p w14:paraId="48F85AC0">
            <w:pPr>
              <w:widowControl/>
              <w:adjustRightInd w:val="0"/>
              <w:snapToGrid w:val="0"/>
              <w:jc w:val="center"/>
              <w:rPr>
                <w:rFonts w:cs="宋体"/>
                <w:color w:val="000000" w:themeColor="text1"/>
                <w:highlight w:val="none"/>
                <w14:textFill>
                  <w14:solidFill>
                    <w14:schemeClr w14:val="tx1"/>
                  </w14:solidFill>
                </w14:textFill>
              </w:rPr>
            </w:pPr>
            <w:bookmarkStart w:id="76" w:name="_Hlk44357810"/>
            <w:r>
              <w:rPr>
                <w:rFonts w:hint="eastAsia" w:cs="宋体"/>
                <w:color w:val="000000" w:themeColor="text1"/>
                <w:kern w:val="0"/>
                <w:highlight w:val="none"/>
                <w14:textFill>
                  <w14:solidFill>
                    <w14:schemeClr w14:val="tx1"/>
                  </w14:solidFill>
                </w14:textFill>
              </w:rPr>
              <w:t>质量要求</w:t>
            </w:r>
            <w:bookmarkEnd w:id="76"/>
          </w:p>
        </w:tc>
        <w:tc>
          <w:tcPr>
            <w:tcW w:w="3160" w:type="pct"/>
            <w:vAlign w:val="center"/>
          </w:tcPr>
          <w:p w14:paraId="4246DA0B">
            <w:pPr>
              <w:widowControl/>
              <w:adjustRightInd w:val="0"/>
              <w:snapToGrid w:val="0"/>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合格</w:t>
            </w:r>
          </w:p>
        </w:tc>
      </w:tr>
      <w:tr w14:paraId="076D5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198B4FEF">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1.3.4</w:t>
            </w:r>
          </w:p>
        </w:tc>
        <w:tc>
          <w:tcPr>
            <w:tcW w:w="937" w:type="pct"/>
            <w:vAlign w:val="center"/>
          </w:tcPr>
          <w:p w14:paraId="7E98CC05">
            <w:pPr>
              <w:widowControl/>
              <w:adjustRightInd w:val="0"/>
              <w:snapToGrid w:val="0"/>
              <w:jc w:val="center"/>
              <w:rPr>
                <w:rFonts w:cs="宋体"/>
                <w:color w:val="000000" w:themeColor="text1"/>
                <w:highlight w:val="none"/>
                <w14:textFill>
                  <w14:solidFill>
                    <w14:schemeClr w14:val="tx1"/>
                  </w14:solidFill>
                </w14:textFill>
              </w:rPr>
            </w:pPr>
            <w:bookmarkStart w:id="77" w:name="_Hlk44357827"/>
            <w:r>
              <w:rPr>
                <w:rFonts w:hint="eastAsia" w:cs="宋体"/>
                <w:color w:val="000000" w:themeColor="text1"/>
                <w:kern w:val="0"/>
                <w:highlight w:val="none"/>
                <w14:textFill>
                  <w14:solidFill>
                    <w14:schemeClr w14:val="tx1"/>
                  </w14:solidFill>
                </w14:textFill>
              </w:rPr>
              <w:t>安全目标</w:t>
            </w:r>
            <w:bookmarkEnd w:id="77"/>
          </w:p>
        </w:tc>
        <w:tc>
          <w:tcPr>
            <w:tcW w:w="3160" w:type="pct"/>
            <w:vAlign w:val="center"/>
          </w:tcPr>
          <w:p w14:paraId="7FB414A9">
            <w:pPr>
              <w:widowControl/>
              <w:adjustRightInd w:val="0"/>
              <w:snapToGrid w:val="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安全生产无责任事故</w:t>
            </w:r>
          </w:p>
        </w:tc>
      </w:tr>
      <w:tr w14:paraId="7358D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5FD160C2">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1.4.1</w:t>
            </w:r>
          </w:p>
        </w:tc>
        <w:tc>
          <w:tcPr>
            <w:tcW w:w="937" w:type="pct"/>
            <w:vAlign w:val="center"/>
          </w:tcPr>
          <w:p w14:paraId="30486B23">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投标人资质条件、能力和信誉</w:t>
            </w:r>
          </w:p>
        </w:tc>
        <w:tc>
          <w:tcPr>
            <w:tcW w:w="3160" w:type="pct"/>
            <w:vAlign w:val="center"/>
          </w:tcPr>
          <w:p w14:paraId="22AF135B">
            <w:pPr>
              <w:widowControl/>
              <w:adjustRightInd w:val="0"/>
              <w:snapToGrid w:val="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详见招标公告。</w:t>
            </w:r>
          </w:p>
        </w:tc>
      </w:tr>
      <w:tr w14:paraId="1D6B4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44731600">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1.4.2</w:t>
            </w:r>
          </w:p>
        </w:tc>
        <w:tc>
          <w:tcPr>
            <w:tcW w:w="937" w:type="pct"/>
            <w:vAlign w:val="center"/>
          </w:tcPr>
          <w:p w14:paraId="686803A2">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是否接受联合体投标</w:t>
            </w:r>
          </w:p>
        </w:tc>
        <w:tc>
          <w:tcPr>
            <w:tcW w:w="3160" w:type="pct"/>
            <w:vAlign w:val="center"/>
          </w:tcPr>
          <w:p w14:paraId="6F282473">
            <w:pPr>
              <w:widowControl/>
              <w:adjustRightInd w:val="0"/>
              <w:snapToGrid w:val="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□接受</w:t>
            </w:r>
          </w:p>
          <w:p w14:paraId="45B63DCB">
            <w:pPr>
              <w:widowControl/>
              <w:adjustRightInd w:val="0"/>
              <w:snapToGrid w:val="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sym w:font="Wingdings 2" w:char="0052"/>
            </w:r>
            <w:r>
              <w:rPr>
                <w:rFonts w:hint="eastAsia" w:cs="宋体"/>
                <w:color w:val="000000" w:themeColor="text1"/>
                <w:kern w:val="0"/>
                <w:highlight w:val="none"/>
                <w14:textFill>
                  <w14:solidFill>
                    <w14:schemeClr w14:val="tx1"/>
                  </w14:solidFill>
                </w14:textFill>
              </w:rPr>
              <w:t>不接受</w:t>
            </w:r>
          </w:p>
          <w:p w14:paraId="5E4C8F88">
            <w:pPr>
              <w:widowControl/>
              <w:adjustRightInd w:val="0"/>
              <w:snapToGrid w:val="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若接受，应满足下列要求：</w:t>
            </w:r>
          </w:p>
          <w:p w14:paraId="3E81F0AA">
            <w:pPr>
              <w:widowControl/>
              <w:adjustRightInd w:val="0"/>
              <w:snapToGrid w:val="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（1）联合体所有成员数量不得超过</w:t>
            </w:r>
            <w:r>
              <w:rPr>
                <w:rFonts w:hint="eastAsia" w:cs="宋体"/>
                <w:color w:val="000000" w:themeColor="text1"/>
                <w:kern w:val="0"/>
                <w:highlight w:val="none"/>
                <w:u w:val="single"/>
                <w14:textFill>
                  <w14:solidFill>
                    <w14:schemeClr w14:val="tx1"/>
                  </w14:solidFill>
                </w14:textFill>
              </w:rPr>
              <w:t xml:space="preserve">  </w:t>
            </w:r>
            <w:r>
              <w:rPr>
                <w:rFonts w:hint="eastAsia" w:cs="宋体"/>
                <w:color w:val="000000" w:themeColor="text1"/>
                <w:kern w:val="0"/>
                <w:highlight w:val="none"/>
                <w14:textFill>
                  <w14:solidFill>
                    <w14:schemeClr w14:val="tx1"/>
                  </w14:solidFill>
                </w14:textFill>
              </w:rPr>
              <w:t>家；</w:t>
            </w:r>
          </w:p>
          <w:p w14:paraId="41246C9D">
            <w:pPr>
              <w:widowControl/>
              <w:adjustRightInd w:val="0"/>
              <w:snapToGrid w:val="0"/>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（2）联合体牵头人应具有资质；</w:t>
            </w:r>
          </w:p>
        </w:tc>
      </w:tr>
      <w:tr w14:paraId="61247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atLeast"/>
        </w:trPr>
        <w:tc>
          <w:tcPr>
            <w:tcW w:w="901" w:type="pct"/>
            <w:vAlign w:val="center"/>
          </w:tcPr>
          <w:p w14:paraId="0F105EEB">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1.4.3</w:t>
            </w:r>
          </w:p>
        </w:tc>
        <w:tc>
          <w:tcPr>
            <w:tcW w:w="937" w:type="pct"/>
            <w:vAlign w:val="center"/>
          </w:tcPr>
          <w:p w14:paraId="092E3956">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投标人不得存在的其他关联情形</w:t>
            </w:r>
          </w:p>
        </w:tc>
        <w:tc>
          <w:tcPr>
            <w:tcW w:w="3160" w:type="pct"/>
            <w:vAlign w:val="center"/>
          </w:tcPr>
          <w:p w14:paraId="53237D01">
            <w:pPr>
              <w:widowControl/>
              <w:adjustRightInd w:val="0"/>
              <w:snapToGrid w:val="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w:t>
            </w:r>
          </w:p>
        </w:tc>
      </w:tr>
      <w:tr w14:paraId="0A81B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65080F5C">
            <w:pPr>
              <w:widowControl/>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1.4.4</w:t>
            </w:r>
          </w:p>
        </w:tc>
        <w:tc>
          <w:tcPr>
            <w:tcW w:w="937" w:type="pct"/>
            <w:vAlign w:val="center"/>
          </w:tcPr>
          <w:p w14:paraId="742FD1B3">
            <w:pPr>
              <w:widowControl/>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投标人不得存在的其他不良状况或不良信用记录</w:t>
            </w:r>
          </w:p>
        </w:tc>
        <w:tc>
          <w:tcPr>
            <w:tcW w:w="3160" w:type="pct"/>
            <w:vAlign w:val="center"/>
          </w:tcPr>
          <w:p w14:paraId="31415454">
            <w:pPr>
              <w:widowControl/>
              <w:adjustRightInd w:val="0"/>
              <w:snapToGrid w:val="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w:t>
            </w:r>
          </w:p>
        </w:tc>
      </w:tr>
      <w:tr w14:paraId="6765B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683067AB">
            <w:pPr>
              <w:widowControl/>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1.10.2</w:t>
            </w:r>
          </w:p>
        </w:tc>
        <w:tc>
          <w:tcPr>
            <w:tcW w:w="937" w:type="pct"/>
            <w:vAlign w:val="center"/>
          </w:tcPr>
          <w:p w14:paraId="24A352BE">
            <w:pPr>
              <w:widowControl/>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投标人在投标预备会前提出问题</w:t>
            </w:r>
          </w:p>
        </w:tc>
        <w:tc>
          <w:tcPr>
            <w:tcW w:w="3160" w:type="pct"/>
            <w:vAlign w:val="center"/>
          </w:tcPr>
          <w:p w14:paraId="7772A2FC">
            <w:pPr>
              <w:widowControl/>
              <w:adjustRightInd w:val="0"/>
              <w:snapToGrid w:val="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时间：</w:t>
            </w:r>
            <w:r>
              <w:rPr>
                <w:rFonts w:ascii="宋体" w:hAnsi="宋体" w:cs="宋体"/>
                <w:color w:val="000000" w:themeColor="text1"/>
                <w:highlight w:val="none"/>
                <w14:textFill>
                  <w14:solidFill>
                    <w14:schemeClr w14:val="tx1"/>
                  </w14:solidFill>
                </w14:textFill>
              </w:rPr>
              <w:t>/</w:t>
            </w:r>
          </w:p>
          <w:p w14:paraId="6F5B18AD">
            <w:pPr>
              <w:widowControl/>
              <w:adjustRightInd w:val="0"/>
              <w:snapToGrid w:val="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形式：</w:t>
            </w:r>
            <w:r>
              <w:rPr>
                <w:rFonts w:ascii="宋体" w:hAnsi="宋体" w:cs="宋体"/>
                <w:color w:val="000000" w:themeColor="text1"/>
                <w:highlight w:val="none"/>
                <w14:textFill>
                  <w14:solidFill>
                    <w14:schemeClr w14:val="tx1"/>
                  </w14:solidFill>
                </w14:textFill>
              </w:rPr>
              <w:t>/</w:t>
            </w:r>
          </w:p>
        </w:tc>
      </w:tr>
      <w:tr w14:paraId="06426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43023B1A">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1.11.1</w:t>
            </w:r>
          </w:p>
        </w:tc>
        <w:tc>
          <w:tcPr>
            <w:tcW w:w="937" w:type="pct"/>
            <w:vAlign w:val="center"/>
          </w:tcPr>
          <w:p w14:paraId="68E98AA1">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分包</w:t>
            </w:r>
          </w:p>
        </w:tc>
        <w:tc>
          <w:tcPr>
            <w:tcW w:w="3160" w:type="pct"/>
            <w:vAlign w:val="center"/>
          </w:tcPr>
          <w:p w14:paraId="4BEEBB85">
            <w:pPr>
              <w:widowControl/>
              <w:adjustRightInd w:val="0"/>
              <w:snapToGrid w:val="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□允许</w:t>
            </w:r>
          </w:p>
          <w:p w14:paraId="6B9459CA">
            <w:pPr>
              <w:widowControl/>
              <w:adjustRightInd w:val="0"/>
              <w:snapToGrid w:val="0"/>
              <w:rPr>
                <w:rFonts w:cs="宋体"/>
                <w:color w:val="000000" w:themeColor="text1"/>
                <w:highlight w:val="none"/>
                <w14:textFill>
                  <w14:solidFill>
                    <w14:schemeClr w14:val="tx1"/>
                  </w14:solidFill>
                </w14:textFill>
              </w:rPr>
            </w:pPr>
            <w:bookmarkStart w:id="78" w:name="_Hlk44358528"/>
            <w:r>
              <w:rPr>
                <w:rFonts w:hint="eastAsia" w:cs="宋体"/>
                <w:color w:val="000000" w:themeColor="text1"/>
                <w:kern w:val="0"/>
                <w:highlight w:val="none"/>
                <w14:textFill>
                  <w14:solidFill>
                    <w14:schemeClr w14:val="tx1"/>
                  </w14:solidFill>
                </w14:textFill>
              </w:rPr>
              <w:sym w:font="Wingdings 2" w:char="0052"/>
            </w:r>
            <w:bookmarkEnd w:id="78"/>
            <w:r>
              <w:rPr>
                <w:rFonts w:hint="eastAsia" w:cs="宋体"/>
                <w:color w:val="000000" w:themeColor="text1"/>
                <w:kern w:val="0"/>
                <w:highlight w:val="none"/>
                <w14:textFill>
                  <w14:solidFill>
                    <w14:schemeClr w14:val="tx1"/>
                  </w14:solidFill>
                </w14:textFill>
              </w:rPr>
              <w:t>不允许</w:t>
            </w:r>
          </w:p>
        </w:tc>
      </w:tr>
      <w:tr w14:paraId="1A335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6C475B00">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2.1</w:t>
            </w:r>
          </w:p>
        </w:tc>
        <w:tc>
          <w:tcPr>
            <w:tcW w:w="937" w:type="pct"/>
            <w:vAlign w:val="center"/>
          </w:tcPr>
          <w:p w14:paraId="467AE351">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构成招标文件的其他材料</w:t>
            </w:r>
          </w:p>
        </w:tc>
        <w:tc>
          <w:tcPr>
            <w:tcW w:w="3160" w:type="pct"/>
            <w:vAlign w:val="center"/>
          </w:tcPr>
          <w:p w14:paraId="66D6B075">
            <w:pPr>
              <w:widowControl/>
              <w:adjustRightInd w:val="0"/>
              <w:snapToGrid w:val="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w:t>
            </w:r>
          </w:p>
        </w:tc>
      </w:tr>
      <w:tr w14:paraId="3724A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6AC62D3B">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2.2.1</w:t>
            </w:r>
          </w:p>
        </w:tc>
        <w:tc>
          <w:tcPr>
            <w:tcW w:w="937" w:type="pct"/>
            <w:vAlign w:val="center"/>
          </w:tcPr>
          <w:p w14:paraId="02A25B9B">
            <w:pPr>
              <w:autoSpaceDE w:val="0"/>
              <w:autoSpaceDN w:val="0"/>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投标人要求澄清招标文件</w:t>
            </w:r>
          </w:p>
        </w:tc>
        <w:tc>
          <w:tcPr>
            <w:tcW w:w="3160" w:type="pct"/>
            <w:vAlign w:val="center"/>
          </w:tcPr>
          <w:p w14:paraId="30CA2489">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时间：递交投标文件截止之日3天前</w:t>
            </w:r>
          </w:p>
          <w:p w14:paraId="546E8854">
            <w:pPr>
              <w:widowControl/>
              <w:adjustRightInd w:val="0"/>
              <w:snapToGrid w:val="0"/>
              <w:rPr>
                <w:rFonts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形式：传真或电子邮件</w:t>
            </w:r>
          </w:p>
        </w:tc>
      </w:tr>
      <w:tr w14:paraId="1B55C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508F4470">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2.2.2</w:t>
            </w:r>
          </w:p>
        </w:tc>
        <w:tc>
          <w:tcPr>
            <w:tcW w:w="937" w:type="pct"/>
            <w:vAlign w:val="center"/>
          </w:tcPr>
          <w:p w14:paraId="330D1E2A">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招标文件澄清发出的形式</w:t>
            </w:r>
          </w:p>
        </w:tc>
        <w:tc>
          <w:tcPr>
            <w:tcW w:w="3160" w:type="pct"/>
            <w:vAlign w:val="center"/>
          </w:tcPr>
          <w:p w14:paraId="5D961C91">
            <w:pPr>
              <w:widowControl/>
              <w:adjustRightInd w:val="0"/>
              <w:snapToGrid w:val="0"/>
              <w:rPr>
                <w:rFonts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网络下载或电子邮件</w:t>
            </w:r>
          </w:p>
        </w:tc>
      </w:tr>
      <w:tr w14:paraId="67886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0398A64D">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2.2.3</w:t>
            </w:r>
          </w:p>
        </w:tc>
        <w:tc>
          <w:tcPr>
            <w:tcW w:w="937" w:type="pct"/>
            <w:vAlign w:val="center"/>
          </w:tcPr>
          <w:p w14:paraId="092B4C63">
            <w:pPr>
              <w:autoSpaceDE w:val="0"/>
              <w:autoSpaceDN w:val="0"/>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投标人确认收到招标文件澄清</w:t>
            </w:r>
          </w:p>
        </w:tc>
        <w:tc>
          <w:tcPr>
            <w:tcW w:w="3160" w:type="pct"/>
            <w:vAlign w:val="center"/>
          </w:tcPr>
          <w:p w14:paraId="06D005EF">
            <w:pPr>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时间：收到澄清后_</w:t>
            </w:r>
            <w:r>
              <w:rPr>
                <w:rFonts w:hint="eastAsia"/>
                <w:color w:val="000000" w:themeColor="text1"/>
                <w:highlight w:val="none"/>
                <w:u w:val="single"/>
                <w14:textFill>
                  <w14:solidFill>
                    <w14:schemeClr w14:val="tx1"/>
                  </w14:solidFill>
                </w14:textFill>
              </w:rPr>
              <w:t>24</w:t>
            </w:r>
            <w:r>
              <w:rPr>
                <w:rFonts w:hint="eastAsia"/>
                <w:color w:val="000000" w:themeColor="text1"/>
                <w:highlight w:val="none"/>
                <w14:textFill>
                  <w14:solidFill>
                    <w14:schemeClr w14:val="tx1"/>
                  </w14:solidFill>
                </w14:textFill>
              </w:rPr>
              <w:t>小时内（以发出时间为准）</w:t>
            </w:r>
          </w:p>
          <w:p w14:paraId="39361052">
            <w:pPr>
              <w:adjustRightInd w:val="0"/>
              <w:snapToGrid w:val="0"/>
              <w:rPr>
                <w:rFonts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形式：传真或电子邮件</w:t>
            </w:r>
          </w:p>
        </w:tc>
      </w:tr>
      <w:tr w14:paraId="4C731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613A105B">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2.3.1</w:t>
            </w:r>
          </w:p>
        </w:tc>
        <w:tc>
          <w:tcPr>
            <w:tcW w:w="937" w:type="pct"/>
            <w:vAlign w:val="center"/>
          </w:tcPr>
          <w:p w14:paraId="10A0FB4B">
            <w:pPr>
              <w:autoSpaceDE w:val="0"/>
              <w:autoSpaceDN w:val="0"/>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招标文件修改发出的形式</w:t>
            </w:r>
          </w:p>
        </w:tc>
        <w:tc>
          <w:tcPr>
            <w:tcW w:w="3160" w:type="pct"/>
            <w:vAlign w:val="center"/>
          </w:tcPr>
          <w:p w14:paraId="20931815">
            <w:pPr>
              <w:rPr>
                <w:rFonts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招标文件澄清以补遗书的形式在投标截止日</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天前上传至</w:t>
            </w:r>
            <w:r>
              <w:rPr>
                <w:rFonts w:hint="eastAsia" w:ascii="宋体" w:hAnsi="宋体"/>
                <w:color w:val="000000" w:themeColor="text1"/>
                <w:highlight w:val="none"/>
                <w14:textFill>
                  <w14:solidFill>
                    <w14:schemeClr w14:val="tx1"/>
                  </w14:solidFill>
                </w14:textFill>
              </w:rPr>
              <w:t>南通市交通运输局网站</w:t>
            </w:r>
            <w:r>
              <w:rPr>
                <w:color w:val="000000" w:themeColor="text1"/>
                <w:highlight w:val="none"/>
                <w14:textFill>
                  <w14:solidFill>
                    <w14:schemeClr w14:val="tx1"/>
                  </w14:solidFill>
                </w14:textFill>
              </w:rPr>
              <w:t>本项目招标公告资料下载处，请投标人自行下载并按规定回复收件确认单。</w:t>
            </w:r>
          </w:p>
        </w:tc>
      </w:tr>
      <w:tr w14:paraId="5CC46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4546CCE0">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2.3.2</w:t>
            </w:r>
          </w:p>
        </w:tc>
        <w:tc>
          <w:tcPr>
            <w:tcW w:w="937" w:type="pct"/>
            <w:vAlign w:val="center"/>
          </w:tcPr>
          <w:p w14:paraId="5D554EDC">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投标人确认收到招标文件修改</w:t>
            </w:r>
          </w:p>
        </w:tc>
        <w:tc>
          <w:tcPr>
            <w:tcW w:w="3160" w:type="pct"/>
            <w:vAlign w:val="center"/>
          </w:tcPr>
          <w:p w14:paraId="60FF119D">
            <w:pPr>
              <w:widowControl/>
              <w:adjustRightInd w:val="0"/>
              <w:snapToGrid w:val="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时间：收到修改后24小时内（以发出时间为准）</w:t>
            </w:r>
          </w:p>
          <w:p w14:paraId="0C29C720">
            <w:pPr>
              <w:widowControl/>
              <w:adjustRightInd w:val="0"/>
              <w:snapToGrid w:val="0"/>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形式：将盖有法人章的补遗书扫描件发送至招标</w:t>
            </w:r>
            <w:r>
              <w:rPr>
                <w:rFonts w:hint="eastAsia" w:cs="宋体"/>
                <w:color w:val="000000" w:themeColor="text1"/>
                <w:kern w:val="0"/>
                <w:highlight w:val="none"/>
                <w:lang w:val="en-US" w:eastAsia="zh-CN"/>
                <w14:textFill>
                  <w14:solidFill>
                    <w14:schemeClr w14:val="tx1"/>
                  </w14:solidFill>
                </w14:textFill>
              </w:rPr>
              <w:t>人</w:t>
            </w:r>
            <w:r>
              <w:rPr>
                <w:rFonts w:hint="eastAsia" w:cs="宋体"/>
                <w:color w:val="000000" w:themeColor="text1"/>
                <w:kern w:val="0"/>
                <w:highlight w:val="none"/>
                <w14:textFill>
                  <w14:solidFill>
                    <w14:schemeClr w14:val="tx1"/>
                  </w14:solidFill>
                </w14:textFill>
              </w:rPr>
              <w:t>的电子邮箱，澄清中应留有联系人的姓名和电话，并电话联系招标人以确认澄清是否已被接收。</w:t>
            </w:r>
          </w:p>
        </w:tc>
      </w:tr>
      <w:tr w14:paraId="10639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1080B9D5">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3.1.1</w:t>
            </w:r>
          </w:p>
        </w:tc>
        <w:tc>
          <w:tcPr>
            <w:tcW w:w="937" w:type="pct"/>
            <w:vAlign w:val="center"/>
          </w:tcPr>
          <w:p w14:paraId="73EB4A1C">
            <w:pPr>
              <w:autoSpaceDE w:val="0"/>
              <w:autoSpaceDN w:val="0"/>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投标文件密封</w:t>
            </w:r>
          </w:p>
          <w:p w14:paraId="3D2088B9">
            <w:pPr>
              <w:autoSpaceDE w:val="0"/>
              <w:autoSpaceDN w:val="0"/>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形式</w:t>
            </w:r>
          </w:p>
        </w:tc>
        <w:tc>
          <w:tcPr>
            <w:tcW w:w="3160" w:type="pct"/>
            <w:vAlign w:val="center"/>
          </w:tcPr>
          <w:p w14:paraId="0C364A6B">
            <w:pPr>
              <w:widowControl/>
              <w:adjustRightInd w:val="0"/>
              <w:snapToGrid w:val="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□单信封</w:t>
            </w:r>
          </w:p>
          <w:p w14:paraId="6251A0DF">
            <w:pPr>
              <w:widowControl/>
              <w:adjustRightInd w:val="0"/>
              <w:snapToGrid w:val="0"/>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sym w:font="Wingdings 2" w:char="0052"/>
            </w:r>
            <w:r>
              <w:rPr>
                <w:rFonts w:hint="eastAsia" w:cs="宋体"/>
                <w:color w:val="000000" w:themeColor="text1"/>
                <w:kern w:val="0"/>
                <w:highlight w:val="none"/>
                <w14:textFill>
                  <w14:solidFill>
                    <w14:schemeClr w14:val="tx1"/>
                  </w14:solidFill>
                </w14:textFill>
              </w:rPr>
              <w:t>双信封</w:t>
            </w:r>
          </w:p>
        </w:tc>
      </w:tr>
      <w:tr w14:paraId="2E672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4444E661">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3.1.1</w:t>
            </w:r>
          </w:p>
        </w:tc>
        <w:tc>
          <w:tcPr>
            <w:tcW w:w="937" w:type="pct"/>
            <w:vAlign w:val="center"/>
          </w:tcPr>
          <w:p w14:paraId="25F233BC">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构成投标文件的其他材料</w:t>
            </w:r>
          </w:p>
        </w:tc>
        <w:tc>
          <w:tcPr>
            <w:tcW w:w="3160" w:type="pct"/>
            <w:vAlign w:val="center"/>
          </w:tcPr>
          <w:p w14:paraId="1F21C5DF">
            <w:pPr>
              <w:widowControl/>
              <w:adjustRightInd w:val="0"/>
              <w:snapToGrid w:val="0"/>
              <w:rPr>
                <w:rFonts w:cs="宋体"/>
                <w:color w:val="000000" w:themeColor="text1"/>
                <w:highlight w:val="none"/>
                <w14:textFill>
                  <w14:solidFill>
                    <w14:schemeClr w14:val="tx1"/>
                  </w14:solidFill>
                </w14:textFill>
              </w:rPr>
            </w:pPr>
            <w:r>
              <w:rPr>
                <w:rFonts w:hint="eastAsia" w:cs="宋体"/>
                <w:b w:val="0"/>
                <w:bCs w:val="0"/>
                <w:color w:val="000000" w:themeColor="text1"/>
                <w:kern w:val="0"/>
                <w:sz w:val="21"/>
                <w:szCs w:val="21"/>
                <w:highlight w:val="none"/>
                <w:lang w:val="en-US" w:eastAsia="zh-CN"/>
                <w14:textFill>
                  <w14:solidFill>
                    <w14:schemeClr w14:val="tx1"/>
                  </w14:solidFill>
                </w14:textFill>
              </w:rPr>
              <w:t>见招标文件</w:t>
            </w:r>
            <w:r>
              <w:rPr>
                <w:rFonts w:hint="eastAsia" w:cs="宋体"/>
                <w:b w:val="0"/>
                <w:bCs w:val="0"/>
                <w:color w:val="000000" w:themeColor="text1"/>
                <w:kern w:val="0"/>
                <w:sz w:val="21"/>
                <w:szCs w:val="21"/>
                <w:highlight w:val="none"/>
                <w:lang w:eastAsia="zh-CN"/>
                <w14:textFill>
                  <w14:solidFill>
                    <w14:schemeClr w14:val="tx1"/>
                  </w14:solidFill>
                </w14:textFill>
              </w:rPr>
              <w:t>第六章</w:t>
            </w:r>
            <w:r>
              <w:rPr>
                <w:rFonts w:hint="eastAsia" w:cs="宋体"/>
                <w:b w:val="0"/>
                <w:bCs w:val="0"/>
                <w:color w:val="000000" w:themeColor="text1"/>
                <w:kern w:val="0"/>
                <w:sz w:val="21"/>
                <w:szCs w:val="21"/>
                <w:highlight w:val="none"/>
                <w14:textFill>
                  <w14:solidFill>
                    <w14:schemeClr w14:val="tx1"/>
                  </w14:solidFill>
                </w14:textFill>
              </w:rPr>
              <w:t>投标文件格式</w:t>
            </w:r>
            <w:r>
              <w:rPr>
                <w:rFonts w:hint="eastAsia" w:cs="宋体"/>
                <w:b w:val="0"/>
                <w:bCs w:val="0"/>
                <w:color w:val="000000" w:themeColor="text1"/>
                <w:kern w:val="0"/>
                <w:sz w:val="21"/>
                <w:szCs w:val="21"/>
                <w:highlight w:val="none"/>
                <w:lang w:val="en-US" w:eastAsia="zh-CN"/>
                <w14:textFill>
                  <w14:solidFill>
                    <w14:schemeClr w14:val="tx1"/>
                  </w14:solidFill>
                </w14:textFill>
              </w:rPr>
              <w:t>要求。</w:t>
            </w:r>
          </w:p>
        </w:tc>
      </w:tr>
      <w:tr w14:paraId="75DA4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6A82EC41">
            <w:pPr>
              <w:widowControl/>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3.2.1</w:t>
            </w:r>
          </w:p>
        </w:tc>
        <w:tc>
          <w:tcPr>
            <w:tcW w:w="937" w:type="pct"/>
            <w:vAlign w:val="center"/>
          </w:tcPr>
          <w:p w14:paraId="448124C2">
            <w:pPr>
              <w:widowControl/>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增值税税金的计算方法</w:t>
            </w:r>
          </w:p>
        </w:tc>
        <w:tc>
          <w:tcPr>
            <w:tcW w:w="3160" w:type="pct"/>
            <w:vAlign w:val="center"/>
          </w:tcPr>
          <w:p w14:paraId="72135651">
            <w:pPr>
              <w:widowControl/>
              <w:adjustRightInd w:val="0"/>
              <w:snapToGrid w:val="0"/>
              <w:rPr>
                <w:rFonts w:hint="eastAsia" w:eastAsia="宋体" w:cs="宋体"/>
                <w:color w:val="000000" w:themeColor="text1"/>
                <w:highlight w:val="none"/>
                <w:lang w:val="en-US" w:eastAsia="zh-CN"/>
                <w14:textFill>
                  <w14:solidFill>
                    <w14:schemeClr w14:val="tx1"/>
                  </w14:solidFill>
                </w14:textFill>
              </w:rPr>
            </w:pPr>
            <w:r>
              <w:rPr>
                <w:rFonts w:hint="eastAsia" w:cs="宋体"/>
                <w:color w:val="000000" w:themeColor="text1"/>
                <w:highlight w:val="none"/>
                <w14:textFill>
                  <w14:solidFill>
                    <w14:schemeClr w14:val="tx1"/>
                  </w14:solidFill>
                </w14:textFill>
              </w:rPr>
              <w:t>一般计税方法</w:t>
            </w:r>
            <w:r>
              <w:rPr>
                <w:rFonts w:hint="eastAsia" w:cs="宋体"/>
                <w:color w:val="000000" w:themeColor="text1"/>
                <w:highlight w:val="none"/>
                <w:lang w:val="en-US" w:eastAsia="zh-CN"/>
                <w14:textFill>
                  <w14:solidFill>
                    <w14:schemeClr w14:val="tx1"/>
                  </w14:solidFill>
                </w14:textFill>
              </w:rPr>
              <w:t>或简易计税法皆可</w:t>
            </w:r>
            <w:r>
              <w:rPr>
                <w:rFonts w:hint="eastAsia" w:cs="宋体"/>
                <w:color w:val="000000" w:themeColor="text1"/>
                <w:highlight w:val="none"/>
                <w14:textFill>
                  <w14:solidFill>
                    <w14:schemeClr w14:val="tx1"/>
                  </w14:solidFill>
                </w14:textFill>
              </w:rPr>
              <w:t>。</w:t>
            </w:r>
          </w:p>
        </w:tc>
      </w:tr>
      <w:tr w14:paraId="6CA50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02E761AF">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3.2.1</w:t>
            </w:r>
          </w:p>
        </w:tc>
        <w:tc>
          <w:tcPr>
            <w:tcW w:w="937" w:type="pct"/>
            <w:vAlign w:val="center"/>
          </w:tcPr>
          <w:p w14:paraId="40B926E2">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工程量清单的填写方式</w:t>
            </w:r>
          </w:p>
        </w:tc>
        <w:tc>
          <w:tcPr>
            <w:tcW w:w="3160" w:type="pct"/>
            <w:vAlign w:val="center"/>
          </w:tcPr>
          <w:p w14:paraId="4F5B32D9">
            <w:pPr>
              <w:widowControl/>
              <w:adjustRightInd w:val="0"/>
              <w:snapToGrid w:val="0"/>
              <w:rPr>
                <w:rFonts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投标人按照招标人提供的工程量清单电子文件填写工程量清单</w:t>
            </w:r>
          </w:p>
        </w:tc>
      </w:tr>
      <w:tr w14:paraId="3CA94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3331CD6C">
            <w:pPr>
              <w:widowControl/>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3.2.3</w:t>
            </w:r>
          </w:p>
        </w:tc>
        <w:tc>
          <w:tcPr>
            <w:tcW w:w="937" w:type="pct"/>
            <w:vAlign w:val="center"/>
          </w:tcPr>
          <w:p w14:paraId="160FCA04">
            <w:pPr>
              <w:widowControl/>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报价方式</w:t>
            </w:r>
          </w:p>
        </w:tc>
        <w:tc>
          <w:tcPr>
            <w:tcW w:w="3160" w:type="pct"/>
            <w:vAlign w:val="center"/>
          </w:tcPr>
          <w:p w14:paraId="0FBD91C2">
            <w:pPr>
              <w:widowControl/>
              <w:adjustRightInd w:val="0"/>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sym w:font="Wingdings 2" w:char="0052"/>
            </w:r>
            <w:r>
              <w:rPr>
                <w:rFonts w:hint="eastAsia"/>
                <w:color w:val="000000" w:themeColor="text1"/>
                <w:highlight w:val="none"/>
                <w14:textFill>
                  <w14:solidFill>
                    <w14:schemeClr w14:val="tx1"/>
                  </w14:solidFill>
                </w14:textFill>
              </w:rPr>
              <w:t>单价</w:t>
            </w:r>
          </w:p>
          <w:p w14:paraId="1E709976">
            <w:pPr>
              <w:widowControl/>
              <w:adjustRightInd w:val="0"/>
              <w:snapToGrid w:val="0"/>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sym w:font="Wingdings 2" w:char="00A3"/>
            </w:r>
            <w:r>
              <w:rPr>
                <w:rFonts w:hint="eastAsia"/>
                <w:color w:val="000000" w:themeColor="text1"/>
                <w:highlight w:val="none"/>
                <w14:textFill>
                  <w14:solidFill>
                    <w14:schemeClr w14:val="tx1"/>
                  </w14:solidFill>
                </w14:textFill>
              </w:rPr>
              <w:t>总价</w:t>
            </w:r>
          </w:p>
        </w:tc>
      </w:tr>
      <w:tr w14:paraId="44509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7CB9668C">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3.2.6</w:t>
            </w:r>
          </w:p>
        </w:tc>
        <w:tc>
          <w:tcPr>
            <w:tcW w:w="937" w:type="pct"/>
            <w:vAlign w:val="center"/>
          </w:tcPr>
          <w:p w14:paraId="2F9DD2B4">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是否接受调价函</w:t>
            </w:r>
          </w:p>
        </w:tc>
        <w:tc>
          <w:tcPr>
            <w:tcW w:w="3160" w:type="pct"/>
            <w:vAlign w:val="center"/>
          </w:tcPr>
          <w:p w14:paraId="11612C40">
            <w:pPr>
              <w:widowControl/>
              <w:adjustRightInd w:val="0"/>
              <w:snapToGrid w:val="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□是</w:t>
            </w:r>
          </w:p>
          <w:p w14:paraId="21898306">
            <w:pPr>
              <w:widowControl/>
              <w:adjustRightInd w:val="0"/>
              <w:snapToGrid w:val="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sym w:font="Wingdings 2" w:char="0052"/>
            </w:r>
            <w:r>
              <w:rPr>
                <w:rFonts w:hint="eastAsia" w:cs="宋体"/>
                <w:color w:val="000000" w:themeColor="text1"/>
                <w:highlight w:val="none"/>
                <w14:textFill>
                  <w14:solidFill>
                    <w14:schemeClr w14:val="tx1"/>
                  </w14:solidFill>
                </w14:textFill>
              </w:rPr>
              <w:t>否</w:t>
            </w:r>
          </w:p>
        </w:tc>
      </w:tr>
      <w:tr w14:paraId="08A81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50843AEC">
            <w:pPr>
              <w:widowControl/>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3.2.7</w:t>
            </w:r>
          </w:p>
        </w:tc>
        <w:tc>
          <w:tcPr>
            <w:tcW w:w="937" w:type="pct"/>
            <w:vAlign w:val="center"/>
          </w:tcPr>
          <w:p w14:paraId="3EEF28BC">
            <w:pPr>
              <w:widowControl/>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最高投标限价</w:t>
            </w:r>
          </w:p>
        </w:tc>
        <w:tc>
          <w:tcPr>
            <w:tcW w:w="3160" w:type="pct"/>
            <w:vAlign w:val="center"/>
          </w:tcPr>
          <w:p w14:paraId="5A3CB3E3">
            <w:pPr>
              <w:widowControl/>
              <w:adjustRightInd w:val="0"/>
              <w:snapToGrid w:val="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□无</w:t>
            </w:r>
          </w:p>
          <w:p w14:paraId="5DE45AAC">
            <w:pPr>
              <w:widowControl/>
              <w:adjustRightInd w:val="0"/>
              <w:snapToGrid w:val="0"/>
              <w:rPr>
                <w:b/>
                <w:color w:val="000000" w:themeColor="text1"/>
                <w:kern w:val="0"/>
                <w:highlight w:val="none"/>
                <w14:textFill>
                  <w14:solidFill>
                    <w14:schemeClr w14:val="tx1"/>
                  </w14:solidFill>
                </w14:textFill>
              </w:rPr>
            </w:pPr>
            <w:r>
              <w:rPr>
                <w:rFonts w:hint="eastAsia" w:cs="宋体"/>
                <w:color w:val="000000" w:themeColor="text1"/>
                <w:highlight w:val="none"/>
                <w14:textFill>
                  <w14:solidFill>
                    <w14:schemeClr w14:val="tx1"/>
                  </w14:solidFill>
                </w14:textFill>
              </w:rPr>
              <w:sym w:font="Wingdings 2" w:char="0052"/>
            </w:r>
            <w:r>
              <w:rPr>
                <w:rFonts w:hint="eastAsia" w:cs="宋体"/>
                <w:color w:val="000000" w:themeColor="text1"/>
                <w:highlight w:val="none"/>
                <w14:textFill>
                  <w14:solidFill>
                    <w14:schemeClr w14:val="tx1"/>
                  </w14:solidFill>
                </w14:textFill>
              </w:rPr>
              <w:t>有，最高投标限价：</w:t>
            </w:r>
            <w:r>
              <w:rPr>
                <w:rFonts w:hint="eastAsia"/>
                <w:b/>
                <w:color w:val="000000" w:themeColor="text1"/>
                <w:kern w:val="0"/>
                <w:highlight w:val="none"/>
                <w14:textFill>
                  <w14:solidFill>
                    <w14:schemeClr w14:val="tx1"/>
                  </w14:solidFill>
                </w14:textFill>
              </w:rPr>
              <w:t>人民币壹拾万元（¥100000）。</w:t>
            </w:r>
          </w:p>
          <w:p w14:paraId="54D9E222">
            <w:pPr>
              <w:widowControl/>
              <w:adjustRightInd w:val="0"/>
              <w:snapToGrid w:val="0"/>
              <w:rPr>
                <w:rFonts w:cs="宋体"/>
                <w:color w:val="000000" w:themeColor="text1"/>
                <w:highlight w:val="none"/>
                <w14:textFill>
                  <w14:solidFill>
                    <w14:schemeClr w14:val="tx1"/>
                  </w14:solidFill>
                </w14:textFill>
              </w:rPr>
            </w:pPr>
            <w:r>
              <w:rPr>
                <w:rFonts w:hint="eastAsia"/>
                <w:b/>
                <w:color w:val="000000" w:themeColor="text1"/>
                <w:kern w:val="0"/>
                <w:highlight w:val="none"/>
                <w14:textFill>
                  <w14:solidFill>
                    <w14:schemeClr w14:val="tx1"/>
                  </w14:solidFill>
                </w14:textFill>
              </w:rPr>
              <w:t>超过该</w:t>
            </w:r>
            <w:r>
              <w:rPr>
                <w:rFonts w:hint="eastAsia" w:cs="宋体"/>
                <w:color w:val="000000" w:themeColor="text1"/>
                <w:highlight w:val="none"/>
                <w14:textFill>
                  <w14:solidFill>
                    <w14:schemeClr w14:val="tx1"/>
                  </w14:solidFill>
                </w14:textFill>
              </w:rPr>
              <w:t>最高投标限价</w:t>
            </w:r>
            <w:r>
              <w:rPr>
                <w:rFonts w:hint="eastAsia"/>
                <w:b/>
                <w:color w:val="000000" w:themeColor="text1"/>
                <w:kern w:val="0"/>
                <w:highlight w:val="none"/>
                <w14:textFill>
                  <w14:solidFill>
                    <w14:schemeClr w14:val="tx1"/>
                  </w14:solidFill>
                </w14:textFill>
              </w:rPr>
              <w:t>（总价）的投标作否决投标处理。</w:t>
            </w:r>
          </w:p>
        </w:tc>
      </w:tr>
      <w:tr w14:paraId="2E683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3" w:hRule="atLeast"/>
        </w:trPr>
        <w:tc>
          <w:tcPr>
            <w:tcW w:w="901" w:type="pct"/>
            <w:vAlign w:val="center"/>
          </w:tcPr>
          <w:p w14:paraId="754F6E88">
            <w:pPr>
              <w:widowControl/>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3.2.8</w:t>
            </w:r>
          </w:p>
        </w:tc>
        <w:tc>
          <w:tcPr>
            <w:tcW w:w="937" w:type="pct"/>
            <w:vAlign w:val="center"/>
          </w:tcPr>
          <w:p w14:paraId="0E1CEA09">
            <w:pPr>
              <w:widowControl/>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投标报价的其他要求</w:t>
            </w:r>
          </w:p>
        </w:tc>
        <w:tc>
          <w:tcPr>
            <w:tcW w:w="3160" w:type="pct"/>
            <w:vAlign w:val="center"/>
          </w:tcPr>
          <w:p w14:paraId="35AF2719">
            <w:pPr>
              <w:widowControl/>
              <w:adjustRightInd w:val="0"/>
              <w:snapToGrid w:val="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本合同采用综合单价合同。投标报价应包括招标文件所确定的招标范围内相应工程量清单及相关资料及规范、规定等全部内容，包含但不限于投标人承担本合同项目全部工程的实施、材料费（含运输及二次搬运费）、人工费、交通费、保险费、机械/设备费、劳务费、管理费、维护费、安全生产费、保险费、利润、规费、税金等以及合同明示或暗示的所有一般风险责任和义务费用，以及为完成上述内容所必须的附属工程、临时工程、材料、劳务、机械、成品保护、垂直运输、脚手架搭设使用、与各工种间的协调配合工作、清洗、养护、验收、安全措施、技术措施，作为一名有经验的投标人所应考虑到的各种因素、风险及所需的全部费用。</w:t>
            </w:r>
          </w:p>
        </w:tc>
      </w:tr>
      <w:tr w14:paraId="6AB04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68797364">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3.3.1</w:t>
            </w:r>
          </w:p>
        </w:tc>
        <w:tc>
          <w:tcPr>
            <w:tcW w:w="937" w:type="pct"/>
            <w:vAlign w:val="center"/>
          </w:tcPr>
          <w:p w14:paraId="66919C07">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投标有效期</w:t>
            </w:r>
          </w:p>
        </w:tc>
        <w:tc>
          <w:tcPr>
            <w:tcW w:w="3160" w:type="pct"/>
            <w:vAlign w:val="center"/>
          </w:tcPr>
          <w:p w14:paraId="41CB882D">
            <w:pPr>
              <w:widowControl/>
              <w:adjustRightInd w:val="0"/>
              <w:snapToGrid w:val="0"/>
              <w:rPr>
                <w:rFonts w:cs="宋体"/>
                <w:b/>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自投标人提交投标文件截止之日起计算90天</w:t>
            </w:r>
          </w:p>
        </w:tc>
      </w:tr>
      <w:tr w14:paraId="5C183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rPr>
        <w:tc>
          <w:tcPr>
            <w:tcW w:w="901" w:type="pct"/>
            <w:vAlign w:val="center"/>
          </w:tcPr>
          <w:p w14:paraId="088175D1">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3.4.1</w:t>
            </w:r>
          </w:p>
        </w:tc>
        <w:tc>
          <w:tcPr>
            <w:tcW w:w="937" w:type="pct"/>
            <w:vAlign w:val="center"/>
          </w:tcPr>
          <w:p w14:paraId="39357A20">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投标保证金</w:t>
            </w:r>
          </w:p>
        </w:tc>
        <w:tc>
          <w:tcPr>
            <w:tcW w:w="3160" w:type="pct"/>
            <w:vAlign w:val="center"/>
          </w:tcPr>
          <w:p w14:paraId="0D1BEB43">
            <w:pPr>
              <w:autoSpaceDE w:val="0"/>
              <w:autoSpaceDN w:val="0"/>
              <w:adjustRightInd w:val="0"/>
              <w:rPr>
                <w:rFonts w:cs="T3Font_0"/>
                <w:color w:val="000000" w:themeColor="text1"/>
                <w:kern w:val="0"/>
                <w:highlight w:val="none"/>
                <w14:textFill>
                  <w14:solidFill>
                    <w14:schemeClr w14:val="tx1"/>
                  </w14:solidFill>
                </w14:textFill>
              </w:rPr>
            </w:pPr>
            <w:r>
              <w:rPr>
                <w:rFonts w:hint="eastAsia" w:cs="T3Font_0"/>
                <w:color w:val="000000" w:themeColor="text1"/>
                <w:kern w:val="0"/>
                <w:highlight w:val="none"/>
                <w14:textFill>
                  <w14:solidFill>
                    <w14:schemeClr w14:val="tx1"/>
                  </w14:solidFill>
                </w14:textFill>
              </w:rPr>
              <w:t>本项目不设投标保证金。</w:t>
            </w:r>
          </w:p>
        </w:tc>
      </w:tr>
      <w:tr w14:paraId="6FECB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6EE6C899">
            <w:pPr>
              <w:widowControl/>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3.5</w:t>
            </w:r>
          </w:p>
        </w:tc>
        <w:tc>
          <w:tcPr>
            <w:tcW w:w="937" w:type="pct"/>
            <w:vAlign w:val="center"/>
          </w:tcPr>
          <w:p w14:paraId="0DD932EC">
            <w:pPr>
              <w:widowControl/>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资格审查资料的特殊要求</w:t>
            </w:r>
          </w:p>
        </w:tc>
        <w:tc>
          <w:tcPr>
            <w:tcW w:w="3160" w:type="pct"/>
            <w:vAlign w:val="center"/>
          </w:tcPr>
          <w:p w14:paraId="759CCEFE">
            <w:pPr>
              <w:widowControl/>
              <w:adjustRightInd w:val="0"/>
              <w:snapToGrid w:val="0"/>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sym w:font="Wingdings 2" w:char="0052"/>
            </w:r>
            <w:r>
              <w:rPr>
                <w:rFonts w:hint="eastAsia"/>
                <w:color w:val="000000" w:themeColor="text1"/>
                <w:kern w:val="0"/>
                <w:highlight w:val="none"/>
                <w14:textFill>
                  <w14:solidFill>
                    <w14:schemeClr w14:val="tx1"/>
                  </w14:solidFill>
                </w14:textFill>
              </w:rPr>
              <w:t>无</w:t>
            </w:r>
          </w:p>
          <w:p w14:paraId="3406AD13">
            <w:pPr>
              <w:widowControl/>
              <w:adjustRightInd w:val="0"/>
              <w:snapToGrid w:val="0"/>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sym w:font="Wingdings 2" w:char="00A3"/>
            </w:r>
            <w:r>
              <w:rPr>
                <w:rFonts w:hint="eastAsia"/>
                <w:color w:val="000000" w:themeColor="text1"/>
                <w:kern w:val="0"/>
                <w:highlight w:val="none"/>
                <w14:textFill>
                  <w14:solidFill>
                    <w14:schemeClr w14:val="tx1"/>
                  </w14:solidFill>
                </w14:textFill>
              </w:rPr>
              <w:t>有,具体要求：</w:t>
            </w:r>
          </w:p>
        </w:tc>
      </w:tr>
      <w:tr w14:paraId="18C04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4C95BEF5">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3.6</w:t>
            </w:r>
          </w:p>
        </w:tc>
        <w:tc>
          <w:tcPr>
            <w:tcW w:w="937" w:type="pct"/>
            <w:vAlign w:val="center"/>
          </w:tcPr>
          <w:p w14:paraId="73CA6AFF">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是否允许递交备选投标方案</w:t>
            </w:r>
          </w:p>
        </w:tc>
        <w:tc>
          <w:tcPr>
            <w:tcW w:w="3160" w:type="pct"/>
            <w:vAlign w:val="center"/>
          </w:tcPr>
          <w:p w14:paraId="507767C0">
            <w:pPr>
              <w:widowControl/>
              <w:adjustRightInd w:val="0"/>
              <w:snapToGrid w:val="0"/>
              <w:rPr>
                <w:color w:val="000000" w:themeColor="text1"/>
                <w:kern w:val="0"/>
                <w:highlight w:val="none"/>
                <w14:textFill>
                  <w14:solidFill>
                    <w14:schemeClr w14:val="tx1"/>
                  </w14:solidFill>
                </w14:textFill>
              </w:rPr>
            </w:pPr>
            <w:r>
              <w:rPr>
                <w:rFonts w:hint="eastAsia"/>
                <w:color w:val="000000" w:themeColor="text1"/>
                <w:kern w:val="0"/>
                <w:highlight w:val="none"/>
                <w14:textFill>
                  <w14:solidFill>
                    <w14:schemeClr w14:val="tx1"/>
                  </w14:solidFill>
                </w14:textFill>
              </w:rPr>
              <w:t>□允许</w:t>
            </w:r>
          </w:p>
          <w:p w14:paraId="3E816A2A">
            <w:pPr>
              <w:widowControl/>
              <w:adjustRightInd w:val="0"/>
              <w:snapToGrid w:val="0"/>
              <w:rPr>
                <w:rFonts w:cs="宋体"/>
                <w:color w:val="000000" w:themeColor="text1"/>
                <w:highlight w:val="none"/>
                <w:u w:val="single"/>
                <w14:textFill>
                  <w14:solidFill>
                    <w14:schemeClr w14:val="tx1"/>
                  </w14:solidFill>
                </w14:textFill>
              </w:rPr>
            </w:pPr>
            <w:r>
              <w:rPr>
                <w:rFonts w:hint="eastAsia"/>
                <w:color w:val="000000" w:themeColor="text1"/>
                <w:kern w:val="0"/>
                <w:highlight w:val="none"/>
                <w14:textFill>
                  <w14:solidFill>
                    <w14:schemeClr w14:val="tx1"/>
                  </w14:solidFill>
                </w14:textFill>
              </w:rPr>
              <w:sym w:font="Wingdings 2" w:char="0052"/>
            </w:r>
            <w:r>
              <w:rPr>
                <w:rFonts w:hint="eastAsia"/>
                <w:color w:val="000000" w:themeColor="text1"/>
                <w:kern w:val="0"/>
                <w:highlight w:val="none"/>
                <w14:textFill>
                  <w14:solidFill>
                    <w14:schemeClr w14:val="tx1"/>
                  </w14:solidFill>
                </w14:textFill>
              </w:rPr>
              <w:t>不允许</w:t>
            </w:r>
          </w:p>
        </w:tc>
      </w:tr>
      <w:tr w14:paraId="2C25D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71B04F1D">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3.7.4</w:t>
            </w:r>
          </w:p>
        </w:tc>
        <w:tc>
          <w:tcPr>
            <w:tcW w:w="937" w:type="pct"/>
            <w:vAlign w:val="center"/>
          </w:tcPr>
          <w:p w14:paraId="15988AE6">
            <w:pPr>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投标文件副本份数及其他要求</w:t>
            </w:r>
          </w:p>
        </w:tc>
        <w:tc>
          <w:tcPr>
            <w:tcW w:w="3160" w:type="pct"/>
            <w:vAlign w:val="center"/>
          </w:tcPr>
          <w:p w14:paraId="086C61A2">
            <w:pPr>
              <w:pStyle w:val="8"/>
              <w:topLinePunct/>
              <w:ind w:firstLine="210" w:firstLineChars="100"/>
              <w:rPr>
                <w:rFonts w:ascii="Times New Roman"/>
                <w:color w:val="000000" w:themeColor="text1"/>
                <w:kern w:val="0"/>
                <w:sz w:val="21"/>
                <w:szCs w:val="21"/>
                <w:highlight w:val="none"/>
                <w14:textFill>
                  <w14:solidFill>
                    <w14:schemeClr w14:val="tx1"/>
                  </w14:solidFill>
                </w14:textFill>
              </w:rPr>
            </w:pPr>
            <w:r>
              <w:rPr>
                <w:rFonts w:hint="eastAsia" w:ascii="Times New Roman"/>
                <w:color w:val="000000" w:themeColor="text1"/>
                <w:kern w:val="0"/>
                <w:sz w:val="21"/>
                <w:szCs w:val="21"/>
                <w:highlight w:val="none"/>
                <w14:textFill>
                  <w14:solidFill>
                    <w14:schemeClr w14:val="tx1"/>
                  </w14:solidFill>
                </w14:textFill>
              </w:rPr>
              <w:t>须提供壹份正本，叁份副本，评标结果公示期满后，领取中标通知书前提供电子版投标文件（U盘一份），且必须保证与纸质版投标文件完全一致，电子文件不得设置密码并保证无病毒。</w:t>
            </w:r>
          </w:p>
          <w:p w14:paraId="49ABC525">
            <w:pPr>
              <w:pStyle w:val="8"/>
              <w:topLinePunct/>
              <w:ind w:firstLine="210" w:firstLineChars="100"/>
              <w:rPr>
                <w:rFonts w:ascii="Times New Roman"/>
                <w:color w:val="000000" w:themeColor="text1"/>
                <w:kern w:val="0"/>
                <w:sz w:val="21"/>
                <w:szCs w:val="21"/>
                <w:highlight w:val="none"/>
                <w14:textFill>
                  <w14:solidFill>
                    <w14:schemeClr w14:val="tx1"/>
                  </w14:solidFill>
                </w14:textFill>
              </w:rPr>
            </w:pPr>
            <w:r>
              <w:rPr>
                <w:rFonts w:hint="eastAsia" w:ascii="Times New Roman"/>
                <w:color w:val="000000" w:themeColor="text1"/>
                <w:kern w:val="0"/>
                <w:sz w:val="21"/>
                <w:szCs w:val="21"/>
                <w:highlight w:val="none"/>
                <w14:textFill>
                  <w14:solidFill>
                    <w14:schemeClr w14:val="tx1"/>
                  </w14:solidFill>
                </w14:textFill>
              </w:rPr>
              <w:t>全套投标文件应无修改和行间插字，如有修改，须在修改处加盖投标人公章或由投标人法定代表人或其委托代理人在修改处签字。</w:t>
            </w:r>
          </w:p>
        </w:tc>
      </w:tr>
      <w:tr w14:paraId="58895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7DBF1E2A">
            <w:pPr>
              <w:adjustRightInd w:val="0"/>
              <w:snapToGrid w:val="0"/>
              <w:jc w:val="center"/>
              <w:rPr>
                <w:rFonts w:cs="宋体"/>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3.7.5</w:t>
            </w:r>
          </w:p>
        </w:tc>
        <w:tc>
          <w:tcPr>
            <w:tcW w:w="937" w:type="pct"/>
            <w:vAlign w:val="center"/>
          </w:tcPr>
          <w:p w14:paraId="22E449D2">
            <w:pPr>
              <w:adjustRightInd w:val="0"/>
              <w:snapToGrid w:val="0"/>
              <w:jc w:val="center"/>
              <w:rPr>
                <w:rFonts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装订的其他要求</w:t>
            </w:r>
          </w:p>
        </w:tc>
        <w:tc>
          <w:tcPr>
            <w:tcW w:w="3160" w:type="pct"/>
            <w:vAlign w:val="center"/>
          </w:tcPr>
          <w:p w14:paraId="700F4D15">
            <w:pPr>
              <w:adjustRightInd w:val="0"/>
              <w:snapToGrid w:val="0"/>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投标文件应分正副本装订成册</w:t>
            </w:r>
            <w:r>
              <w:rPr>
                <w:color w:val="000000" w:themeColor="text1"/>
                <w:highlight w:val="none"/>
                <w14:textFill>
                  <w14:solidFill>
                    <w14:schemeClr w14:val="tx1"/>
                  </w14:solidFill>
                </w14:textFill>
              </w:rPr>
              <w:t>，应编制目录，且逐页标注连续页码。投标文件不得采用活页夹装订。投标文件应编制目录，并标注页码，否则，招标人对由于投标文件装订松散而造成的丢失或其它后果不承担任何责任。</w:t>
            </w:r>
          </w:p>
        </w:tc>
      </w:tr>
      <w:tr w14:paraId="2FB0D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1" w:type="pct"/>
            <w:vAlign w:val="center"/>
          </w:tcPr>
          <w:p w14:paraId="15092D0D">
            <w:pPr>
              <w:jc w:val="center"/>
              <w:rPr>
                <w:rFonts w:cs="宋体"/>
                <w:color w:val="000000" w:themeColor="text1"/>
                <w:kern w:val="0"/>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4.1.2</w:t>
            </w:r>
          </w:p>
        </w:tc>
        <w:tc>
          <w:tcPr>
            <w:tcW w:w="937" w:type="pct"/>
            <w:vAlign w:val="center"/>
          </w:tcPr>
          <w:p w14:paraId="7FC6E4AB">
            <w:pPr>
              <w:jc w:val="center"/>
              <w:rPr>
                <w:rFonts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封套上写明</w:t>
            </w:r>
          </w:p>
        </w:tc>
        <w:tc>
          <w:tcPr>
            <w:tcW w:w="3160" w:type="pct"/>
            <w:vAlign w:val="center"/>
          </w:tcPr>
          <w:p w14:paraId="6A1C39CF">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投标文件（资格审查文件）封套：</w:t>
            </w:r>
          </w:p>
          <w:p w14:paraId="44A3C7C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招标人名称：__________________</w:t>
            </w:r>
          </w:p>
          <w:p w14:paraId="4C2AF8E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招标人地址：__________________</w:t>
            </w:r>
          </w:p>
          <w:p w14:paraId="6A35A6E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______(项目名称)投标文件（资格审查文件）</w:t>
            </w:r>
          </w:p>
          <w:p w14:paraId="1E4AD6BB">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在_____年_____月_____日_____时_____分前不得开启</w:t>
            </w:r>
          </w:p>
          <w:p w14:paraId="2BBA5A0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投标人名称：__________________</w:t>
            </w:r>
          </w:p>
          <w:p w14:paraId="2CE007DA">
            <w:pPr>
              <w:rPr>
                <w:rFonts w:ascii="宋体" w:hAnsi="宋体"/>
                <w:color w:val="000000" w:themeColor="text1"/>
                <w:highlight w:val="none"/>
                <w14:textFill>
                  <w14:solidFill>
                    <w14:schemeClr w14:val="tx1"/>
                  </w14:solidFill>
                </w14:textFill>
              </w:rPr>
            </w:pPr>
          </w:p>
          <w:p w14:paraId="11025986">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投标文件（报价文件）封套：</w:t>
            </w:r>
          </w:p>
          <w:p w14:paraId="17A9D0EC">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招标人名称：__________________</w:t>
            </w:r>
          </w:p>
          <w:p w14:paraId="2B6007D2">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招标人地址：__________________</w:t>
            </w:r>
          </w:p>
          <w:p w14:paraId="777EB5E5">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______(项目名称）投标文件（报价文件）</w:t>
            </w:r>
          </w:p>
          <w:p w14:paraId="2A3D10E3">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在投标文件（报价文件)开标前不得开启</w:t>
            </w:r>
          </w:p>
          <w:p w14:paraId="4002408A">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投标人名称：__________________</w:t>
            </w:r>
          </w:p>
          <w:p w14:paraId="7CC72F6F">
            <w:pPr>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投标人地址：__________________</w:t>
            </w:r>
          </w:p>
        </w:tc>
      </w:tr>
      <w:tr w14:paraId="23029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44CD0AE0">
            <w:pPr>
              <w:adjustRightInd w:val="0"/>
              <w:snapToGrid w:val="0"/>
              <w:jc w:val="center"/>
              <w:rPr>
                <w:rFonts w:cs="宋体"/>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4.2.2</w:t>
            </w:r>
          </w:p>
        </w:tc>
        <w:tc>
          <w:tcPr>
            <w:tcW w:w="937" w:type="pct"/>
            <w:vAlign w:val="center"/>
          </w:tcPr>
          <w:p w14:paraId="46A61557">
            <w:pPr>
              <w:adjustRightInd w:val="0"/>
              <w:snapToGrid w:val="0"/>
              <w:jc w:val="center"/>
              <w:rPr>
                <w:rFonts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递交投标文件地点</w:t>
            </w:r>
          </w:p>
        </w:tc>
        <w:tc>
          <w:tcPr>
            <w:tcW w:w="3160" w:type="pct"/>
            <w:vAlign w:val="center"/>
          </w:tcPr>
          <w:p w14:paraId="3AA68B3E">
            <w:pPr>
              <w:rPr>
                <w:color w:val="000000" w:themeColor="text1"/>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详见招标公告及补遗书（若有）</w:t>
            </w:r>
          </w:p>
        </w:tc>
      </w:tr>
      <w:tr w14:paraId="0E9EC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39D6C481">
            <w:pPr>
              <w:widowControl/>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5.1</w:t>
            </w:r>
          </w:p>
        </w:tc>
        <w:tc>
          <w:tcPr>
            <w:tcW w:w="937" w:type="pct"/>
            <w:vAlign w:val="center"/>
          </w:tcPr>
          <w:p w14:paraId="6A94EA1D">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开标时间和地点</w:t>
            </w:r>
          </w:p>
        </w:tc>
        <w:tc>
          <w:tcPr>
            <w:tcW w:w="3160" w:type="pct"/>
            <w:vAlign w:val="center"/>
          </w:tcPr>
          <w:p w14:paraId="3D7E94E3">
            <w:pPr>
              <w:widowControl/>
              <w:adjustRightInd w:val="0"/>
              <w:snapToGrid w:val="0"/>
              <w:rPr>
                <w:rFonts w:cs="宋体"/>
                <w:color w:val="000000" w:themeColor="text1"/>
                <w:kern w:val="0"/>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详见招标公告及补遗书。</w:t>
            </w:r>
          </w:p>
        </w:tc>
      </w:tr>
      <w:tr w14:paraId="44DF9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36AF5175">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5.2.1</w:t>
            </w:r>
          </w:p>
        </w:tc>
        <w:tc>
          <w:tcPr>
            <w:tcW w:w="937" w:type="pct"/>
            <w:vAlign w:val="center"/>
          </w:tcPr>
          <w:p w14:paraId="72D85D2C">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开标程序</w:t>
            </w:r>
          </w:p>
        </w:tc>
        <w:tc>
          <w:tcPr>
            <w:tcW w:w="3160" w:type="pct"/>
            <w:vAlign w:val="center"/>
          </w:tcPr>
          <w:p w14:paraId="50F0DA79">
            <w:pPr>
              <w:widowControl/>
              <w:adjustRightInd w:val="0"/>
              <w:snapToGrid w:val="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（1）密封情况检查：</w:t>
            </w:r>
          </w:p>
          <w:p w14:paraId="4B11C49A">
            <w:pPr>
              <w:widowControl/>
              <w:adjustRightInd w:val="0"/>
              <w:snapToGrid w:val="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由□行政监督部门□公证部门</w:t>
            </w:r>
            <w:r>
              <w:rPr>
                <w:rFonts w:hint="eastAsia" w:cs="宋体"/>
                <w:color w:val="000000" w:themeColor="text1"/>
                <w:kern w:val="0"/>
                <w:highlight w:val="none"/>
                <w14:textFill>
                  <w14:solidFill>
                    <w14:schemeClr w14:val="tx1"/>
                  </w14:solidFill>
                </w14:textFill>
              </w:rPr>
              <w:sym w:font="Wingdings 2" w:char="0052"/>
            </w:r>
            <w:r>
              <w:rPr>
                <w:rFonts w:hint="eastAsia" w:cs="宋体"/>
                <w:color w:val="000000" w:themeColor="text1"/>
                <w:kern w:val="0"/>
                <w:highlight w:val="none"/>
                <w14:textFill>
                  <w14:solidFill>
                    <w14:schemeClr w14:val="tx1"/>
                  </w14:solidFill>
                </w14:textFill>
              </w:rPr>
              <w:t>投标人的代表按照4.1款规定检查投标文件的密封情况；</w:t>
            </w:r>
          </w:p>
          <w:p w14:paraId="48A83B38">
            <w:pPr>
              <w:widowControl/>
              <w:adjustRightInd w:val="0"/>
              <w:snapToGrid w:val="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（2）投标人的法定代表人或其委托代理人不参加开标的，视同该投标人承认开标记录，不得事后对开标程序和记录提出任何异议；</w:t>
            </w:r>
          </w:p>
          <w:p w14:paraId="5989F500">
            <w:pPr>
              <w:widowControl/>
              <w:adjustRightInd w:val="0"/>
              <w:snapToGrid w:val="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（3）开标顺序：随机</w:t>
            </w:r>
          </w:p>
        </w:tc>
      </w:tr>
      <w:tr w14:paraId="6E4C3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901" w:type="pct"/>
            <w:vAlign w:val="center"/>
          </w:tcPr>
          <w:p w14:paraId="25FC3494">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6.1.1</w:t>
            </w:r>
          </w:p>
        </w:tc>
        <w:tc>
          <w:tcPr>
            <w:tcW w:w="937" w:type="pct"/>
            <w:vAlign w:val="center"/>
          </w:tcPr>
          <w:p w14:paraId="530FD1AF">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评标委员会的组建</w:t>
            </w:r>
          </w:p>
        </w:tc>
        <w:tc>
          <w:tcPr>
            <w:tcW w:w="3160" w:type="pct"/>
            <w:vAlign w:val="center"/>
          </w:tcPr>
          <w:p w14:paraId="031D7FA5">
            <w:pPr>
              <w:widowControl/>
              <w:adjustRightInd w:val="0"/>
              <w:snapToGrid w:val="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评标委员会构成：3人或3人以上单数；</w:t>
            </w:r>
            <w:r>
              <w:rPr>
                <w:rFonts w:cs="宋体"/>
                <w:color w:val="000000" w:themeColor="text1"/>
                <w:kern w:val="0"/>
                <w:highlight w:val="none"/>
                <w14:textFill>
                  <w14:solidFill>
                    <w14:schemeClr w14:val="tx1"/>
                  </w14:solidFill>
                </w14:textFill>
              </w:rPr>
              <w:t xml:space="preserve"> </w:t>
            </w:r>
          </w:p>
        </w:tc>
      </w:tr>
      <w:tr w14:paraId="6E6F8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901" w:type="pct"/>
            <w:vAlign w:val="center"/>
          </w:tcPr>
          <w:p w14:paraId="030345F9">
            <w:pPr>
              <w:widowControl/>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6.3.2</w:t>
            </w:r>
          </w:p>
        </w:tc>
        <w:tc>
          <w:tcPr>
            <w:tcW w:w="937" w:type="pct"/>
            <w:vAlign w:val="center"/>
          </w:tcPr>
          <w:p w14:paraId="3F85A65E">
            <w:pPr>
              <w:widowControl/>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评标委员会推荐中标候选人的人数</w:t>
            </w:r>
          </w:p>
        </w:tc>
        <w:tc>
          <w:tcPr>
            <w:tcW w:w="3160" w:type="pct"/>
            <w:vAlign w:val="center"/>
          </w:tcPr>
          <w:p w14:paraId="7C28BA6F">
            <w:pPr>
              <w:widowControl/>
              <w:adjustRightInd w:val="0"/>
              <w:snapToGrid w:val="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评标委员会推荐的中标候选人的数量为</w:t>
            </w: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家，若有效投标人不足</w:t>
            </w:r>
            <w:r>
              <w:rPr>
                <w:color w:val="000000" w:themeColor="text1"/>
                <w:highlight w:val="none"/>
                <w14:textFill>
                  <w14:solidFill>
                    <w14:schemeClr w14:val="tx1"/>
                  </w14:solidFill>
                </w14:textFill>
              </w:rPr>
              <w:t>3</w:t>
            </w:r>
            <w:r>
              <w:rPr>
                <w:rFonts w:hint="eastAsia" w:cs="宋体"/>
                <w:color w:val="000000" w:themeColor="text1"/>
                <w:highlight w:val="none"/>
                <w14:textFill>
                  <w14:solidFill>
                    <w14:schemeClr w14:val="tx1"/>
                  </w14:solidFill>
                </w14:textFill>
              </w:rPr>
              <w:t>家的，则推荐的中标候选人的数量为有效投标人的数量。</w:t>
            </w:r>
          </w:p>
        </w:tc>
      </w:tr>
      <w:tr w14:paraId="55F20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901" w:type="pct"/>
            <w:vAlign w:val="center"/>
          </w:tcPr>
          <w:p w14:paraId="51064A5F">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7.4</w:t>
            </w:r>
          </w:p>
        </w:tc>
        <w:tc>
          <w:tcPr>
            <w:tcW w:w="937" w:type="pct"/>
            <w:vAlign w:val="center"/>
          </w:tcPr>
          <w:p w14:paraId="0539C1FA">
            <w:pPr>
              <w:autoSpaceDE w:val="0"/>
              <w:autoSpaceDN w:val="0"/>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是否授权评标委员会确定中标人</w:t>
            </w:r>
          </w:p>
        </w:tc>
        <w:tc>
          <w:tcPr>
            <w:tcW w:w="3160" w:type="pct"/>
            <w:vAlign w:val="center"/>
          </w:tcPr>
          <w:p w14:paraId="2780337B">
            <w:pPr>
              <w:widowControl/>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□是</w:t>
            </w:r>
          </w:p>
          <w:p w14:paraId="727B351B">
            <w:pPr>
              <w:widowControl/>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sym w:font="Wingdings 2" w:char="0052"/>
            </w:r>
            <w:r>
              <w:rPr>
                <w:rFonts w:hint="eastAsia"/>
                <w:color w:val="000000" w:themeColor="text1"/>
                <w:highlight w:val="none"/>
                <w14:textFill>
                  <w14:solidFill>
                    <w14:schemeClr w14:val="tx1"/>
                  </w14:solidFill>
                </w14:textFill>
              </w:rPr>
              <w:t xml:space="preserve">否 </w:t>
            </w:r>
          </w:p>
        </w:tc>
      </w:tr>
      <w:tr w14:paraId="341DB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1" w:type="pct"/>
            <w:vAlign w:val="center"/>
          </w:tcPr>
          <w:p w14:paraId="4A603F77">
            <w:pPr>
              <w:widowControl/>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7.5</w:t>
            </w:r>
          </w:p>
        </w:tc>
        <w:tc>
          <w:tcPr>
            <w:tcW w:w="937" w:type="pct"/>
            <w:vAlign w:val="center"/>
          </w:tcPr>
          <w:p w14:paraId="61B887B2">
            <w:pPr>
              <w:autoSpaceDE w:val="0"/>
              <w:autoSpaceDN w:val="0"/>
              <w:adjustRightInd w:val="0"/>
              <w:snapToGrid w:val="0"/>
              <w:jc w:val="center"/>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中标通知书和中标结果通知发出的形式</w:t>
            </w:r>
          </w:p>
        </w:tc>
        <w:tc>
          <w:tcPr>
            <w:tcW w:w="3160" w:type="pct"/>
            <w:vAlign w:val="center"/>
          </w:tcPr>
          <w:p w14:paraId="134B4005">
            <w:pPr>
              <w:widowControl/>
              <w:adjustRightInd w:val="0"/>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1.中标通知书发出的形式：以传真或电子邮件的形式将中标通知书扫描件发送给中标人，中标通知书原件由中标人自行至招标人处领取。</w:t>
            </w:r>
          </w:p>
          <w:p w14:paraId="05DACED5">
            <w:pPr>
              <w:widowControl/>
              <w:adjustRightInd w:val="0"/>
              <w:snapToGrid w:val="0"/>
              <w:rPr>
                <w:rFonts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2.中标结果通知发出的形式：以传真或电子邮件的形式将中标结果通知扫描件发送给未中标的投标人。</w:t>
            </w:r>
          </w:p>
        </w:tc>
      </w:tr>
      <w:tr w14:paraId="044F0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901" w:type="pct"/>
            <w:vAlign w:val="center"/>
          </w:tcPr>
          <w:p w14:paraId="01CCE540">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7.7.1</w:t>
            </w:r>
          </w:p>
        </w:tc>
        <w:tc>
          <w:tcPr>
            <w:tcW w:w="937" w:type="pct"/>
            <w:vAlign w:val="center"/>
          </w:tcPr>
          <w:p w14:paraId="1F7D7EBB">
            <w:pPr>
              <w:widowControl/>
              <w:adjustRightInd w:val="0"/>
              <w:snapToGrid w:val="0"/>
              <w:jc w:val="center"/>
              <w:rPr>
                <w:rFonts w:cs="宋体"/>
                <w:color w:val="000000" w:themeColor="text1"/>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履约保证金</w:t>
            </w:r>
          </w:p>
        </w:tc>
        <w:tc>
          <w:tcPr>
            <w:tcW w:w="3160" w:type="pct"/>
            <w:vAlign w:val="center"/>
          </w:tcPr>
          <w:p w14:paraId="3D9CA549">
            <w:pPr>
              <w:widowControl/>
              <w:adjustRightInd w:val="0"/>
              <w:snapToGrid w:val="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是否要求中标人提交履约保证金：</w:t>
            </w:r>
          </w:p>
          <w:p w14:paraId="3AA88B91">
            <w:pPr>
              <w:widowControl/>
              <w:adjustRightInd w:val="0"/>
              <w:snapToGrid w:val="0"/>
              <w:rPr>
                <w:highlight w:val="none"/>
                <w:lang w:val="zh-CN"/>
              </w:rPr>
            </w:pPr>
            <w:r>
              <w:rPr>
                <w:rFonts w:hint="eastAsia"/>
                <w:highlight w:val="none"/>
                <w:lang w:val="zh-CN"/>
              </w:rPr>
              <w:sym w:font="Wingdings 2" w:char="00A3"/>
            </w:r>
            <w:r>
              <w:rPr>
                <w:rFonts w:hint="eastAsia"/>
                <w:highlight w:val="none"/>
                <w:lang w:val="zh-CN"/>
              </w:rPr>
              <w:t>要求，履约保证金的形式：不限</w:t>
            </w:r>
          </w:p>
          <w:p w14:paraId="067AAB42">
            <w:pPr>
              <w:widowControl/>
              <w:adjustRightInd w:val="0"/>
              <w:snapToGrid w:val="0"/>
              <w:rPr>
                <w:highlight w:val="none"/>
              </w:rPr>
            </w:pPr>
            <w:r>
              <w:rPr>
                <w:rFonts w:hint="eastAsia"/>
                <w:highlight w:val="none"/>
                <w:lang w:val="zh-CN"/>
              </w:rPr>
              <w:t>履约保证金的金额：</w:t>
            </w:r>
            <w:r>
              <w:rPr>
                <w:rFonts w:hint="eastAsia"/>
                <w:highlight w:val="none"/>
              </w:rPr>
              <w:t>/</w:t>
            </w:r>
          </w:p>
          <w:p w14:paraId="6B24564C">
            <w:pPr>
              <w:widowControl/>
              <w:adjustRightInd w:val="0"/>
              <w:snapToGrid w:val="0"/>
              <w:rPr>
                <w:rFonts w:cs="宋体"/>
                <w:color w:val="000000" w:themeColor="text1"/>
                <w:highlight w:val="none"/>
                <w:u w:val="single"/>
                <w14:textFill>
                  <w14:solidFill>
                    <w14:schemeClr w14:val="tx1"/>
                  </w14:solidFill>
                </w14:textFill>
              </w:rPr>
            </w:pPr>
            <w:r>
              <w:rPr>
                <w:rFonts w:hint="eastAsia"/>
                <w:color w:val="000000" w:themeColor="text1"/>
                <w:highlight w:val="none"/>
                <w:lang w:val="zh-CN"/>
                <w14:textFill>
                  <w14:solidFill>
                    <w14:schemeClr w14:val="tx1"/>
                  </w14:solidFill>
                </w14:textFill>
              </w:rPr>
              <w:t>☑不要求</w:t>
            </w:r>
          </w:p>
        </w:tc>
      </w:tr>
      <w:tr w14:paraId="6171B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901" w:type="pct"/>
            <w:vAlign w:val="center"/>
          </w:tcPr>
          <w:p w14:paraId="3D87A86D">
            <w:pPr>
              <w:jc w:val="center"/>
              <w:rPr>
                <w:highlight w:val="none"/>
              </w:rPr>
            </w:pPr>
            <w:r>
              <w:rPr>
                <w:highlight w:val="none"/>
              </w:rPr>
              <w:t>9</w:t>
            </w:r>
          </w:p>
        </w:tc>
        <w:tc>
          <w:tcPr>
            <w:tcW w:w="937" w:type="pct"/>
            <w:vAlign w:val="center"/>
          </w:tcPr>
          <w:p w14:paraId="432A08A4">
            <w:pPr>
              <w:jc w:val="center"/>
              <w:rPr>
                <w:highlight w:val="none"/>
              </w:rPr>
            </w:pPr>
            <w:r>
              <w:rPr>
                <w:rFonts w:hint="eastAsia"/>
                <w:highlight w:val="none"/>
              </w:rPr>
              <w:t>是否采用电子招标投标</w:t>
            </w:r>
          </w:p>
        </w:tc>
        <w:tc>
          <w:tcPr>
            <w:tcW w:w="3160" w:type="pct"/>
            <w:vAlign w:val="center"/>
          </w:tcPr>
          <w:p w14:paraId="7CB5160D">
            <w:pPr>
              <w:rPr>
                <w:highlight w:val="none"/>
              </w:rPr>
            </w:pPr>
            <w:r>
              <w:rPr>
                <w:highlight w:val="none"/>
              </w:rPr>
              <w:sym w:font="Wingdings 2" w:char="0052"/>
            </w:r>
            <w:r>
              <w:rPr>
                <w:rFonts w:hint="eastAsia"/>
                <w:highlight w:val="none"/>
              </w:rPr>
              <w:t>否</w:t>
            </w:r>
          </w:p>
          <w:p w14:paraId="598BFA68">
            <w:pPr>
              <w:rPr>
                <w:highlight w:val="none"/>
                <w:lang w:val="zh-CN"/>
              </w:rPr>
            </w:pPr>
            <w:r>
              <w:rPr>
                <w:sz w:val="32"/>
                <w:highlight w:val="none"/>
              </w:rPr>
              <w:t>□</w:t>
            </w:r>
            <w:r>
              <w:rPr>
                <w:rFonts w:hint="eastAsia"/>
                <w:highlight w:val="none"/>
              </w:rPr>
              <w:t>是，具体要求：</w:t>
            </w:r>
            <w:r>
              <w:rPr>
                <w:highlight w:val="none"/>
                <w:u w:val="single"/>
              </w:rPr>
              <w:t xml:space="preserve">            </w:t>
            </w:r>
          </w:p>
        </w:tc>
      </w:tr>
      <w:tr w14:paraId="2CE69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00" w:type="pct"/>
            <w:gridSpan w:val="3"/>
            <w:vAlign w:val="center"/>
          </w:tcPr>
          <w:p w14:paraId="3F040874">
            <w:pPr>
              <w:widowControl/>
              <w:adjustRightInd w:val="0"/>
              <w:snapToGrid w:val="0"/>
              <w:rPr>
                <w:rFonts w:cs="宋体"/>
                <w:color w:val="000000" w:themeColor="text1"/>
                <w:kern w:val="0"/>
                <w:highlight w:val="none"/>
                <w14:textFill>
                  <w14:solidFill>
                    <w14:schemeClr w14:val="tx1"/>
                  </w14:solidFill>
                </w14:textFill>
              </w:rPr>
            </w:pPr>
            <w:r>
              <w:rPr>
                <w:rFonts w:hint="eastAsia" w:cs="宋体"/>
                <w:color w:val="000000" w:themeColor="text1"/>
                <w:kern w:val="0"/>
                <w:highlight w:val="none"/>
                <w14:textFill>
                  <w14:solidFill>
                    <w14:schemeClr w14:val="tx1"/>
                  </w14:solidFill>
                </w14:textFill>
              </w:rPr>
              <w:t>需要补充的其他内容</w:t>
            </w:r>
          </w:p>
        </w:tc>
      </w:tr>
      <w:tr w14:paraId="4A383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9" w:type="pct"/>
            <w:gridSpan w:val="2"/>
            <w:vAlign w:val="center"/>
          </w:tcPr>
          <w:p w14:paraId="399320E1">
            <w:pPr>
              <w:widowControl/>
              <w:adjustRightInd w:val="0"/>
              <w:snapToGrid w:val="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10.2</w:t>
            </w:r>
          </w:p>
        </w:tc>
        <w:tc>
          <w:tcPr>
            <w:tcW w:w="3160" w:type="pct"/>
            <w:vAlign w:val="center"/>
          </w:tcPr>
          <w:p w14:paraId="79938018">
            <w:pPr>
              <w:widowControl/>
              <w:adjustRightInd w:val="0"/>
              <w:snapToGrid w:val="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工程量清单中所列工程数量是估算的，仅作为投标报价的共同基础，不能作为最终结算与支付的依据。工程量清单中所列工程量的任何错误、遗漏和变动，丝毫不会降低或影响合同条款的效力，也不免除承包人按规定的义务和其应按图纸、规范履行合同的责任。</w:t>
            </w:r>
          </w:p>
          <w:p w14:paraId="77821511">
            <w:pPr>
              <w:widowControl/>
              <w:adjustRightInd w:val="0"/>
              <w:snapToGrid w:val="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除非合同另有规定，工程量清单中有标价的单价和总额价均已包括了实施和完成合同工程所需的劳务、材料、机械、质检（自检）、安装、缺陷修复、管理、保险、税费、利润等费用，以及合同明示或暗示的所有责任、义务和一般风险。</w:t>
            </w:r>
          </w:p>
          <w:p w14:paraId="4AA1730D">
            <w:pPr>
              <w:widowControl/>
              <w:adjustRightInd w:val="0"/>
              <w:snapToGrid w:val="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投标人应认真填写工程量清单中所列工程细目的单价、合价和总额价。</w:t>
            </w:r>
          </w:p>
          <w:p w14:paraId="762701CE">
            <w:pPr>
              <w:widowControl/>
              <w:adjustRightInd w:val="0"/>
              <w:snapToGrid w:val="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工程量清单中投标人没有填入单价或价格的子目，其费用视为已分摊在工程量清单中其他相关子目的单价或价格之中，发包人将不予支付。承包人仍应按照</w:t>
            </w:r>
            <w:r>
              <w:rPr>
                <w:rFonts w:hint="eastAsia"/>
                <w:color w:val="000000" w:themeColor="text1"/>
                <w:highlight w:val="none"/>
                <w14:textFill>
                  <w14:solidFill>
                    <w14:schemeClr w14:val="tx1"/>
                  </w14:solidFill>
                </w14:textFill>
              </w:rPr>
              <w:t>发包</w:t>
            </w:r>
            <w:r>
              <w:rPr>
                <w:rFonts w:hint="eastAsia"/>
                <w:color w:val="000000" w:themeColor="text1"/>
                <w:highlight w:val="none"/>
                <w:lang w:val="zh-CN"/>
                <w14:textFill>
                  <w14:solidFill>
                    <w14:schemeClr w14:val="tx1"/>
                  </w14:solidFill>
                </w14:textFill>
              </w:rPr>
              <w:t>人指令完成工程量中未填入单价或总额价的子目，但不能得到结算与支付。</w:t>
            </w:r>
          </w:p>
          <w:p w14:paraId="2A1938D9">
            <w:pPr>
              <w:widowControl/>
              <w:adjustRightInd w:val="0"/>
              <w:snapToGrid w:val="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符合合同条款规定的全部费用应认为已被计入有标价的工程量清单所列各子目之中，未列子目不予计量的工作，其费用应视为分摊在相应合同工程的有关子目的单价或总额价中。</w:t>
            </w:r>
          </w:p>
          <w:p w14:paraId="5468B373">
            <w:pPr>
              <w:widowControl/>
              <w:adjustRightInd w:val="0"/>
              <w:snapToGrid w:val="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本次招标采用工程量固化清单，投标人编制报价工程量清单时，只需按照设定的格式填入单价（招标人指定单价项目，投标人不得修改），投标人不得对招标人给定的工程量清单进行修改（包括细目名称、细目号、工程数量及指定单价项目的单价、运算定义等），若投标人擅自修改工程量清单或者投标人的报价发生了算术性修正，属重大偏差，投标文件按否决投标处理。</w:t>
            </w:r>
          </w:p>
        </w:tc>
      </w:tr>
    </w:tbl>
    <w:p w14:paraId="3862EBE7">
      <w:pPr>
        <w:pStyle w:val="3"/>
        <w:spacing w:before="0" w:after="0" w:line="360" w:lineRule="auto"/>
        <w:ind w:firstLine="486" w:firstLineChars="200"/>
        <w:rPr>
          <w:rFonts w:ascii="宋体" w:hAnsi="宋体" w:cs="宋体"/>
          <w:b w:val="0"/>
          <w:sz w:val="21"/>
          <w:szCs w:val="21"/>
          <w:highlight w:val="none"/>
        </w:rPr>
      </w:pPr>
      <w:r>
        <w:rPr>
          <w:rFonts w:hint="eastAsia" w:cs="宋体"/>
          <w:color w:val="000000" w:themeColor="text1"/>
          <w:spacing w:val="1"/>
          <w:sz w:val="24"/>
          <w:szCs w:val="24"/>
          <w:highlight w:val="none"/>
          <w14:textFill>
            <w14:solidFill>
              <w14:schemeClr w14:val="tx1"/>
            </w14:solidFill>
          </w14:textFill>
        </w:rPr>
        <w:br w:type="page"/>
      </w:r>
      <w:bookmarkEnd w:id="67"/>
      <w:bookmarkEnd w:id="68"/>
      <w:bookmarkEnd w:id="69"/>
      <w:bookmarkEnd w:id="70"/>
      <w:bookmarkEnd w:id="71"/>
      <w:bookmarkEnd w:id="72"/>
      <w:bookmarkEnd w:id="73"/>
      <w:bookmarkEnd w:id="74"/>
      <w:bookmarkEnd w:id="75"/>
      <w:r>
        <w:rPr>
          <w:rFonts w:hint="eastAsia" w:ascii="宋体" w:hAnsi="宋体" w:cs="宋体"/>
          <w:b w:val="0"/>
          <w:sz w:val="21"/>
          <w:szCs w:val="21"/>
          <w:highlight w:val="none"/>
        </w:rPr>
        <w:t>1. 总则</w:t>
      </w:r>
    </w:p>
    <w:p w14:paraId="124ECE54">
      <w:pPr>
        <w:pStyle w:val="3"/>
        <w:spacing w:before="0" w:after="0" w:line="360" w:lineRule="auto"/>
        <w:ind w:firstLine="420" w:firstLineChars="200"/>
        <w:rPr>
          <w:rFonts w:ascii="宋体" w:hAnsi="宋体" w:cs="宋体"/>
          <w:b w:val="0"/>
          <w:sz w:val="21"/>
          <w:szCs w:val="21"/>
          <w:highlight w:val="none"/>
        </w:rPr>
      </w:pPr>
      <w:bookmarkStart w:id="79" w:name="_Toc234832871"/>
      <w:bookmarkStart w:id="80" w:name="_Toc517787504"/>
      <w:r>
        <w:rPr>
          <w:rFonts w:hint="eastAsia" w:ascii="宋体" w:hAnsi="宋体" w:cs="宋体"/>
          <w:b w:val="0"/>
          <w:sz w:val="21"/>
          <w:szCs w:val="21"/>
          <w:highlight w:val="none"/>
        </w:rPr>
        <w:t>1.1 项目概况</w:t>
      </w:r>
      <w:bookmarkEnd w:id="79"/>
      <w:bookmarkEnd w:id="80"/>
    </w:p>
    <w:p w14:paraId="52EE3BF1">
      <w:pPr>
        <w:spacing w:line="360" w:lineRule="auto"/>
        <w:ind w:firstLine="420" w:firstLineChars="200"/>
        <w:rPr>
          <w:rFonts w:ascii="宋体" w:hAnsi="宋体" w:cs="宋体"/>
          <w:highlight w:val="none"/>
        </w:rPr>
      </w:pPr>
      <w:r>
        <w:rPr>
          <w:rFonts w:hint="eastAsia" w:ascii="宋体" w:hAnsi="宋体" w:cs="宋体"/>
          <w:highlight w:val="none"/>
        </w:rPr>
        <w:t>1.1.1 根据《中华人民共和国招标投标法》《中华人民共和国招标投标法实施条例》《江苏省国有资金投资工程建设项目招标投标管理办法》《省交通运输厅关于进一步规范公路水运工程建设项目招标投标活动的通知》（苏交规〔2019〕1号）等有关法律、法规和规章的规定，本招标项目已具备招标条件，现对本标段施工进行招标。</w:t>
      </w:r>
    </w:p>
    <w:p w14:paraId="583FD684">
      <w:pPr>
        <w:spacing w:line="360" w:lineRule="auto"/>
        <w:ind w:firstLine="420" w:firstLineChars="200"/>
        <w:rPr>
          <w:rFonts w:ascii="宋体" w:hAnsi="宋体" w:cs="宋体"/>
          <w:highlight w:val="none"/>
        </w:rPr>
      </w:pPr>
      <w:r>
        <w:rPr>
          <w:rFonts w:hint="eastAsia" w:ascii="宋体" w:hAnsi="宋体" w:cs="宋体"/>
          <w:highlight w:val="none"/>
        </w:rPr>
        <w:t>1.1.2 本招标项目招标人：见投标人须知前附表。</w:t>
      </w:r>
    </w:p>
    <w:p w14:paraId="2D8643D1">
      <w:pPr>
        <w:spacing w:line="360" w:lineRule="auto"/>
        <w:ind w:firstLine="420" w:firstLineChars="200"/>
        <w:rPr>
          <w:rFonts w:ascii="宋体" w:hAnsi="宋体" w:cs="宋体"/>
          <w:highlight w:val="none"/>
        </w:rPr>
      </w:pPr>
      <w:r>
        <w:rPr>
          <w:rFonts w:hint="eastAsia" w:ascii="宋体" w:hAnsi="宋体" w:cs="宋体"/>
          <w:highlight w:val="none"/>
        </w:rPr>
        <w:t>1.1.3 本标段招标代理机构：见投标人须知前附表。</w:t>
      </w:r>
    </w:p>
    <w:p w14:paraId="0E7F4222">
      <w:pPr>
        <w:spacing w:line="360" w:lineRule="auto"/>
        <w:ind w:firstLine="420" w:firstLineChars="200"/>
        <w:rPr>
          <w:rFonts w:ascii="宋体" w:hAnsi="宋体" w:cs="宋体"/>
          <w:highlight w:val="none"/>
        </w:rPr>
      </w:pPr>
      <w:r>
        <w:rPr>
          <w:rFonts w:hint="eastAsia" w:ascii="宋体" w:hAnsi="宋体" w:cs="宋体"/>
          <w:highlight w:val="none"/>
        </w:rPr>
        <w:t>1.1.4 本招标项目名称：见投标人须知前附表。</w:t>
      </w:r>
    </w:p>
    <w:p w14:paraId="270140C3">
      <w:pPr>
        <w:spacing w:line="360" w:lineRule="auto"/>
        <w:ind w:firstLine="420" w:firstLineChars="200"/>
        <w:rPr>
          <w:rFonts w:ascii="宋体" w:hAnsi="宋体" w:cs="宋体"/>
          <w:highlight w:val="none"/>
        </w:rPr>
      </w:pPr>
      <w:r>
        <w:rPr>
          <w:rFonts w:hint="eastAsia" w:ascii="宋体" w:hAnsi="宋体" w:cs="宋体"/>
          <w:highlight w:val="none"/>
        </w:rPr>
        <w:t>1.1.5 本标段建设地点：见投标人须知前附表。</w:t>
      </w:r>
    </w:p>
    <w:p w14:paraId="741B27E8">
      <w:pPr>
        <w:pStyle w:val="3"/>
        <w:spacing w:before="0" w:after="0" w:line="360" w:lineRule="auto"/>
        <w:ind w:firstLine="420" w:firstLineChars="200"/>
        <w:rPr>
          <w:rFonts w:ascii="宋体" w:hAnsi="宋体" w:cs="宋体"/>
          <w:b w:val="0"/>
          <w:sz w:val="21"/>
          <w:szCs w:val="21"/>
          <w:highlight w:val="none"/>
        </w:rPr>
      </w:pPr>
      <w:bookmarkStart w:id="81" w:name="_Toc234832872"/>
      <w:bookmarkStart w:id="82" w:name="_Toc517787505"/>
      <w:r>
        <w:rPr>
          <w:rFonts w:hint="eastAsia" w:ascii="宋体" w:hAnsi="宋体" w:cs="宋体"/>
          <w:b w:val="0"/>
          <w:sz w:val="21"/>
          <w:szCs w:val="21"/>
          <w:highlight w:val="none"/>
        </w:rPr>
        <w:t>1.2 招标项目的资金来源和落实情况</w:t>
      </w:r>
      <w:bookmarkEnd w:id="81"/>
      <w:bookmarkEnd w:id="82"/>
      <w:r>
        <w:rPr>
          <w:rFonts w:hint="eastAsia" w:ascii="宋体" w:hAnsi="宋体" w:cs="宋体"/>
          <w:b w:val="0"/>
          <w:sz w:val="21"/>
          <w:szCs w:val="21"/>
          <w:highlight w:val="none"/>
        </w:rPr>
        <w:t xml:space="preserve"> </w:t>
      </w:r>
    </w:p>
    <w:p w14:paraId="393107AD">
      <w:pPr>
        <w:spacing w:line="360" w:lineRule="auto"/>
        <w:ind w:firstLine="420" w:firstLineChars="200"/>
        <w:rPr>
          <w:rFonts w:ascii="宋体" w:hAnsi="宋体" w:cs="宋体"/>
          <w:highlight w:val="none"/>
        </w:rPr>
      </w:pPr>
      <w:r>
        <w:rPr>
          <w:rFonts w:hint="eastAsia" w:ascii="宋体" w:hAnsi="宋体" w:cs="宋体"/>
          <w:highlight w:val="none"/>
        </w:rPr>
        <w:t>1.2.1 资金来源及比例：见投标人须知前附表。</w:t>
      </w:r>
    </w:p>
    <w:p w14:paraId="4AB4B030">
      <w:pPr>
        <w:spacing w:line="360" w:lineRule="auto"/>
        <w:ind w:firstLine="420" w:firstLineChars="200"/>
        <w:rPr>
          <w:rFonts w:ascii="宋体" w:hAnsi="宋体" w:cs="宋体"/>
          <w:highlight w:val="none"/>
        </w:rPr>
      </w:pPr>
      <w:r>
        <w:rPr>
          <w:rFonts w:hint="eastAsia" w:ascii="宋体" w:hAnsi="宋体" w:cs="宋体"/>
          <w:highlight w:val="none"/>
        </w:rPr>
        <w:t>1.2.2 资金落实情况：见投标人须知前附表。</w:t>
      </w:r>
    </w:p>
    <w:p w14:paraId="16C7F2BB">
      <w:pPr>
        <w:pStyle w:val="3"/>
        <w:spacing w:before="0" w:after="0" w:line="360" w:lineRule="auto"/>
        <w:ind w:firstLine="420" w:firstLineChars="200"/>
        <w:rPr>
          <w:rFonts w:ascii="宋体" w:hAnsi="宋体" w:cs="宋体"/>
          <w:b w:val="0"/>
          <w:sz w:val="21"/>
          <w:szCs w:val="21"/>
          <w:highlight w:val="none"/>
        </w:rPr>
      </w:pPr>
      <w:bookmarkStart w:id="83" w:name="_Toc234832873"/>
      <w:bookmarkStart w:id="84" w:name="_Toc517787506"/>
      <w:r>
        <w:rPr>
          <w:rFonts w:hint="eastAsia" w:ascii="宋体" w:hAnsi="宋体" w:cs="宋体"/>
          <w:b w:val="0"/>
          <w:sz w:val="21"/>
          <w:szCs w:val="21"/>
          <w:highlight w:val="none"/>
        </w:rPr>
        <w:t>1.3 招标范围、计划工期、质量要求</w:t>
      </w:r>
      <w:bookmarkEnd w:id="83"/>
      <w:r>
        <w:rPr>
          <w:rFonts w:hint="eastAsia" w:ascii="宋体" w:hAnsi="宋体" w:cs="宋体"/>
          <w:b w:val="0"/>
          <w:sz w:val="21"/>
          <w:szCs w:val="21"/>
          <w:highlight w:val="none"/>
        </w:rPr>
        <w:t>和安全目标</w:t>
      </w:r>
      <w:bookmarkEnd w:id="84"/>
    </w:p>
    <w:p w14:paraId="39CEC25F">
      <w:pPr>
        <w:spacing w:line="360" w:lineRule="auto"/>
        <w:ind w:firstLine="420" w:firstLineChars="200"/>
        <w:rPr>
          <w:rFonts w:ascii="宋体" w:hAnsi="宋体" w:cs="宋体"/>
          <w:highlight w:val="none"/>
        </w:rPr>
      </w:pPr>
      <w:r>
        <w:rPr>
          <w:rFonts w:hint="eastAsia" w:ascii="宋体" w:hAnsi="宋体" w:cs="宋体"/>
          <w:highlight w:val="none"/>
        </w:rPr>
        <w:t>1.3.1 招标范围：见投标人须知前附表。</w:t>
      </w:r>
    </w:p>
    <w:p w14:paraId="631E5E59">
      <w:pPr>
        <w:spacing w:line="360" w:lineRule="auto"/>
        <w:ind w:firstLine="420" w:firstLineChars="200"/>
        <w:rPr>
          <w:rFonts w:ascii="宋体" w:hAnsi="宋体" w:cs="宋体"/>
          <w:highlight w:val="none"/>
        </w:rPr>
      </w:pPr>
      <w:r>
        <w:rPr>
          <w:rFonts w:hint="eastAsia" w:ascii="宋体" w:hAnsi="宋体" w:cs="宋体"/>
          <w:highlight w:val="none"/>
        </w:rPr>
        <w:t>1.3.2 本标段的计划工期：见投标人须知前附表。</w:t>
      </w:r>
    </w:p>
    <w:p w14:paraId="1A05B119">
      <w:pPr>
        <w:spacing w:line="360" w:lineRule="auto"/>
        <w:ind w:firstLine="420" w:firstLineChars="200"/>
        <w:rPr>
          <w:rFonts w:ascii="宋体" w:hAnsi="宋体" w:cs="宋体"/>
          <w:highlight w:val="none"/>
        </w:rPr>
      </w:pPr>
      <w:r>
        <w:rPr>
          <w:rFonts w:hint="eastAsia" w:ascii="宋体" w:hAnsi="宋体" w:cs="宋体"/>
          <w:highlight w:val="none"/>
        </w:rPr>
        <w:t>1.3.3 本标段的质量要求：见投标人须知前附表。</w:t>
      </w:r>
    </w:p>
    <w:p w14:paraId="0A792983">
      <w:pPr>
        <w:spacing w:line="360" w:lineRule="auto"/>
        <w:ind w:firstLine="420" w:firstLineChars="200"/>
        <w:rPr>
          <w:rFonts w:ascii="宋体" w:hAnsi="宋体" w:cs="宋体"/>
          <w:highlight w:val="none"/>
        </w:rPr>
      </w:pPr>
      <w:r>
        <w:rPr>
          <w:rFonts w:hint="eastAsia" w:ascii="宋体" w:hAnsi="宋体" w:cs="宋体"/>
          <w:highlight w:val="none"/>
        </w:rPr>
        <w:t>1.3.4 本标段的安全目标：见投标人须知前附表。</w:t>
      </w:r>
    </w:p>
    <w:p w14:paraId="36966E34">
      <w:pPr>
        <w:pStyle w:val="3"/>
        <w:spacing w:before="0" w:after="0" w:line="360" w:lineRule="auto"/>
        <w:ind w:firstLine="420" w:firstLineChars="200"/>
        <w:rPr>
          <w:rFonts w:ascii="宋体" w:hAnsi="宋体" w:cs="宋体"/>
          <w:b w:val="0"/>
          <w:sz w:val="21"/>
          <w:szCs w:val="21"/>
          <w:highlight w:val="none"/>
        </w:rPr>
      </w:pPr>
      <w:bookmarkStart w:id="85" w:name="_Toc517787508"/>
      <w:bookmarkStart w:id="86" w:name="_Toc234832875"/>
      <w:r>
        <w:rPr>
          <w:rFonts w:hint="eastAsia" w:ascii="宋体" w:hAnsi="宋体" w:cs="宋体"/>
          <w:b w:val="0"/>
          <w:sz w:val="21"/>
          <w:szCs w:val="21"/>
          <w:highlight w:val="none"/>
        </w:rPr>
        <w:t>1.4 投标人资格要求</w:t>
      </w:r>
      <w:bookmarkEnd w:id="85"/>
      <w:bookmarkEnd w:id="86"/>
    </w:p>
    <w:p w14:paraId="70248A6B">
      <w:pPr>
        <w:topLinePunct/>
        <w:spacing w:line="360" w:lineRule="auto"/>
        <w:ind w:firstLine="420" w:firstLineChars="200"/>
        <w:rPr>
          <w:rFonts w:ascii="宋体" w:hAnsi="宋体" w:cs="宋体"/>
          <w:highlight w:val="none"/>
        </w:rPr>
      </w:pPr>
      <w:r>
        <w:rPr>
          <w:rFonts w:hint="eastAsia" w:ascii="宋体" w:hAnsi="宋体" w:cs="宋体"/>
          <w:highlight w:val="none"/>
        </w:rPr>
        <w:t>1.4.1 投标人应具备承担本标段施工的资质条件、能力和信誉。</w:t>
      </w:r>
    </w:p>
    <w:p w14:paraId="136AC41E">
      <w:pPr>
        <w:topLinePunct/>
        <w:spacing w:line="360" w:lineRule="auto"/>
        <w:ind w:firstLine="420" w:firstLineChars="200"/>
        <w:rPr>
          <w:rFonts w:ascii="宋体" w:hAnsi="宋体" w:cs="宋体"/>
          <w:highlight w:val="none"/>
        </w:rPr>
      </w:pPr>
      <w:r>
        <w:rPr>
          <w:rFonts w:hint="eastAsia" w:ascii="宋体" w:hAnsi="宋体" w:cs="宋体"/>
          <w:highlight w:val="none"/>
        </w:rPr>
        <w:t>（1）资质要求：见投标人须知前附表；</w:t>
      </w:r>
    </w:p>
    <w:p w14:paraId="22B1AC87">
      <w:pPr>
        <w:topLinePunct/>
        <w:spacing w:line="360" w:lineRule="auto"/>
        <w:ind w:firstLine="420" w:firstLineChars="200"/>
        <w:rPr>
          <w:rFonts w:ascii="宋体" w:hAnsi="宋体" w:cs="宋体"/>
          <w:highlight w:val="none"/>
        </w:rPr>
      </w:pPr>
      <w:r>
        <w:rPr>
          <w:rFonts w:hint="eastAsia" w:ascii="宋体" w:hAnsi="宋体" w:cs="宋体"/>
          <w:highlight w:val="none"/>
        </w:rPr>
        <w:t>（2）项目经理资格要求：见投标人须知前附表；</w:t>
      </w:r>
    </w:p>
    <w:p w14:paraId="1DD585A3">
      <w:pPr>
        <w:topLinePunct/>
        <w:spacing w:line="360" w:lineRule="auto"/>
        <w:ind w:firstLine="420" w:firstLineChars="200"/>
        <w:rPr>
          <w:rFonts w:ascii="宋体" w:hAnsi="宋体" w:cs="宋体"/>
          <w:highlight w:val="none"/>
        </w:rPr>
      </w:pPr>
      <w:r>
        <w:rPr>
          <w:rFonts w:hint="eastAsia" w:ascii="宋体" w:hAnsi="宋体" w:cs="宋体"/>
          <w:highlight w:val="none"/>
        </w:rPr>
        <w:t>（3）其他要求：见投标人须知前附表。</w:t>
      </w:r>
    </w:p>
    <w:p w14:paraId="3BD26199">
      <w:pPr>
        <w:spacing w:line="360" w:lineRule="auto"/>
        <w:ind w:firstLine="420" w:firstLineChars="200"/>
        <w:rPr>
          <w:rFonts w:ascii="宋体" w:hAnsi="宋体" w:cs="宋体"/>
          <w:highlight w:val="none"/>
        </w:rPr>
      </w:pPr>
      <w:r>
        <w:rPr>
          <w:rFonts w:hint="eastAsia" w:ascii="宋体" w:hAnsi="宋体" w:cs="宋体"/>
          <w:highlight w:val="none"/>
        </w:rPr>
        <w:t>需要提交的相关证明材料见本章第3.5款的规定。</w:t>
      </w:r>
    </w:p>
    <w:p w14:paraId="09FFBB4D">
      <w:pPr>
        <w:spacing w:line="360" w:lineRule="auto"/>
        <w:ind w:firstLine="420" w:firstLineChars="200"/>
        <w:rPr>
          <w:rFonts w:ascii="宋体" w:hAnsi="宋体" w:cs="宋体"/>
          <w:highlight w:val="none"/>
        </w:rPr>
      </w:pPr>
      <w:r>
        <w:rPr>
          <w:rFonts w:hint="eastAsia" w:ascii="宋体" w:hAnsi="宋体" w:cs="宋体"/>
          <w:highlight w:val="none"/>
        </w:rPr>
        <w:t>1.4.2 投标人须知前附表规定接受联合体投标的，联合体除应符合本章第1.4.1项和投标人须知前附表的要求外，还应遵守以下规定：</w:t>
      </w:r>
    </w:p>
    <w:p w14:paraId="7E88688B">
      <w:pPr>
        <w:spacing w:line="360" w:lineRule="auto"/>
        <w:ind w:firstLine="420" w:firstLineChars="200"/>
        <w:rPr>
          <w:rFonts w:ascii="宋体" w:hAnsi="宋体" w:cs="宋体"/>
          <w:highlight w:val="none"/>
        </w:rPr>
      </w:pPr>
      <w:r>
        <w:rPr>
          <w:rFonts w:hint="eastAsia" w:ascii="宋体" w:hAnsi="宋体" w:cs="宋体"/>
          <w:highlight w:val="none"/>
        </w:rPr>
        <w:t>（1）联合体各方应按招标文件提供的格式签订联合体协议书，明确联合体牵头人和各方权利义务，并承诺就中标项目向招标人承担连带责任；</w:t>
      </w:r>
    </w:p>
    <w:p w14:paraId="163B3310">
      <w:pPr>
        <w:spacing w:line="360" w:lineRule="auto"/>
        <w:ind w:firstLine="420" w:firstLineChars="200"/>
        <w:rPr>
          <w:rFonts w:ascii="宋体" w:hAnsi="宋体" w:cs="宋体"/>
          <w:highlight w:val="none"/>
        </w:rPr>
      </w:pPr>
      <w:r>
        <w:rPr>
          <w:rFonts w:hint="eastAsia" w:ascii="宋体" w:hAnsi="宋体" w:cs="宋体"/>
          <w:highlight w:val="none"/>
        </w:rPr>
        <w:t>（2）由同一专业的单位组成的联合体，按照资质等级较低的单位确定资质等级；</w:t>
      </w:r>
    </w:p>
    <w:p w14:paraId="1EBA6F39">
      <w:pPr>
        <w:spacing w:line="360" w:lineRule="auto"/>
        <w:ind w:firstLine="420" w:firstLineChars="200"/>
        <w:rPr>
          <w:rFonts w:ascii="宋体" w:hAnsi="宋体" w:cs="宋体"/>
          <w:highlight w:val="none"/>
        </w:rPr>
      </w:pPr>
      <w:r>
        <w:rPr>
          <w:rFonts w:hint="eastAsia" w:ascii="宋体" w:hAnsi="宋体" w:cs="宋体"/>
          <w:highlight w:val="none"/>
        </w:rPr>
        <w:t>（3）联合体各方不得再以自己名义单独或参加其他联合体在同一标段中投标；</w:t>
      </w:r>
    </w:p>
    <w:p w14:paraId="670812A3">
      <w:pPr>
        <w:pStyle w:val="8"/>
        <w:topLinePunct/>
        <w:spacing w:line="360" w:lineRule="auto"/>
        <w:ind w:firstLine="420" w:firstLineChars="200"/>
        <w:rPr>
          <w:rFonts w:hAnsi="宋体"/>
          <w:sz w:val="21"/>
          <w:szCs w:val="21"/>
          <w:highlight w:val="none"/>
        </w:rPr>
      </w:pPr>
      <w:r>
        <w:rPr>
          <w:rFonts w:hint="eastAsia" w:hAnsi="宋体"/>
          <w:sz w:val="21"/>
          <w:szCs w:val="21"/>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4D57FBA7">
      <w:pPr>
        <w:pStyle w:val="8"/>
        <w:topLinePunct/>
        <w:spacing w:line="360" w:lineRule="auto"/>
        <w:ind w:firstLine="420" w:firstLineChars="200"/>
        <w:rPr>
          <w:rFonts w:hAnsi="宋体"/>
          <w:sz w:val="21"/>
          <w:szCs w:val="21"/>
          <w:highlight w:val="none"/>
        </w:rPr>
      </w:pPr>
      <w:r>
        <w:rPr>
          <w:rFonts w:hint="eastAsia" w:hAnsi="宋体"/>
          <w:sz w:val="21"/>
          <w:szCs w:val="21"/>
          <w:highlight w:val="none"/>
        </w:rPr>
        <w:t>（5）尽管委任了联合体牵头人，但联合体各成员在投标、签订合同与履行合同过程中，仍负有连带的和各自的法律责任。</w:t>
      </w:r>
    </w:p>
    <w:p w14:paraId="2440FAE3">
      <w:pPr>
        <w:spacing w:line="360" w:lineRule="auto"/>
        <w:ind w:firstLine="420" w:firstLineChars="200"/>
        <w:rPr>
          <w:rFonts w:ascii="宋体" w:hAnsi="宋体" w:cs="宋体"/>
          <w:highlight w:val="none"/>
        </w:rPr>
      </w:pPr>
      <w:r>
        <w:rPr>
          <w:rFonts w:hint="eastAsia" w:ascii="宋体" w:hAnsi="宋体" w:cs="宋体"/>
          <w:highlight w:val="none"/>
        </w:rPr>
        <w:t>（6）联合体协议应当明确各成员在合同工程中所承担的专业工程或工作内容及范围。联合体各方应当具备联合体协议书中承担相应专业工程的资质；不承担联合体协议中相关专业工程的成员，其相关的专业资质不作为该联合体该专业的资质进行资格审查；</w:t>
      </w:r>
    </w:p>
    <w:p w14:paraId="210BF12B">
      <w:pPr>
        <w:spacing w:line="360" w:lineRule="auto"/>
        <w:ind w:firstLine="420" w:firstLineChars="200"/>
        <w:rPr>
          <w:rFonts w:ascii="宋体" w:hAnsi="宋体" w:cs="宋体"/>
          <w:highlight w:val="none"/>
        </w:rPr>
      </w:pPr>
      <w:r>
        <w:rPr>
          <w:rFonts w:hint="eastAsia" w:ascii="宋体" w:hAnsi="宋体" w:cs="宋体"/>
          <w:highlight w:val="none"/>
        </w:rPr>
        <w:t>（7）联合体信用等级按联合体成员最低信用等级确定。</w:t>
      </w:r>
    </w:p>
    <w:p w14:paraId="07681A56">
      <w:pPr>
        <w:tabs>
          <w:tab w:val="left" w:pos="360"/>
          <w:tab w:val="left" w:pos="540"/>
        </w:tabs>
        <w:spacing w:line="360" w:lineRule="auto"/>
        <w:ind w:firstLine="420" w:firstLineChars="200"/>
        <w:rPr>
          <w:rFonts w:ascii="宋体" w:hAnsi="宋体" w:cs="宋体"/>
          <w:highlight w:val="none"/>
        </w:rPr>
      </w:pPr>
      <w:r>
        <w:rPr>
          <w:rFonts w:hint="eastAsia" w:ascii="宋体" w:hAnsi="宋体" w:cs="宋体"/>
          <w:highlight w:val="none"/>
        </w:rPr>
        <w:t>1.4.3 投标人（包括联合体各成员）不得与本标段相关单位存在下列关联关系：</w:t>
      </w:r>
    </w:p>
    <w:p w14:paraId="2594895C">
      <w:pPr>
        <w:pStyle w:val="8"/>
        <w:topLinePunct/>
        <w:spacing w:line="360" w:lineRule="auto"/>
        <w:ind w:firstLine="420" w:firstLineChars="200"/>
        <w:rPr>
          <w:rFonts w:hAnsi="宋体"/>
          <w:sz w:val="21"/>
          <w:szCs w:val="21"/>
          <w:highlight w:val="none"/>
        </w:rPr>
      </w:pPr>
      <w:r>
        <w:rPr>
          <w:rFonts w:hint="eastAsia" w:hAnsi="宋体"/>
          <w:sz w:val="21"/>
          <w:szCs w:val="21"/>
          <w:highlight w:val="none"/>
        </w:rPr>
        <w:t>（1）为招标人不具有独立法人资格的附属机构（单位）；</w:t>
      </w:r>
    </w:p>
    <w:p w14:paraId="27FB0EDF">
      <w:pPr>
        <w:pStyle w:val="8"/>
        <w:topLinePunct/>
        <w:spacing w:line="360" w:lineRule="auto"/>
        <w:ind w:firstLine="420" w:firstLineChars="200"/>
        <w:rPr>
          <w:rFonts w:hAnsi="宋体"/>
          <w:sz w:val="21"/>
          <w:szCs w:val="21"/>
          <w:highlight w:val="none"/>
        </w:rPr>
      </w:pPr>
      <w:r>
        <w:rPr>
          <w:rFonts w:hint="eastAsia" w:hAnsi="宋体"/>
          <w:sz w:val="21"/>
          <w:szCs w:val="21"/>
          <w:highlight w:val="none"/>
        </w:rPr>
        <w:t>（2）与招标人存在利害关系且可能影响招标公正性；</w:t>
      </w:r>
    </w:p>
    <w:p w14:paraId="12239692">
      <w:pPr>
        <w:pStyle w:val="8"/>
        <w:topLinePunct/>
        <w:spacing w:line="360" w:lineRule="auto"/>
        <w:ind w:firstLine="420" w:firstLineChars="200"/>
        <w:rPr>
          <w:rFonts w:hAnsi="宋体"/>
          <w:sz w:val="21"/>
          <w:szCs w:val="21"/>
          <w:highlight w:val="none"/>
        </w:rPr>
      </w:pPr>
      <w:r>
        <w:rPr>
          <w:rFonts w:hint="eastAsia" w:hAnsi="宋体"/>
          <w:sz w:val="21"/>
          <w:szCs w:val="21"/>
          <w:highlight w:val="none"/>
        </w:rPr>
        <w:t>（3）与本标段的其他投标人单位负责人为同一个人；</w:t>
      </w:r>
    </w:p>
    <w:p w14:paraId="4B00D52B">
      <w:pPr>
        <w:pStyle w:val="8"/>
        <w:topLinePunct/>
        <w:spacing w:line="360" w:lineRule="auto"/>
        <w:ind w:firstLine="420" w:firstLineChars="200"/>
        <w:rPr>
          <w:rFonts w:hAnsi="宋体"/>
          <w:sz w:val="21"/>
          <w:szCs w:val="21"/>
          <w:highlight w:val="none"/>
        </w:rPr>
      </w:pPr>
      <w:r>
        <w:rPr>
          <w:rFonts w:hint="eastAsia" w:hAnsi="宋体"/>
          <w:sz w:val="21"/>
          <w:szCs w:val="21"/>
          <w:highlight w:val="none"/>
        </w:rPr>
        <w:t>（4）与本标段的其他投标人存在控股、管理关系；</w:t>
      </w:r>
    </w:p>
    <w:p w14:paraId="5914E7FA">
      <w:pPr>
        <w:pStyle w:val="8"/>
        <w:topLinePunct/>
        <w:spacing w:line="360" w:lineRule="auto"/>
        <w:ind w:firstLine="420" w:firstLineChars="200"/>
        <w:rPr>
          <w:rFonts w:hAnsi="宋体"/>
          <w:sz w:val="21"/>
          <w:szCs w:val="21"/>
          <w:highlight w:val="none"/>
        </w:rPr>
      </w:pPr>
      <w:r>
        <w:rPr>
          <w:rFonts w:hint="eastAsia" w:hAnsi="宋体"/>
          <w:sz w:val="21"/>
          <w:szCs w:val="21"/>
          <w:highlight w:val="none"/>
        </w:rPr>
        <w:t>（5）为本标段前期准备提供设计或咨询服务的法人或其任何附属机构（单位）；</w:t>
      </w:r>
    </w:p>
    <w:p w14:paraId="39DB5BF5">
      <w:pPr>
        <w:pStyle w:val="8"/>
        <w:topLinePunct/>
        <w:spacing w:line="360" w:lineRule="auto"/>
        <w:ind w:firstLine="420" w:firstLineChars="200"/>
        <w:rPr>
          <w:rFonts w:hAnsi="宋体"/>
          <w:sz w:val="21"/>
          <w:szCs w:val="21"/>
          <w:highlight w:val="none"/>
        </w:rPr>
      </w:pPr>
      <w:r>
        <w:rPr>
          <w:rFonts w:hint="eastAsia" w:hAnsi="宋体"/>
          <w:sz w:val="21"/>
          <w:szCs w:val="21"/>
          <w:highlight w:val="none"/>
        </w:rPr>
        <w:t>（6）为本标段的监理人；</w:t>
      </w:r>
    </w:p>
    <w:p w14:paraId="22811306">
      <w:pPr>
        <w:pStyle w:val="8"/>
        <w:topLinePunct/>
        <w:spacing w:line="360" w:lineRule="auto"/>
        <w:ind w:firstLine="420" w:firstLineChars="200"/>
        <w:rPr>
          <w:rFonts w:hAnsi="宋体"/>
          <w:sz w:val="21"/>
          <w:szCs w:val="21"/>
          <w:highlight w:val="none"/>
        </w:rPr>
      </w:pPr>
      <w:r>
        <w:rPr>
          <w:rFonts w:hint="eastAsia" w:hAnsi="宋体"/>
          <w:sz w:val="21"/>
          <w:szCs w:val="21"/>
          <w:highlight w:val="none"/>
        </w:rPr>
        <w:t>（7）为本标段的代建人；</w:t>
      </w:r>
    </w:p>
    <w:p w14:paraId="366701AB">
      <w:pPr>
        <w:pStyle w:val="8"/>
        <w:topLinePunct/>
        <w:spacing w:line="360" w:lineRule="auto"/>
        <w:ind w:firstLine="420" w:firstLineChars="200"/>
        <w:rPr>
          <w:rFonts w:hAnsi="宋体"/>
          <w:sz w:val="21"/>
          <w:szCs w:val="21"/>
          <w:highlight w:val="none"/>
        </w:rPr>
      </w:pPr>
      <w:r>
        <w:rPr>
          <w:rFonts w:hint="eastAsia" w:hAnsi="宋体"/>
          <w:sz w:val="21"/>
          <w:szCs w:val="21"/>
          <w:highlight w:val="none"/>
        </w:rPr>
        <w:t>（8）为本标段的招标代理机构；</w:t>
      </w:r>
    </w:p>
    <w:p w14:paraId="08CE33C7">
      <w:pPr>
        <w:pStyle w:val="8"/>
        <w:topLinePunct/>
        <w:spacing w:line="360" w:lineRule="auto"/>
        <w:ind w:firstLine="420" w:firstLineChars="200"/>
        <w:rPr>
          <w:rFonts w:hAnsi="宋体"/>
          <w:sz w:val="21"/>
          <w:szCs w:val="21"/>
          <w:highlight w:val="none"/>
        </w:rPr>
      </w:pPr>
      <w:r>
        <w:rPr>
          <w:rFonts w:hint="eastAsia" w:hAnsi="宋体"/>
          <w:sz w:val="21"/>
          <w:szCs w:val="21"/>
          <w:highlight w:val="none"/>
        </w:rPr>
        <w:t>（9）与本标段的监理人或代建人或招标代理机构同为一个法定代表人；</w:t>
      </w:r>
    </w:p>
    <w:p w14:paraId="4012C130">
      <w:pPr>
        <w:pStyle w:val="8"/>
        <w:topLinePunct/>
        <w:spacing w:line="360" w:lineRule="auto"/>
        <w:ind w:firstLine="420" w:firstLineChars="200"/>
        <w:rPr>
          <w:rFonts w:hAnsi="宋体"/>
          <w:sz w:val="21"/>
          <w:szCs w:val="21"/>
          <w:highlight w:val="none"/>
        </w:rPr>
      </w:pPr>
      <w:r>
        <w:rPr>
          <w:rFonts w:hint="eastAsia" w:hAnsi="宋体"/>
          <w:sz w:val="21"/>
          <w:szCs w:val="21"/>
          <w:highlight w:val="none"/>
        </w:rPr>
        <w:t>（10）与本标段的监理人或代建人或招标代理机构存在控股或参股关系；</w:t>
      </w:r>
    </w:p>
    <w:p w14:paraId="6241672A">
      <w:pPr>
        <w:pStyle w:val="8"/>
        <w:topLinePunct/>
        <w:spacing w:line="360" w:lineRule="auto"/>
        <w:ind w:firstLine="420" w:firstLineChars="200"/>
        <w:rPr>
          <w:rFonts w:hAnsi="宋体"/>
          <w:sz w:val="21"/>
          <w:szCs w:val="21"/>
          <w:highlight w:val="none"/>
        </w:rPr>
      </w:pPr>
      <w:r>
        <w:rPr>
          <w:rFonts w:hint="eastAsia" w:hAnsi="宋体"/>
          <w:sz w:val="21"/>
          <w:szCs w:val="21"/>
          <w:highlight w:val="none"/>
        </w:rPr>
        <w:t>（11）法律法规或投标人须知前附表规定的其他情形。</w:t>
      </w:r>
    </w:p>
    <w:p w14:paraId="77573A5C">
      <w:pPr>
        <w:tabs>
          <w:tab w:val="left" w:pos="360"/>
          <w:tab w:val="left" w:pos="540"/>
        </w:tabs>
        <w:spacing w:line="360" w:lineRule="auto"/>
        <w:ind w:firstLine="420" w:firstLineChars="200"/>
        <w:rPr>
          <w:rFonts w:ascii="宋体" w:hAnsi="宋体" w:cs="宋体"/>
          <w:highlight w:val="none"/>
        </w:rPr>
      </w:pPr>
      <w:r>
        <w:rPr>
          <w:rFonts w:hint="eastAsia" w:ascii="宋体" w:hAnsi="宋体" w:cs="宋体"/>
          <w:highlight w:val="none"/>
        </w:rPr>
        <w:t>1.4.4 投标人（包括联合体各成员）不得存在下列不良状况或不良信用记录：</w:t>
      </w:r>
    </w:p>
    <w:p w14:paraId="6DEFB769">
      <w:pPr>
        <w:pStyle w:val="8"/>
        <w:topLinePunct/>
        <w:spacing w:line="360" w:lineRule="auto"/>
        <w:ind w:firstLine="420" w:firstLineChars="200"/>
        <w:rPr>
          <w:rFonts w:hAnsi="宋体"/>
          <w:sz w:val="21"/>
          <w:szCs w:val="21"/>
          <w:highlight w:val="none"/>
        </w:rPr>
      </w:pPr>
      <w:r>
        <w:rPr>
          <w:rFonts w:hint="eastAsia" w:hAnsi="宋体"/>
          <w:sz w:val="21"/>
          <w:szCs w:val="21"/>
          <w:highlight w:val="none"/>
        </w:rPr>
        <w:t>（1）被责令停业，暂扣或吊销执照，或吊销资质证书；</w:t>
      </w:r>
    </w:p>
    <w:p w14:paraId="2CD74B5B">
      <w:pPr>
        <w:pStyle w:val="8"/>
        <w:topLinePunct/>
        <w:spacing w:line="360" w:lineRule="auto"/>
        <w:ind w:firstLine="420" w:firstLineChars="200"/>
        <w:rPr>
          <w:rFonts w:hAnsi="宋体"/>
          <w:sz w:val="21"/>
          <w:szCs w:val="21"/>
          <w:highlight w:val="none"/>
        </w:rPr>
      </w:pPr>
      <w:r>
        <w:rPr>
          <w:rFonts w:hint="eastAsia" w:hAnsi="宋体"/>
          <w:sz w:val="21"/>
          <w:szCs w:val="21"/>
          <w:highlight w:val="none"/>
        </w:rPr>
        <w:t>（2）进入清算程序，或被宣告破产，或其他丧失履约能力的情形；</w:t>
      </w:r>
    </w:p>
    <w:p w14:paraId="147C8B78">
      <w:pPr>
        <w:pStyle w:val="8"/>
        <w:topLinePunct/>
        <w:spacing w:line="360" w:lineRule="auto"/>
        <w:ind w:firstLine="420" w:firstLineChars="200"/>
        <w:rPr>
          <w:rFonts w:hAnsi="宋体"/>
          <w:sz w:val="21"/>
          <w:szCs w:val="21"/>
          <w:highlight w:val="none"/>
        </w:rPr>
      </w:pPr>
      <w:r>
        <w:rPr>
          <w:rFonts w:hint="eastAsia" w:hAnsi="宋体"/>
          <w:sz w:val="21"/>
          <w:szCs w:val="21"/>
          <w:highlight w:val="none"/>
        </w:rPr>
        <w:t>（3）在国家企业信用信息公示系统（http://www.gsxt.gov.cn/）中被列入严重违法失信企业名单；</w:t>
      </w:r>
    </w:p>
    <w:p w14:paraId="750F66FA">
      <w:pPr>
        <w:pStyle w:val="8"/>
        <w:topLinePunct/>
        <w:spacing w:line="360" w:lineRule="auto"/>
        <w:ind w:firstLine="420" w:firstLineChars="200"/>
        <w:rPr>
          <w:rFonts w:hAnsi="宋体"/>
          <w:sz w:val="21"/>
          <w:szCs w:val="21"/>
          <w:highlight w:val="none"/>
        </w:rPr>
      </w:pPr>
      <w:r>
        <w:rPr>
          <w:rFonts w:hint="eastAsia" w:hAnsi="宋体"/>
          <w:sz w:val="21"/>
          <w:szCs w:val="21"/>
          <w:highlight w:val="none"/>
        </w:rPr>
        <w:t>（4）在“信用中国”网站（http://www.creditchina.gov.cn/）中被列入失信被执行人名单；</w:t>
      </w:r>
    </w:p>
    <w:p w14:paraId="1D10A334">
      <w:pPr>
        <w:pStyle w:val="8"/>
        <w:topLinePunct/>
        <w:spacing w:line="360" w:lineRule="auto"/>
        <w:ind w:firstLine="420" w:firstLineChars="200"/>
        <w:rPr>
          <w:rFonts w:hAnsi="宋体"/>
          <w:sz w:val="21"/>
          <w:szCs w:val="21"/>
          <w:highlight w:val="none"/>
        </w:rPr>
      </w:pPr>
      <w:r>
        <w:rPr>
          <w:rFonts w:hint="eastAsia" w:hAnsi="宋体"/>
          <w:sz w:val="21"/>
          <w:szCs w:val="21"/>
          <w:highlight w:val="none"/>
        </w:rPr>
        <w:t>（5）投标人或其法定代表人、拟委任的项目经理在近三年内有行贿犯罪行为的；</w:t>
      </w:r>
    </w:p>
    <w:p w14:paraId="2D3FEDCC">
      <w:pPr>
        <w:pStyle w:val="8"/>
        <w:topLinePunct/>
        <w:spacing w:line="360" w:lineRule="auto"/>
        <w:ind w:firstLine="420" w:firstLineChars="200"/>
        <w:rPr>
          <w:rFonts w:hAnsi="宋体"/>
          <w:sz w:val="21"/>
          <w:szCs w:val="21"/>
          <w:highlight w:val="none"/>
        </w:rPr>
      </w:pPr>
      <w:r>
        <w:rPr>
          <w:rFonts w:hint="eastAsia" w:hAnsi="宋体"/>
          <w:sz w:val="21"/>
          <w:szCs w:val="21"/>
          <w:highlight w:val="none"/>
        </w:rPr>
        <w:t>（6）法律法规或投标人须知前附表规定的其他情形。</w:t>
      </w:r>
    </w:p>
    <w:p w14:paraId="7E457BCB">
      <w:pPr>
        <w:pStyle w:val="3"/>
        <w:spacing w:before="0" w:after="0" w:line="360" w:lineRule="auto"/>
        <w:ind w:firstLine="420" w:firstLineChars="200"/>
        <w:rPr>
          <w:rFonts w:ascii="宋体" w:hAnsi="宋体" w:cs="宋体"/>
          <w:b w:val="0"/>
          <w:sz w:val="21"/>
          <w:szCs w:val="21"/>
          <w:highlight w:val="none"/>
        </w:rPr>
      </w:pPr>
      <w:bookmarkStart w:id="87" w:name="_Toc234832876"/>
      <w:bookmarkStart w:id="88" w:name="_Toc517787509"/>
      <w:r>
        <w:rPr>
          <w:rFonts w:hint="eastAsia" w:ascii="宋体" w:hAnsi="宋体" w:cs="宋体"/>
          <w:b w:val="0"/>
          <w:sz w:val="21"/>
          <w:szCs w:val="21"/>
          <w:highlight w:val="none"/>
        </w:rPr>
        <w:t>1.5 费用承担</w:t>
      </w:r>
      <w:bookmarkEnd w:id="87"/>
      <w:bookmarkEnd w:id="88"/>
    </w:p>
    <w:p w14:paraId="0F325898">
      <w:pPr>
        <w:spacing w:line="360" w:lineRule="auto"/>
        <w:ind w:firstLine="420" w:firstLineChars="200"/>
        <w:rPr>
          <w:rFonts w:ascii="宋体" w:hAnsi="宋体" w:cs="宋体"/>
          <w:highlight w:val="none"/>
        </w:rPr>
      </w:pPr>
      <w:r>
        <w:rPr>
          <w:rFonts w:hint="eastAsia" w:ascii="宋体" w:hAnsi="宋体" w:cs="宋体"/>
          <w:highlight w:val="none"/>
        </w:rPr>
        <w:t>投标人准备和参加投标活动发生的费用自理。</w:t>
      </w:r>
    </w:p>
    <w:p w14:paraId="58B3B0C7">
      <w:pPr>
        <w:pStyle w:val="3"/>
        <w:spacing w:before="0" w:after="0" w:line="360" w:lineRule="auto"/>
        <w:ind w:firstLine="420" w:firstLineChars="200"/>
        <w:rPr>
          <w:rFonts w:ascii="宋体" w:hAnsi="宋体" w:cs="宋体"/>
          <w:b w:val="0"/>
          <w:sz w:val="21"/>
          <w:szCs w:val="21"/>
          <w:highlight w:val="none"/>
        </w:rPr>
      </w:pPr>
      <w:bookmarkStart w:id="89" w:name="_Toc517787510"/>
      <w:bookmarkStart w:id="90" w:name="_Toc234832877"/>
      <w:r>
        <w:rPr>
          <w:rFonts w:hint="eastAsia" w:ascii="宋体" w:hAnsi="宋体" w:cs="宋体"/>
          <w:b w:val="0"/>
          <w:sz w:val="21"/>
          <w:szCs w:val="21"/>
          <w:highlight w:val="none"/>
        </w:rPr>
        <w:t>1.6 保密</w:t>
      </w:r>
      <w:bookmarkEnd w:id="89"/>
      <w:bookmarkEnd w:id="90"/>
    </w:p>
    <w:p w14:paraId="6B5640BB">
      <w:pPr>
        <w:spacing w:line="360" w:lineRule="auto"/>
        <w:ind w:firstLine="420" w:firstLineChars="200"/>
        <w:rPr>
          <w:rFonts w:ascii="宋体" w:hAnsi="宋体" w:cs="宋体"/>
          <w:highlight w:val="none"/>
        </w:rPr>
      </w:pPr>
      <w:r>
        <w:rPr>
          <w:rFonts w:hint="eastAsia" w:ascii="宋体" w:hAnsi="宋体" w:cs="宋体"/>
          <w:highlight w:val="none"/>
        </w:rPr>
        <w:t>参与招标投标活动的各方应对招标文件和投标文件中的商业和技术等秘密保密，</w:t>
      </w:r>
      <w:r>
        <w:rPr>
          <w:rFonts w:hint="eastAsia" w:ascii="宋体" w:hAnsi="宋体" w:cs="宋体"/>
          <w:kern w:val="0"/>
          <w:highlight w:val="none"/>
        </w:rPr>
        <w:t>否则应承担相应的法律责任。</w:t>
      </w:r>
    </w:p>
    <w:p w14:paraId="1B3941D8">
      <w:pPr>
        <w:pStyle w:val="3"/>
        <w:spacing w:before="0" w:after="0" w:line="360" w:lineRule="auto"/>
        <w:ind w:firstLine="420" w:firstLineChars="200"/>
        <w:rPr>
          <w:rFonts w:ascii="宋体" w:hAnsi="宋体" w:cs="宋体"/>
          <w:b w:val="0"/>
          <w:sz w:val="21"/>
          <w:szCs w:val="21"/>
          <w:highlight w:val="none"/>
        </w:rPr>
      </w:pPr>
      <w:bookmarkStart w:id="91" w:name="_Toc234832878"/>
      <w:bookmarkStart w:id="92" w:name="_Toc517787511"/>
      <w:r>
        <w:rPr>
          <w:rFonts w:hint="eastAsia" w:ascii="宋体" w:hAnsi="宋体" w:cs="宋体"/>
          <w:b w:val="0"/>
          <w:sz w:val="21"/>
          <w:szCs w:val="21"/>
          <w:highlight w:val="none"/>
        </w:rPr>
        <w:t>1.7 语言文字</w:t>
      </w:r>
      <w:bookmarkEnd w:id="91"/>
      <w:bookmarkEnd w:id="92"/>
    </w:p>
    <w:p w14:paraId="4230D4EA">
      <w:pPr>
        <w:spacing w:line="360" w:lineRule="auto"/>
        <w:ind w:firstLine="420" w:firstLineChars="200"/>
        <w:rPr>
          <w:rFonts w:ascii="宋体" w:hAnsi="宋体" w:cs="宋体"/>
          <w:kern w:val="0"/>
          <w:highlight w:val="none"/>
        </w:rPr>
      </w:pPr>
      <w:r>
        <w:rPr>
          <w:rFonts w:hint="eastAsia" w:ascii="宋体" w:hAnsi="宋体" w:cs="宋体"/>
          <w:kern w:val="0"/>
          <w:highlight w:val="none"/>
        </w:rPr>
        <w:t>招标投标文件使用的语言文字为中文。专用术语使用外文的，应附有中文注释。</w:t>
      </w:r>
    </w:p>
    <w:p w14:paraId="04CEC7B0">
      <w:pPr>
        <w:pStyle w:val="3"/>
        <w:spacing w:before="0" w:after="0" w:line="360" w:lineRule="auto"/>
        <w:ind w:firstLine="420" w:firstLineChars="200"/>
        <w:rPr>
          <w:rFonts w:ascii="宋体" w:hAnsi="宋体" w:cs="宋体"/>
          <w:b w:val="0"/>
          <w:sz w:val="21"/>
          <w:szCs w:val="21"/>
          <w:highlight w:val="none"/>
        </w:rPr>
      </w:pPr>
      <w:bookmarkStart w:id="93" w:name="_Toc234832879"/>
      <w:bookmarkStart w:id="94" w:name="_Toc517787512"/>
      <w:r>
        <w:rPr>
          <w:rFonts w:hint="eastAsia" w:ascii="宋体" w:hAnsi="宋体" w:cs="宋体"/>
          <w:b w:val="0"/>
          <w:sz w:val="21"/>
          <w:szCs w:val="21"/>
          <w:highlight w:val="none"/>
        </w:rPr>
        <w:t>1.8 计量单位</w:t>
      </w:r>
      <w:bookmarkEnd w:id="93"/>
      <w:bookmarkEnd w:id="94"/>
    </w:p>
    <w:p w14:paraId="2E4F400D">
      <w:pPr>
        <w:spacing w:line="360" w:lineRule="auto"/>
        <w:ind w:firstLine="420" w:firstLineChars="200"/>
        <w:rPr>
          <w:rFonts w:ascii="宋体" w:hAnsi="宋体" w:cs="宋体"/>
          <w:highlight w:val="none"/>
        </w:rPr>
      </w:pPr>
      <w:r>
        <w:rPr>
          <w:rFonts w:hint="eastAsia" w:ascii="宋体" w:hAnsi="宋体" w:cs="宋体"/>
          <w:highlight w:val="none"/>
        </w:rPr>
        <w:t>所有计量均采用中华人民共和国法定计量单位。</w:t>
      </w:r>
    </w:p>
    <w:p w14:paraId="5A3646B1">
      <w:pPr>
        <w:pStyle w:val="3"/>
        <w:spacing w:before="0" w:after="0" w:line="360" w:lineRule="auto"/>
        <w:ind w:firstLine="420" w:firstLineChars="200"/>
        <w:rPr>
          <w:rFonts w:ascii="宋体" w:hAnsi="宋体" w:cs="宋体"/>
          <w:b w:val="0"/>
          <w:sz w:val="21"/>
          <w:szCs w:val="21"/>
          <w:highlight w:val="none"/>
        </w:rPr>
      </w:pPr>
      <w:bookmarkStart w:id="95" w:name="_Toc234832880"/>
      <w:bookmarkStart w:id="96" w:name="_Toc517787513"/>
      <w:r>
        <w:rPr>
          <w:rFonts w:hint="eastAsia" w:ascii="宋体" w:hAnsi="宋体" w:cs="宋体"/>
          <w:b w:val="0"/>
          <w:sz w:val="21"/>
          <w:szCs w:val="21"/>
          <w:highlight w:val="none"/>
        </w:rPr>
        <w:t>1.9 踏勘现场</w:t>
      </w:r>
      <w:bookmarkEnd w:id="95"/>
      <w:bookmarkEnd w:id="96"/>
    </w:p>
    <w:p w14:paraId="624844A5">
      <w:pPr>
        <w:spacing w:line="360" w:lineRule="auto"/>
        <w:ind w:firstLine="420" w:firstLineChars="200"/>
        <w:rPr>
          <w:rFonts w:ascii="宋体" w:hAnsi="宋体" w:cs="宋体"/>
          <w:highlight w:val="none"/>
        </w:rPr>
      </w:pPr>
      <w:r>
        <w:rPr>
          <w:rFonts w:hint="eastAsia" w:ascii="宋体" w:hAnsi="宋体" w:cs="宋体"/>
          <w:highlight w:val="none"/>
        </w:rPr>
        <w:t>1.9.1 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14:paraId="1B9DCB1B">
      <w:pPr>
        <w:spacing w:line="360" w:lineRule="auto"/>
        <w:ind w:firstLine="420" w:firstLineChars="200"/>
        <w:rPr>
          <w:rFonts w:ascii="宋体" w:hAnsi="宋体" w:cs="宋体"/>
          <w:highlight w:val="none"/>
        </w:rPr>
      </w:pPr>
      <w:r>
        <w:rPr>
          <w:rFonts w:hint="eastAsia" w:ascii="宋体" w:hAnsi="宋体" w:cs="宋体"/>
          <w:highlight w:val="none"/>
        </w:rPr>
        <w:t>1.9.2 投标人踏勘现场发生的费用自理。</w:t>
      </w:r>
    </w:p>
    <w:p w14:paraId="3F06DEC9">
      <w:pPr>
        <w:spacing w:line="360" w:lineRule="auto"/>
        <w:ind w:firstLine="420" w:firstLineChars="200"/>
        <w:rPr>
          <w:rFonts w:ascii="宋体" w:hAnsi="宋体" w:cs="宋体"/>
          <w:highlight w:val="none"/>
        </w:rPr>
      </w:pPr>
      <w:r>
        <w:rPr>
          <w:rFonts w:hint="eastAsia" w:ascii="宋体" w:hAnsi="宋体" w:cs="宋体"/>
          <w:highlight w:val="none"/>
        </w:rPr>
        <w:t>1.9.3 除招标人的原因外，投标人自行负责在踏勘现场中所发生的人员伤亡和财产损失。</w:t>
      </w:r>
    </w:p>
    <w:p w14:paraId="57194A2E">
      <w:pPr>
        <w:spacing w:line="360" w:lineRule="auto"/>
        <w:ind w:firstLine="420" w:firstLineChars="200"/>
        <w:rPr>
          <w:rFonts w:ascii="宋体" w:hAnsi="宋体" w:cs="宋体"/>
          <w:highlight w:val="none"/>
        </w:rPr>
      </w:pPr>
      <w:r>
        <w:rPr>
          <w:rFonts w:hint="eastAsia" w:ascii="宋体" w:hAnsi="宋体" w:cs="宋体"/>
          <w:highlight w:val="none"/>
        </w:rPr>
        <w:t>1.9.4 招标人在踏勘现场中介绍的工程场地和相关的周边环境情况，供投标人在编制投标文件时参考，招标人不对投标人据此作出的判断和决策负责。</w:t>
      </w:r>
    </w:p>
    <w:p w14:paraId="27FE0917">
      <w:pPr>
        <w:pStyle w:val="3"/>
        <w:spacing w:before="0" w:after="0" w:line="360" w:lineRule="auto"/>
        <w:ind w:firstLine="420" w:firstLineChars="200"/>
        <w:rPr>
          <w:rFonts w:ascii="宋体" w:hAnsi="宋体" w:cs="宋体"/>
          <w:b w:val="0"/>
          <w:sz w:val="21"/>
          <w:szCs w:val="21"/>
          <w:highlight w:val="none"/>
        </w:rPr>
      </w:pPr>
      <w:bookmarkStart w:id="97" w:name="_Toc234832881"/>
      <w:bookmarkStart w:id="98" w:name="_Toc517787514"/>
      <w:r>
        <w:rPr>
          <w:rFonts w:hint="eastAsia" w:ascii="宋体" w:hAnsi="宋体" w:cs="宋体"/>
          <w:b w:val="0"/>
          <w:sz w:val="21"/>
          <w:szCs w:val="21"/>
          <w:highlight w:val="none"/>
        </w:rPr>
        <w:t>1.10 投标预备会</w:t>
      </w:r>
      <w:bookmarkEnd w:id="97"/>
      <w:bookmarkEnd w:id="98"/>
    </w:p>
    <w:p w14:paraId="6C688BF1">
      <w:pPr>
        <w:spacing w:line="360" w:lineRule="auto"/>
        <w:ind w:firstLine="420" w:firstLineChars="200"/>
        <w:rPr>
          <w:rFonts w:ascii="宋体" w:hAnsi="宋体" w:cs="宋体"/>
          <w:highlight w:val="none"/>
        </w:rPr>
      </w:pPr>
      <w:r>
        <w:rPr>
          <w:rFonts w:hint="eastAsia" w:ascii="宋体" w:hAnsi="宋体" w:cs="宋体"/>
          <w:highlight w:val="none"/>
        </w:rPr>
        <w:t>1.10.1 第一章“招标公告”或“投标邀请书”规定召开投标预备会的，招标人按规定的时间和地点召开投标预备会，澄清投标人提出的问题。</w:t>
      </w:r>
    </w:p>
    <w:p w14:paraId="3B0BE8B9">
      <w:pPr>
        <w:pStyle w:val="8"/>
        <w:topLinePunct/>
        <w:spacing w:line="360" w:lineRule="auto"/>
        <w:ind w:firstLine="420" w:firstLineChars="200"/>
        <w:rPr>
          <w:rFonts w:hAnsi="宋体"/>
          <w:sz w:val="21"/>
          <w:szCs w:val="21"/>
          <w:highlight w:val="none"/>
        </w:rPr>
      </w:pPr>
      <w:r>
        <w:rPr>
          <w:rFonts w:hint="eastAsia" w:hAnsi="宋体"/>
          <w:sz w:val="21"/>
          <w:szCs w:val="21"/>
          <w:highlight w:val="none"/>
        </w:rPr>
        <w:t>1.10.2 投标人应按投标人须知前附表规定的时间和形式将提出的问题送达招标人，以便招标人在会议期间澄清。</w:t>
      </w:r>
    </w:p>
    <w:p w14:paraId="48016145">
      <w:pPr>
        <w:pStyle w:val="8"/>
        <w:topLinePunct/>
        <w:spacing w:line="360" w:lineRule="auto"/>
        <w:ind w:firstLine="420" w:firstLineChars="200"/>
        <w:rPr>
          <w:rFonts w:hAnsi="宋体"/>
          <w:sz w:val="21"/>
          <w:szCs w:val="21"/>
          <w:highlight w:val="none"/>
        </w:rPr>
      </w:pPr>
      <w:r>
        <w:rPr>
          <w:rFonts w:hint="eastAsia" w:hAnsi="宋体"/>
          <w:sz w:val="21"/>
          <w:szCs w:val="21"/>
          <w:highlight w:val="none"/>
        </w:rPr>
        <w:t>1.10.3 投标预备会后，招标人将对投标人所提问题的澄清，以本章第2.2款规定的形式通知所有购买招标文件的投标人。该澄清内容为招标文件的组成部分。</w:t>
      </w:r>
    </w:p>
    <w:p w14:paraId="62D02C9E">
      <w:pPr>
        <w:pStyle w:val="3"/>
        <w:spacing w:before="0" w:after="0" w:line="360" w:lineRule="auto"/>
        <w:ind w:firstLine="420" w:firstLineChars="200"/>
        <w:rPr>
          <w:rFonts w:ascii="宋体" w:hAnsi="宋体" w:cs="宋体"/>
          <w:b w:val="0"/>
          <w:sz w:val="21"/>
          <w:szCs w:val="21"/>
          <w:highlight w:val="none"/>
        </w:rPr>
      </w:pPr>
      <w:bookmarkStart w:id="99" w:name="_Toc234832882"/>
      <w:bookmarkStart w:id="100" w:name="_Toc517787515"/>
      <w:r>
        <w:rPr>
          <w:rFonts w:hint="eastAsia" w:ascii="宋体" w:hAnsi="宋体" w:cs="宋体"/>
          <w:b w:val="0"/>
          <w:sz w:val="21"/>
          <w:szCs w:val="21"/>
          <w:highlight w:val="none"/>
        </w:rPr>
        <w:t>1.11 分包</w:t>
      </w:r>
      <w:bookmarkEnd w:id="99"/>
      <w:bookmarkEnd w:id="100"/>
    </w:p>
    <w:p w14:paraId="27CF3B97">
      <w:pPr>
        <w:pStyle w:val="8"/>
        <w:topLinePunct/>
        <w:spacing w:line="360" w:lineRule="auto"/>
        <w:ind w:firstLine="420" w:firstLineChars="200"/>
        <w:rPr>
          <w:rFonts w:hAnsi="宋体"/>
          <w:sz w:val="21"/>
          <w:szCs w:val="21"/>
          <w:highlight w:val="none"/>
        </w:rPr>
      </w:pPr>
      <w:r>
        <w:rPr>
          <w:rFonts w:hint="eastAsia" w:hAnsi="宋体"/>
          <w:sz w:val="21"/>
          <w:szCs w:val="21"/>
          <w:highlight w:val="none"/>
        </w:rPr>
        <w:t>1.11.1 投标人拟在中标后将中标项目的部分非主体、非关键性工作进行分包的，应符合以下规定：</w:t>
      </w:r>
    </w:p>
    <w:p w14:paraId="377164E0">
      <w:pPr>
        <w:pStyle w:val="8"/>
        <w:topLinePunct/>
        <w:spacing w:line="360" w:lineRule="auto"/>
        <w:ind w:firstLine="420" w:firstLineChars="200"/>
        <w:rPr>
          <w:rFonts w:hAnsi="宋体"/>
          <w:sz w:val="21"/>
          <w:szCs w:val="21"/>
          <w:highlight w:val="none"/>
        </w:rPr>
      </w:pPr>
      <w:r>
        <w:rPr>
          <w:rFonts w:hint="eastAsia" w:hAnsi="宋体"/>
          <w:sz w:val="21"/>
          <w:szCs w:val="21"/>
          <w:highlight w:val="none"/>
        </w:rPr>
        <w:t>（1）分包内容要求：允许分包的工程范围仅限于非关键性工程或适合专业化队伍施工的专项工程。招标人允许分包或不允许分包的专项工程（如有）应在投标人须知前附表中载明。</w:t>
      </w:r>
    </w:p>
    <w:p w14:paraId="1D838A82">
      <w:pPr>
        <w:pStyle w:val="8"/>
        <w:topLinePunct/>
        <w:spacing w:line="360" w:lineRule="auto"/>
        <w:ind w:firstLine="420" w:firstLineChars="200"/>
        <w:rPr>
          <w:rFonts w:hAnsi="宋体"/>
          <w:sz w:val="21"/>
          <w:szCs w:val="21"/>
          <w:highlight w:val="none"/>
        </w:rPr>
      </w:pPr>
      <w:r>
        <w:rPr>
          <w:rFonts w:hint="eastAsia" w:hAnsi="宋体"/>
          <w:sz w:val="21"/>
          <w:szCs w:val="21"/>
          <w:highlight w:val="none"/>
        </w:rPr>
        <w:t>（2）接受分包的第三人资格要求：分包人的资格能力应与其分包工程的标准和规模相适应，且具备投标人须知前附表中规定的资格条件。</w:t>
      </w:r>
    </w:p>
    <w:p w14:paraId="154832E8">
      <w:pPr>
        <w:pStyle w:val="8"/>
        <w:topLinePunct/>
        <w:spacing w:line="360" w:lineRule="auto"/>
        <w:ind w:firstLine="420" w:firstLineChars="200"/>
        <w:rPr>
          <w:rFonts w:hAnsi="宋体"/>
          <w:sz w:val="21"/>
          <w:szCs w:val="21"/>
          <w:highlight w:val="none"/>
        </w:rPr>
      </w:pPr>
      <w:r>
        <w:rPr>
          <w:rFonts w:hint="eastAsia" w:hAnsi="宋体"/>
          <w:sz w:val="21"/>
          <w:szCs w:val="21"/>
          <w:highlight w:val="none"/>
        </w:rPr>
        <w:t>（3）其他要求：投标人如有分包计划，应按第九章“投标文件格式”的要求填写“拟分包项目情况表”，明确拟分包的工程及规模，且投标人中标后的分包应满足合同条款第4.3款的相关要求</w:t>
      </w:r>
      <w:r>
        <w:rPr>
          <w:rFonts w:hint="eastAsia" w:hAnsi="宋体"/>
          <w:sz w:val="21"/>
          <w:szCs w:val="21"/>
          <w:highlight w:val="none"/>
          <w:lang w:eastAsia="zh-CN"/>
        </w:rPr>
        <w:t>（</w:t>
      </w:r>
      <w:r>
        <w:rPr>
          <w:rFonts w:hint="eastAsia" w:hAnsi="宋体"/>
          <w:sz w:val="21"/>
          <w:szCs w:val="21"/>
          <w:highlight w:val="none"/>
          <w:lang w:val="en-US" w:eastAsia="zh-CN"/>
        </w:rPr>
        <w:t>本款不适用</w:t>
      </w:r>
      <w:r>
        <w:rPr>
          <w:rFonts w:hint="eastAsia" w:hAnsi="宋体"/>
          <w:sz w:val="21"/>
          <w:szCs w:val="21"/>
          <w:highlight w:val="none"/>
          <w:lang w:eastAsia="zh-CN"/>
        </w:rPr>
        <w:t>）</w:t>
      </w:r>
      <w:r>
        <w:rPr>
          <w:rFonts w:hint="eastAsia" w:hAnsi="宋体"/>
          <w:sz w:val="21"/>
          <w:szCs w:val="21"/>
          <w:highlight w:val="none"/>
        </w:rPr>
        <w:t>。</w:t>
      </w:r>
    </w:p>
    <w:p w14:paraId="6159944A">
      <w:pPr>
        <w:pStyle w:val="8"/>
        <w:topLinePunct/>
        <w:spacing w:line="360" w:lineRule="auto"/>
        <w:ind w:firstLine="420" w:firstLineChars="200"/>
        <w:rPr>
          <w:rFonts w:hAnsi="宋体"/>
          <w:sz w:val="21"/>
          <w:szCs w:val="21"/>
          <w:highlight w:val="none"/>
        </w:rPr>
      </w:pPr>
      <w:r>
        <w:rPr>
          <w:rFonts w:hint="eastAsia" w:hAnsi="宋体"/>
          <w:sz w:val="21"/>
          <w:szCs w:val="21"/>
          <w:highlight w:val="none"/>
        </w:rPr>
        <w:t>1.11.2 中标人不得向他人转让中标项目，接受分包的人不得再次分包。中标人应就分包项目向招标人负责，接受分包的人就分包项目承担连带责任。</w:t>
      </w:r>
    </w:p>
    <w:p w14:paraId="2EB8B0A8">
      <w:pPr>
        <w:pStyle w:val="3"/>
        <w:spacing w:before="0" w:after="0" w:line="360" w:lineRule="auto"/>
        <w:ind w:firstLine="420" w:firstLineChars="200"/>
        <w:rPr>
          <w:rFonts w:ascii="宋体" w:hAnsi="宋体" w:cs="宋体"/>
          <w:b w:val="0"/>
          <w:sz w:val="21"/>
          <w:szCs w:val="21"/>
          <w:highlight w:val="none"/>
        </w:rPr>
      </w:pPr>
      <w:bookmarkStart w:id="101" w:name="_Toc234832883"/>
      <w:bookmarkStart w:id="102" w:name="_Toc517787516"/>
      <w:r>
        <w:rPr>
          <w:rFonts w:hint="eastAsia" w:ascii="宋体" w:hAnsi="宋体" w:cs="宋体"/>
          <w:b w:val="0"/>
          <w:sz w:val="21"/>
          <w:szCs w:val="21"/>
          <w:highlight w:val="none"/>
        </w:rPr>
        <w:t xml:space="preserve">1.12 </w:t>
      </w:r>
      <w:bookmarkEnd w:id="101"/>
      <w:r>
        <w:rPr>
          <w:rFonts w:hint="eastAsia" w:ascii="宋体" w:hAnsi="宋体" w:cs="宋体"/>
          <w:b w:val="0"/>
          <w:sz w:val="21"/>
          <w:szCs w:val="21"/>
          <w:highlight w:val="none"/>
        </w:rPr>
        <w:t>响应和偏差</w:t>
      </w:r>
      <w:bookmarkEnd w:id="102"/>
    </w:p>
    <w:p w14:paraId="1658713C">
      <w:pPr>
        <w:pStyle w:val="8"/>
        <w:topLinePunct/>
        <w:spacing w:line="360" w:lineRule="auto"/>
        <w:ind w:firstLine="420" w:firstLineChars="200"/>
        <w:rPr>
          <w:rFonts w:hAnsi="宋体"/>
          <w:sz w:val="21"/>
          <w:szCs w:val="21"/>
          <w:highlight w:val="none"/>
        </w:rPr>
      </w:pPr>
      <w:r>
        <w:rPr>
          <w:rFonts w:hint="eastAsia" w:hAnsi="宋体"/>
          <w:sz w:val="21"/>
          <w:szCs w:val="21"/>
          <w:highlight w:val="none"/>
        </w:rPr>
        <w:t>1.12.1 投标文件偏离招标文件某些要求，视为投标文件存在偏差。偏差包括重大偏差和细微偏差。</w:t>
      </w:r>
    </w:p>
    <w:p w14:paraId="791DA877">
      <w:pPr>
        <w:pStyle w:val="8"/>
        <w:topLinePunct/>
        <w:spacing w:line="360" w:lineRule="auto"/>
        <w:ind w:firstLine="420" w:firstLineChars="200"/>
        <w:rPr>
          <w:rFonts w:hAnsi="宋体"/>
          <w:sz w:val="21"/>
          <w:szCs w:val="21"/>
          <w:highlight w:val="none"/>
        </w:rPr>
      </w:pPr>
      <w:r>
        <w:rPr>
          <w:rFonts w:hint="eastAsia" w:hAnsi="宋体"/>
          <w:sz w:val="21"/>
          <w:szCs w:val="21"/>
          <w:highlight w:val="none"/>
        </w:rPr>
        <w:t>1.12.2 投标文件应对招标文件的实质性要求和条件作出满足性或更有利于招标人的响应，否则，视为投标文件存在重大偏差，投标人的投标将被否决。</w:t>
      </w:r>
    </w:p>
    <w:p w14:paraId="56DAFE0F">
      <w:pPr>
        <w:pStyle w:val="8"/>
        <w:topLinePunct/>
        <w:spacing w:line="360" w:lineRule="auto"/>
        <w:ind w:firstLine="420" w:firstLineChars="200"/>
        <w:rPr>
          <w:rFonts w:hAnsi="宋体"/>
          <w:sz w:val="21"/>
          <w:szCs w:val="21"/>
          <w:highlight w:val="none"/>
        </w:rPr>
      </w:pPr>
      <w:r>
        <w:rPr>
          <w:rFonts w:hint="eastAsia" w:hAnsi="宋体"/>
          <w:sz w:val="21"/>
          <w:szCs w:val="21"/>
          <w:highlight w:val="none"/>
        </w:rPr>
        <w:t>投标文件存在第三章“评标办法”中所列任一否决投标情形的，均属于存在重大偏差。</w:t>
      </w:r>
    </w:p>
    <w:p w14:paraId="3CEC3B8E">
      <w:pPr>
        <w:pStyle w:val="8"/>
        <w:topLinePunct/>
        <w:spacing w:line="360" w:lineRule="auto"/>
        <w:ind w:firstLine="420" w:firstLineChars="200"/>
        <w:rPr>
          <w:rFonts w:hAnsi="宋体"/>
          <w:sz w:val="21"/>
          <w:szCs w:val="21"/>
          <w:highlight w:val="none"/>
        </w:rPr>
      </w:pPr>
      <w:r>
        <w:rPr>
          <w:rFonts w:hint="eastAsia" w:hAnsi="宋体"/>
          <w:sz w:val="21"/>
          <w:szCs w:val="21"/>
          <w:highlight w:val="none"/>
        </w:rPr>
        <w:t>1.12.3 投标文件中的下列偏差为细微偏差：</w:t>
      </w:r>
    </w:p>
    <w:p w14:paraId="74DAE368">
      <w:pPr>
        <w:pStyle w:val="8"/>
        <w:topLinePunct/>
        <w:spacing w:line="360" w:lineRule="auto"/>
        <w:ind w:firstLine="420" w:firstLineChars="200"/>
        <w:rPr>
          <w:rFonts w:hAnsi="宋体"/>
          <w:sz w:val="21"/>
          <w:szCs w:val="21"/>
          <w:highlight w:val="none"/>
        </w:rPr>
      </w:pPr>
      <w:r>
        <w:rPr>
          <w:rFonts w:hint="eastAsia" w:hAnsi="宋体"/>
          <w:sz w:val="21"/>
          <w:szCs w:val="21"/>
          <w:highlight w:val="none"/>
        </w:rPr>
        <w:t>（1）项目管理机构不够完善；</w:t>
      </w:r>
    </w:p>
    <w:p w14:paraId="2C997B8D">
      <w:pPr>
        <w:pStyle w:val="8"/>
        <w:topLinePunct/>
        <w:spacing w:line="360" w:lineRule="auto"/>
        <w:ind w:firstLine="420" w:firstLineChars="200"/>
        <w:rPr>
          <w:rFonts w:hAnsi="宋体"/>
          <w:sz w:val="21"/>
          <w:szCs w:val="21"/>
          <w:highlight w:val="none"/>
        </w:rPr>
      </w:pPr>
      <w:r>
        <w:rPr>
          <w:rFonts w:hint="eastAsia" w:hAnsi="宋体"/>
          <w:sz w:val="21"/>
          <w:szCs w:val="21"/>
          <w:highlight w:val="none"/>
        </w:rPr>
        <w:t>（2）投标文件页码不连续、采用活页夹装订、个别文字有遗漏错误等不影响投标文件实质性内容的偏差。</w:t>
      </w:r>
    </w:p>
    <w:p w14:paraId="1F948CDA">
      <w:pPr>
        <w:pStyle w:val="8"/>
        <w:topLinePunct/>
        <w:spacing w:line="360" w:lineRule="auto"/>
        <w:ind w:firstLine="420" w:firstLineChars="200"/>
        <w:rPr>
          <w:rFonts w:hAnsi="宋体"/>
          <w:sz w:val="21"/>
          <w:szCs w:val="21"/>
          <w:highlight w:val="none"/>
        </w:rPr>
      </w:pPr>
      <w:r>
        <w:rPr>
          <w:rFonts w:hint="eastAsia" w:hAnsi="宋体"/>
          <w:sz w:val="21"/>
          <w:szCs w:val="21"/>
          <w:highlight w:val="none"/>
        </w:rPr>
        <w:t>1.12.4 评标委员会对投标文件中的细微偏差按如下规定处理：</w:t>
      </w:r>
    </w:p>
    <w:p w14:paraId="42F94CD2">
      <w:pPr>
        <w:pStyle w:val="8"/>
        <w:topLinePunct/>
        <w:spacing w:line="360" w:lineRule="auto"/>
        <w:ind w:firstLine="420" w:firstLineChars="200"/>
        <w:rPr>
          <w:rFonts w:hAnsi="宋体"/>
          <w:sz w:val="21"/>
          <w:szCs w:val="21"/>
          <w:highlight w:val="none"/>
        </w:rPr>
      </w:pPr>
      <w:r>
        <w:rPr>
          <w:rFonts w:hint="eastAsia" w:hAnsi="宋体"/>
          <w:sz w:val="21"/>
          <w:szCs w:val="21"/>
          <w:highlight w:val="none"/>
        </w:rPr>
        <w:t>（1）对于本章第1.12.3项（1）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14:paraId="10C0B4B2">
      <w:pPr>
        <w:pStyle w:val="8"/>
        <w:topLinePunct/>
        <w:spacing w:line="360" w:lineRule="auto"/>
        <w:ind w:firstLine="420" w:firstLineChars="200"/>
        <w:rPr>
          <w:rFonts w:hAnsi="宋体"/>
          <w:sz w:val="21"/>
          <w:szCs w:val="21"/>
          <w:highlight w:val="none"/>
        </w:rPr>
      </w:pPr>
      <w:r>
        <w:rPr>
          <w:rFonts w:hint="eastAsia" w:hAnsi="宋体"/>
          <w:sz w:val="21"/>
          <w:szCs w:val="21"/>
          <w:highlight w:val="none"/>
        </w:rPr>
        <w:t>（2）对于本章第1.12.3项（2）目所述的细微偏差，可要求投标人对细微偏差进行澄清。</w:t>
      </w:r>
    </w:p>
    <w:p w14:paraId="2FB0B268">
      <w:pPr>
        <w:pStyle w:val="8"/>
        <w:topLinePunct/>
        <w:spacing w:line="360" w:lineRule="auto"/>
        <w:ind w:firstLine="420" w:firstLineChars="200"/>
        <w:rPr>
          <w:rFonts w:hAnsi="宋体"/>
          <w:sz w:val="21"/>
          <w:szCs w:val="21"/>
          <w:highlight w:val="none"/>
        </w:rPr>
      </w:pPr>
      <w:r>
        <w:rPr>
          <w:rFonts w:hint="eastAsia" w:hAnsi="宋体"/>
          <w:sz w:val="21"/>
          <w:szCs w:val="21"/>
          <w:highlight w:val="none"/>
        </w:rPr>
        <w:t>1.12.5 投标人应根据招标文件的要求提供相关内容以对招标文件作出响应。</w:t>
      </w:r>
    </w:p>
    <w:p w14:paraId="6649788C">
      <w:pPr>
        <w:pStyle w:val="3"/>
        <w:spacing w:before="0" w:after="0" w:line="360" w:lineRule="auto"/>
        <w:ind w:firstLine="420" w:firstLineChars="200"/>
        <w:rPr>
          <w:rFonts w:ascii="宋体" w:hAnsi="宋体" w:cs="宋体"/>
          <w:b w:val="0"/>
          <w:sz w:val="21"/>
          <w:szCs w:val="21"/>
          <w:highlight w:val="none"/>
        </w:rPr>
      </w:pPr>
      <w:bookmarkStart w:id="103" w:name="_Toc234832884"/>
      <w:bookmarkStart w:id="104" w:name="_Toc517787517"/>
      <w:r>
        <w:rPr>
          <w:rFonts w:hint="eastAsia" w:ascii="宋体" w:hAnsi="宋体" w:cs="宋体"/>
          <w:b w:val="0"/>
          <w:sz w:val="21"/>
          <w:szCs w:val="21"/>
          <w:highlight w:val="none"/>
        </w:rPr>
        <w:t>2. 招标文件</w:t>
      </w:r>
      <w:bookmarkEnd w:id="103"/>
      <w:bookmarkEnd w:id="104"/>
    </w:p>
    <w:p w14:paraId="0C99A73D">
      <w:pPr>
        <w:pStyle w:val="3"/>
        <w:spacing w:before="0" w:after="0" w:line="360" w:lineRule="auto"/>
        <w:ind w:firstLine="420" w:firstLineChars="200"/>
        <w:rPr>
          <w:rFonts w:ascii="宋体" w:hAnsi="宋体" w:cs="宋体"/>
          <w:b w:val="0"/>
          <w:sz w:val="21"/>
          <w:szCs w:val="21"/>
          <w:highlight w:val="none"/>
        </w:rPr>
      </w:pPr>
      <w:bookmarkStart w:id="105" w:name="_Toc234832885"/>
      <w:bookmarkStart w:id="106" w:name="_Toc517787518"/>
      <w:r>
        <w:rPr>
          <w:rFonts w:hint="eastAsia" w:ascii="宋体" w:hAnsi="宋体" w:cs="宋体"/>
          <w:b w:val="0"/>
          <w:sz w:val="21"/>
          <w:szCs w:val="21"/>
          <w:highlight w:val="none"/>
        </w:rPr>
        <w:t>2.1 招标文件的组成</w:t>
      </w:r>
      <w:bookmarkEnd w:id="105"/>
      <w:bookmarkEnd w:id="106"/>
    </w:p>
    <w:p w14:paraId="2A77B6C4">
      <w:pPr>
        <w:spacing w:line="360" w:lineRule="auto"/>
        <w:ind w:firstLine="420" w:firstLineChars="200"/>
        <w:rPr>
          <w:rFonts w:ascii="宋体" w:hAnsi="宋体" w:cs="宋体"/>
          <w:highlight w:val="none"/>
        </w:rPr>
      </w:pPr>
      <w:r>
        <w:rPr>
          <w:rFonts w:hint="eastAsia" w:ascii="宋体" w:hAnsi="宋体" w:cs="宋体"/>
          <w:highlight w:val="none"/>
        </w:rPr>
        <w:t>本招标文件包括：</w:t>
      </w:r>
    </w:p>
    <w:p w14:paraId="11C72D2D">
      <w:pPr>
        <w:spacing w:line="360" w:lineRule="auto"/>
        <w:ind w:firstLine="420" w:firstLineChars="200"/>
        <w:rPr>
          <w:rFonts w:ascii="宋体" w:hAnsi="宋体" w:cs="宋体"/>
          <w:highlight w:val="none"/>
        </w:rPr>
      </w:pPr>
      <w:r>
        <w:rPr>
          <w:rFonts w:hint="eastAsia" w:ascii="宋体" w:hAnsi="宋体" w:cs="宋体"/>
          <w:highlight w:val="none"/>
        </w:rPr>
        <w:t>（1）招标公告（或投标邀请书）；</w:t>
      </w:r>
    </w:p>
    <w:p w14:paraId="2882B98F">
      <w:pPr>
        <w:spacing w:line="360" w:lineRule="auto"/>
        <w:ind w:firstLine="420" w:firstLineChars="200"/>
        <w:rPr>
          <w:rFonts w:ascii="宋体" w:hAnsi="宋体" w:cs="宋体"/>
          <w:highlight w:val="none"/>
        </w:rPr>
      </w:pPr>
      <w:r>
        <w:rPr>
          <w:rFonts w:hint="eastAsia" w:ascii="宋体" w:hAnsi="宋体" w:cs="宋体"/>
          <w:highlight w:val="none"/>
        </w:rPr>
        <w:t>（2）投标人须知；</w:t>
      </w:r>
    </w:p>
    <w:p w14:paraId="1FF49E99">
      <w:pPr>
        <w:spacing w:line="360" w:lineRule="auto"/>
        <w:ind w:firstLine="420" w:firstLineChars="200"/>
        <w:rPr>
          <w:rFonts w:ascii="宋体" w:hAnsi="宋体" w:cs="宋体"/>
          <w:highlight w:val="none"/>
        </w:rPr>
      </w:pPr>
      <w:r>
        <w:rPr>
          <w:rFonts w:hint="eastAsia" w:ascii="宋体" w:hAnsi="宋体" w:cs="宋体"/>
          <w:highlight w:val="none"/>
        </w:rPr>
        <w:t>（3）评标办法；</w:t>
      </w:r>
    </w:p>
    <w:p w14:paraId="5711F52E">
      <w:pPr>
        <w:spacing w:line="360" w:lineRule="auto"/>
        <w:ind w:firstLine="420" w:firstLineChars="200"/>
        <w:rPr>
          <w:rFonts w:ascii="宋体" w:hAnsi="宋体" w:cs="宋体"/>
          <w:highlight w:val="none"/>
        </w:rPr>
      </w:pPr>
      <w:r>
        <w:rPr>
          <w:rFonts w:hint="eastAsia" w:ascii="宋体" w:hAnsi="宋体" w:cs="宋体"/>
          <w:highlight w:val="none"/>
        </w:rPr>
        <w:t>（4）合同条款及格式；</w:t>
      </w:r>
    </w:p>
    <w:p w14:paraId="64011BF5">
      <w:pPr>
        <w:spacing w:line="360" w:lineRule="auto"/>
        <w:ind w:firstLine="420" w:firstLineChars="200"/>
        <w:rPr>
          <w:rFonts w:ascii="宋体" w:hAnsi="宋体" w:cs="宋体"/>
          <w:highlight w:val="none"/>
        </w:rPr>
      </w:pPr>
      <w:r>
        <w:rPr>
          <w:rFonts w:hint="eastAsia" w:ascii="宋体" w:hAnsi="宋体" w:cs="宋体"/>
          <w:highlight w:val="none"/>
        </w:rPr>
        <w:t>（5）</w:t>
      </w:r>
      <w:r>
        <w:rPr>
          <w:rFonts w:hint="eastAsia" w:ascii="宋体" w:hAnsi="宋体" w:cs="宋体"/>
          <w:highlight w:val="none"/>
          <w:lang w:val="en-US" w:eastAsia="zh-CN"/>
        </w:rPr>
        <w:t>发包人要求</w:t>
      </w:r>
      <w:r>
        <w:rPr>
          <w:rFonts w:hint="eastAsia" w:ascii="宋体" w:hAnsi="宋体" w:cs="宋体"/>
          <w:highlight w:val="none"/>
        </w:rPr>
        <w:t>；</w:t>
      </w:r>
    </w:p>
    <w:p w14:paraId="2D838FBE">
      <w:pPr>
        <w:spacing w:line="360" w:lineRule="auto"/>
        <w:ind w:firstLine="420" w:firstLineChars="200"/>
        <w:rPr>
          <w:rFonts w:ascii="宋体" w:hAnsi="宋体" w:cs="宋体"/>
          <w:highlight w:val="none"/>
        </w:rPr>
      </w:pPr>
      <w:r>
        <w:rPr>
          <w:rFonts w:hint="eastAsia" w:ascii="宋体" w:hAnsi="宋体" w:cs="宋体"/>
          <w:highlight w:val="none"/>
        </w:rPr>
        <w:t>（6）投标文件格式；</w:t>
      </w:r>
    </w:p>
    <w:p w14:paraId="06675272">
      <w:pPr>
        <w:spacing w:line="360" w:lineRule="auto"/>
        <w:ind w:firstLine="420" w:firstLineChars="200"/>
        <w:rPr>
          <w:rFonts w:ascii="宋体" w:hAnsi="宋体" w:cs="宋体"/>
          <w:highlight w:val="none"/>
        </w:rPr>
      </w:pPr>
      <w:r>
        <w:rPr>
          <w:rFonts w:hint="eastAsia" w:ascii="宋体" w:hAnsi="宋体" w:cs="宋体"/>
          <w:highlight w:val="none"/>
        </w:rPr>
        <w:t>（7）投标人须知前附表规定的其他资料。</w:t>
      </w:r>
    </w:p>
    <w:p w14:paraId="282D65D3">
      <w:pPr>
        <w:spacing w:line="360" w:lineRule="auto"/>
        <w:ind w:firstLine="420" w:firstLineChars="200"/>
        <w:rPr>
          <w:rFonts w:ascii="宋体" w:hAnsi="宋体" w:cs="宋体"/>
          <w:highlight w:val="none"/>
        </w:rPr>
      </w:pPr>
      <w:r>
        <w:rPr>
          <w:rFonts w:hint="eastAsia" w:ascii="宋体" w:hAnsi="宋体" w:cs="宋体"/>
          <w:highlight w:val="none"/>
        </w:rPr>
        <w:t>根据本章第1.10款、第2.2款和第2.3款对招标文件所作的澄清、修改，构成招标文件的组成部分。</w:t>
      </w:r>
    </w:p>
    <w:p w14:paraId="3FFF33ED">
      <w:pPr>
        <w:pStyle w:val="8"/>
        <w:topLinePunct/>
        <w:spacing w:line="360" w:lineRule="auto"/>
        <w:ind w:firstLine="420" w:firstLineChars="200"/>
        <w:rPr>
          <w:rFonts w:hAnsi="宋体"/>
          <w:sz w:val="21"/>
          <w:szCs w:val="21"/>
          <w:highlight w:val="none"/>
        </w:rPr>
      </w:pPr>
      <w:r>
        <w:rPr>
          <w:rFonts w:hint="eastAsia" w:hAnsi="宋体"/>
          <w:sz w:val="21"/>
          <w:szCs w:val="21"/>
          <w:highlight w:val="none"/>
        </w:rPr>
        <w:t>当招标文件、招标文件的澄清或修改等在同一内容的表述上不一致时，以最后发出的文件为准。</w:t>
      </w:r>
    </w:p>
    <w:p w14:paraId="267B76B2">
      <w:pPr>
        <w:pStyle w:val="3"/>
        <w:spacing w:before="0" w:after="0" w:line="360" w:lineRule="auto"/>
        <w:ind w:firstLine="420" w:firstLineChars="200"/>
        <w:rPr>
          <w:rFonts w:ascii="宋体" w:hAnsi="宋体" w:cs="宋体"/>
          <w:b w:val="0"/>
          <w:sz w:val="21"/>
          <w:szCs w:val="21"/>
          <w:highlight w:val="none"/>
        </w:rPr>
      </w:pPr>
      <w:bookmarkStart w:id="107" w:name="_Toc234832886"/>
      <w:bookmarkStart w:id="108" w:name="_Toc517787519"/>
      <w:r>
        <w:rPr>
          <w:rFonts w:hint="eastAsia" w:ascii="宋体" w:hAnsi="宋体" w:cs="宋体"/>
          <w:b w:val="0"/>
          <w:sz w:val="21"/>
          <w:szCs w:val="21"/>
          <w:highlight w:val="none"/>
        </w:rPr>
        <w:t>2.2 招标文件的澄清</w:t>
      </w:r>
      <w:bookmarkEnd w:id="107"/>
      <w:bookmarkEnd w:id="108"/>
    </w:p>
    <w:p w14:paraId="6DB0F55B">
      <w:pPr>
        <w:spacing w:line="360" w:lineRule="auto"/>
        <w:ind w:firstLine="420" w:firstLineChars="200"/>
        <w:rPr>
          <w:rFonts w:ascii="宋体" w:hAnsi="宋体" w:cs="宋体"/>
          <w:highlight w:val="none"/>
        </w:rPr>
      </w:pPr>
      <w:r>
        <w:rPr>
          <w:rFonts w:hint="eastAsia" w:ascii="宋体" w:hAnsi="宋体" w:cs="宋体"/>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5B651975">
      <w:pPr>
        <w:spacing w:line="360" w:lineRule="auto"/>
        <w:ind w:firstLine="420" w:firstLineChars="200"/>
        <w:rPr>
          <w:rFonts w:ascii="宋体" w:hAnsi="宋体" w:cs="宋体"/>
          <w:highlight w:val="none"/>
        </w:rPr>
      </w:pPr>
      <w:r>
        <w:rPr>
          <w:rFonts w:hint="eastAsia" w:ascii="宋体" w:hAnsi="宋体" w:cs="宋体"/>
          <w:highlight w:val="none"/>
        </w:rPr>
        <w:t>2.2.2 招标文件的澄清以投标人须知前附表规定的形式发给所有购买招标文件的投标人，但不指明澄清问题的来源。澄清发出的时间距本章第4.2.1项规定的投标截止时间不足15日（或3日），且澄清内容可能影响投标文件编制的，将相应延长投标截止时间。</w:t>
      </w:r>
    </w:p>
    <w:p w14:paraId="6A012E2D">
      <w:pPr>
        <w:spacing w:line="360" w:lineRule="auto"/>
        <w:ind w:firstLine="420" w:firstLineChars="200"/>
        <w:rPr>
          <w:rFonts w:ascii="宋体" w:hAnsi="宋体" w:cs="宋体"/>
          <w:highlight w:val="none"/>
        </w:rPr>
      </w:pPr>
      <w:r>
        <w:rPr>
          <w:rFonts w:hint="eastAsia" w:ascii="宋体" w:hAnsi="宋体" w:cs="宋体"/>
          <w:highlight w:val="none"/>
        </w:rPr>
        <w:t>2.2.3 投标人在收到澄清后，应按投标人须知前附表规定的时间和形式通知招标人，确认已收到该澄清。</w:t>
      </w:r>
    </w:p>
    <w:p w14:paraId="16E4DB19">
      <w:pPr>
        <w:spacing w:line="360" w:lineRule="auto"/>
        <w:ind w:firstLine="420" w:firstLineChars="200"/>
        <w:rPr>
          <w:rFonts w:ascii="宋体" w:hAnsi="宋体" w:cs="宋体"/>
          <w:highlight w:val="none"/>
        </w:rPr>
      </w:pPr>
      <w:r>
        <w:rPr>
          <w:rFonts w:hint="eastAsia" w:ascii="宋体" w:hAnsi="宋体" w:cs="宋体"/>
          <w:highlight w:val="none"/>
        </w:rPr>
        <w:t>2.2.4 除非招标人认为确有必要答复，否则，招标人有权拒绝回复投标人在本章第2.2.1项规定的时间后提出的任何澄清要求。</w:t>
      </w:r>
    </w:p>
    <w:p w14:paraId="58ECE4BD">
      <w:pPr>
        <w:pStyle w:val="3"/>
        <w:spacing w:before="0" w:after="0" w:line="360" w:lineRule="auto"/>
        <w:ind w:firstLine="420" w:firstLineChars="200"/>
        <w:rPr>
          <w:rFonts w:ascii="宋体" w:hAnsi="宋体" w:cs="宋体"/>
          <w:b w:val="0"/>
          <w:sz w:val="21"/>
          <w:szCs w:val="21"/>
          <w:highlight w:val="none"/>
        </w:rPr>
      </w:pPr>
      <w:bookmarkStart w:id="109" w:name="_Toc234832887"/>
      <w:bookmarkStart w:id="110" w:name="_Toc517787520"/>
      <w:r>
        <w:rPr>
          <w:rFonts w:hint="eastAsia" w:ascii="宋体" w:hAnsi="宋体" w:cs="宋体"/>
          <w:b w:val="0"/>
          <w:sz w:val="21"/>
          <w:szCs w:val="21"/>
          <w:highlight w:val="none"/>
        </w:rPr>
        <w:t>2.3 招标文件的修改</w:t>
      </w:r>
      <w:bookmarkEnd w:id="109"/>
      <w:bookmarkEnd w:id="110"/>
    </w:p>
    <w:p w14:paraId="0AA55BE4">
      <w:pPr>
        <w:spacing w:line="360" w:lineRule="auto"/>
        <w:ind w:firstLine="420" w:firstLineChars="200"/>
        <w:rPr>
          <w:rFonts w:ascii="宋体" w:hAnsi="宋体" w:cs="宋体"/>
          <w:highlight w:val="none"/>
        </w:rPr>
      </w:pPr>
      <w:r>
        <w:rPr>
          <w:rFonts w:hint="eastAsia" w:ascii="宋体" w:hAnsi="宋体" w:cs="宋体"/>
          <w:highlight w:val="none"/>
        </w:rPr>
        <w:t>2.3.1 招标人以投标人须知前附表规定的形式修改招标文件，并通知所有已购买招标文件的投标人。修改招标文件的时间距本章第4.2.1项规定的投标截止时间不足15日（或3日），且修改内容可能影响投标文件编制的，将相应延长投标截止时间。</w:t>
      </w:r>
    </w:p>
    <w:p w14:paraId="040C6F8B">
      <w:pPr>
        <w:spacing w:line="360" w:lineRule="auto"/>
        <w:ind w:firstLine="420" w:firstLineChars="200"/>
        <w:rPr>
          <w:rFonts w:ascii="宋体" w:hAnsi="宋体" w:cs="宋体"/>
          <w:highlight w:val="none"/>
        </w:rPr>
      </w:pPr>
      <w:r>
        <w:rPr>
          <w:rFonts w:hint="eastAsia" w:ascii="宋体" w:hAnsi="宋体" w:cs="宋体"/>
          <w:highlight w:val="none"/>
        </w:rPr>
        <w:t>2.3.2 投标人收到修改内容后，应按投标人须知前附表规定的时间和形式通知招标人，确认已收到该修改。</w:t>
      </w:r>
    </w:p>
    <w:p w14:paraId="5D8B13CB">
      <w:pPr>
        <w:pStyle w:val="3"/>
        <w:spacing w:before="0" w:after="0" w:line="360" w:lineRule="auto"/>
        <w:ind w:firstLine="420" w:firstLineChars="200"/>
        <w:rPr>
          <w:rFonts w:ascii="宋体" w:hAnsi="宋体" w:cs="宋体"/>
          <w:b w:val="0"/>
          <w:sz w:val="21"/>
          <w:szCs w:val="21"/>
          <w:highlight w:val="none"/>
        </w:rPr>
      </w:pPr>
      <w:bookmarkStart w:id="111" w:name="_Toc517787521"/>
      <w:r>
        <w:rPr>
          <w:rFonts w:hint="eastAsia" w:ascii="宋体" w:hAnsi="宋体" w:cs="宋体"/>
          <w:b w:val="0"/>
          <w:sz w:val="21"/>
          <w:szCs w:val="21"/>
          <w:highlight w:val="none"/>
        </w:rPr>
        <w:t>2.4 招标文件的异议</w:t>
      </w:r>
      <w:bookmarkEnd w:id="111"/>
    </w:p>
    <w:p w14:paraId="5D15B334">
      <w:pPr>
        <w:spacing w:line="360" w:lineRule="auto"/>
        <w:ind w:firstLine="420" w:firstLineChars="200"/>
        <w:rPr>
          <w:rFonts w:ascii="宋体" w:hAnsi="宋体" w:cs="宋体"/>
          <w:highlight w:val="none"/>
        </w:rPr>
      </w:pPr>
      <w:r>
        <w:rPr>
          <w:rFonts w:hint="eastAsia" w:ascii="宋体" w:hAnsi="宋体" w:cs="宋体"/>
          <w:highlight w:val="none"/>
        </w:rPr>
        <w:t>投标人或其他利害关系人对招标文件有异议的，应在投标截止时间10日前以书面形式提出。招标人将在收到异议之日起3日内作出答复；作出答复前，将暂停招标投标活动。</w:t>
      </w:r>
    </w:p>
    <w:p w14:paraId="1FA53D15">
      <w:pPr>
        <w:pStyle w:val="3"/>
        <w:spacing w:before="0" w:after="0" w:line="360" w:lineRule="auto"/>
        <w:ind w:firstLine="420" w:firstLineChars="200"/>
        <w:rPr>
          <w:rFonts w:ascii="宋体" w:hAnsi="宋体" w:cs="宋体"/>
          <w:b w:val="0"/>
          <w:sz w:val="21"/>
          <w:szCs w:val="21"/>
          <w:highlight w:val="none"/>
        </w:rPr>
      </w:pPr>
      <w:bookmarkStart w:id="112" w:name="_Toc234832888"/>
      <w:bookmarkStart w:id="113" w:name="_Toc517787522"/>
      <w:r>
        <w:rPr>
          <w:rFonts w:hint="eastAsia" w:ascii="宋体" w:hAnsi="宋体" w:cs="宋体"/>
          <w:b w:val="0"/>
          <w:sz w:val="21"/>
          <w:szCs w:val="21"/>
          <w:highlight w:val="none"/>
        </w:rPr>
        <w:t>3. 投标文件</w:t>
      </w:r>
      <w:bookmarkEnd w:id="112"/>
      <w:bookmarkEnd w:id="113"/>
    </w:p>
    <w:p w14:paraId="7D302698">
      <w:pPr>
        <w:pStyle w:val="3"/>
        <w:spacing w:before="0" w:after="0" w:line="360" w:lineRule="auto"/>
        <w:ind w:firstLine="420" w:firstLineChars="200"/>
        <w:rPr>
          <w:rFonts w:ascii="宋体" w:hAnsi="宋体" w:cs="宋体"/>
          <w:b w:val="0"/>
          <w:sz w:val="21"/>
          <w:szCs w:val="21"/>
          <w:highlight w:val="none"/>
        </w:rPr>
      </w:pPr>
      <w:bookmarkStart w:id="114" w:name="_Toc517787523"/>
      <w:bookmarkStart w:id="115" w:name="_Toc234832889"/>
      <w:r>
        <w:rPr>
          <w:rFonts w:hint="eastAsia" w:ascii="宋体" w:hAnsi="宋体" w:cs="宋体"/>
          <w:b w:val="0"/>
          <w:sz w:val="21"/>
          <w:szCs w:val="21"/>
          <w:highlight w:val="none"/>
        </w:rPr>
        <w:t>3.1</w:t>
      </w:r>
      <w:r>
        <w:rPr>
          <w:rFonts w:hint="eastAsia" w:ascii="宋体" w:hAnsi="宋体" w:cs="宋体"/>
          <w:b w:val="0"/>
          <w:sz w:val="21"/>
          <w:szCs w:val="21"/>
          <w:highlight w:val="none"/>
        </w:rPr>
        <w:tab/>
      </w:r>
      <w:r>
        <w:rPr>
          <w:rFonts w:hint="eastAsia" w:ascii="宋体" w:hAnsi="宋体" w:cs="宋体"/>
          <w:b w:val="0"/>
          <w:sz w:val="21"/>
          <w:szCs w:val="21"/>
          <w:highlight w:val="none"/>
        </w:rPr>
        <w:t>投标文件的组成</w:t>
      </w:r>
      <w:bookmarkEnd w:id="114"/>
      <w:bookmarkEnd w:id="115"/>
    </w:p>
    <w:p w14:paraId="522971EA">
      <w:pPr>
        <w:spacing w:line="360" w:lineRule="auto"/>
        <w:ind w:firstLine="420" w:firstLineChars="200"/>
        <w:rPr>
          <w:rFonts w:ascii="宋体" w:hAnsi="宋体" w:cs="宋体"/>
          <w:highlight w:val="none"/>
        </w:rPr>
      </w:pPr>
      <w:r>
        <w:rPr>
          <w:rFonts w:hint="eastAsia" w:ascii="宋体" w:hAnsi="宋体" w:cs="宋体"/>
          <w:highlight w:val="none"/>
        </w:rPr>
        <w:t>投标文件采用双信封形式，投标文件的组成应满足相应条款要求。</w:t>
      </w:r>
    </w:p>
    <w:p w14:paraId="718952AB">
      <w:pPr>
        <w:spacing w:line="360" w:lineRule="auto"/>
        <w:ind w:firstLine="420" w:firstLineChars="200"/>
        <w:rPr>
          <w:rFonts w:ascii="宋体" w:hAnsi="宋体" w:cs="宋体"/>
          <w:highlight w:val="none"/>
        </w:rPr>
      </w:pPr>
      <w:r>
        <w:rPr>
          <w:rFonts w:hint="eastAsia" w:ascii="宋体" w:hAnsi="宋体" w:cs="宋体"/>
          <w:highlight w:val="none"/>
        </w:rPr>
        <w:t>3.1.1 投标文件应包括下列内容：</w:t>
      </w:r>
    </w:p>
    <w:p w14:paraId="73A3FBA8">
      <w:pPr>
        <w:spacing w:line="360" w:lineRule="auto"/>
        <w:ind w:firstLine="420" w:firstLineChars="200"/>
        <w:rPr>
          <w:rFonts w:ascii="宋体" w:hAnsi="宋体" w:cs="宋体"/>
          <w:highlight w:val="none"/>
        </w:rPr>
      </w:pPr>
      <w:r>
        <w:rPr>
          <w:rFonts w:hint="eastAsia" w:ascii="宋体" w:hAnsi="宋体" w:cs="宋体"/>
          <w:highlight w:val="none"/>
        </w:rPr>
        <w:t>第一个信封（</w:t>
      </w:r>
      <w:r>
        <w:rPr>
          <w:rFonts w:hint="eastAsia" w:ascii="宋体" w:hAnsi="宋体" w:cs="宋体"/>
          <w:highlight w:val="none"/>
          <w:lang w:eastAsia="zh-CN"/>
        </w:rPr>
        <w:t>资格审查文件</w:t>
      </w:r>
      <w:r>
        <w:rPr>
          <w:rFonts w:hint="eastAsia" w:ascii="宋体" w:hAnsi="宋体" w:cs="宋体"/>
          <w:highlight w:val="none"/>
        </w:rPr>
        <w:t>）：</w:t>
      </w:r>
    </w:p>
    <w:p w14:paraId="006F04CB">
      <w:pPr>
        <w:spacing w:line="360" w:lineRule="auto"/>
        <w:ind w:firstLine="420" w:firstLineChars="200"/>
        <w:rPr>
          <w:rFonts w:ascii="宋体" w:hAnsi="宋体" w:cs="宋体"/>
          <w:highlight w:val="none"/>
        </w:rPr>
      </w:pPr>
      <w:r>
        <w:rPr>
          <w:rFonts w:hint="eastAsia" w:ascii="宋体" w:hAnsi="宋体" w:cs="宋体"/>
          <w:highlight w:val="none"/>
        </w:rPr>
        <w:t>（1）投标函；</w:t>
      </w:r>
    </w:p>
    <w:p w14:paraId="0FEE4AD0">
      <w:pPr>
        <w:spacing w:line="360" w:lineRule="auto"/>
        <w:ind w:firstLine="420" w:firstLineChars="200"/>
        <w:rPr>
          <w:rFonts w:ascii="宋体" w:hAnsi="宋体" w:cs="宋体"/>
          <w:highlight w:val="none"/>
        </w:rPr>
      </w:pPr>
      <w:r>
        <w:rPr>
          <w:rFonts w:hint="eastAsia" w:ascii="宋体" w:hAnsi="宋体" w:cs="宋体"/>
          <w:highlight w:val="none"/>
        </w:rPr>
        <w:t>（2）授权委托书或法定代表人身份证明；</w:t>
      </w:r>
    </w:p>
    <w:p w14:paraId="4422341C">
      <w:pPr>
        <w:spacing w:line="360" w:lineRule="auto"/>
        <w:ind w:firstLine="420" w:firstLineChars="200"/>
        <w:rPr>
          <w:rFonts w:ascii="宋体" w:hAnsi="宋体" w:cs="宋体"/>
          <w:highlight w:val="none"/>
        </w:rPr>
      </w:pPr>
      <w:r>
        <w:rPr>
          <w:rFonts w:hint="eastAsia" w:ascii="宋体" w:hAnsi="宋体" w:cs="宋体"/>
          <w:highlight w:val="none"/>
        </w:rPr>
        <w:t xml:space="preserve">（3）资格审查资料； </w:t>
      </w:r>
    </w:p>
    <w:p w14:paraId="13A04E55">
      <w:pPr>
        <w:spacing w:line="360" w:lineRule="auto"/>
        <w:ind w:firstLine="420" w:firstLineChars="200"/>
        <w:rPr>
          <w:rFonts w:ascii="宋体" w:hAnsi="宋体" w:cs="宋体"/>
          <w:highlight w:val="none"/>
        </w:rPr>
      </w:pPr>
      <w:r>
        <w:rPr>
          <w:rFonts w:hint="eastAsia" w:ascii="宋体" w:hAnsi="宋体" w:cs="宋体"/>
          <w:highlight w:val="none"/>
        </w:rPr>
        <w:t>（4）投标人须知前附表规定的其他资料。</w:t>
      </w:r>
    </w:p>
    <w:p w14:paraId="26FD18B4">
      <w:pPr>
        <w:spacing w:line="360" w:lineRule="auto"/>
        <w:ind w:firstLine="420" w:firstLineChars="200"/>
        <w:rPr>
          <w:rFonts w:ascii="宋体" w:hAnsi="宋体" w:cs="宋体"/>
          <w:highlight w:val="none"/>
        </w:rPr>
      </w:pPr>
      <w:r>
        <w:rPr>
          <w:rFonts w:hint="eastAsia" w:ascii="宋体" w:hAnsi="宋体" w:cs="宋体"/>
          <w:highlight w:val="none"/>
        </w:rPr>
        <w:t>第二个信封（报价文件）：</w:t>
      </w:r>
    </w:p>
    <w:p w14:paraId="3302DB18">
      <w:pPr>
        <w:spacing w:line="360" w:lineRule="auto"/>
        <w:ind w:firstLine="420" w:firstLineChars="200"/>
        <w:rPr>
          <w:rFonts w:ascii="宋体" w:hAnsi="宋体" w:cs="宋体"/>
          <w:highlight w:val="none"/>
        </w:rPr>
      </w:pPr>
      <w:r>
        <w:rPr>
          <w:rFonts w:hint="eastAsia" w:ascii="宋体" w:hAnsi="宋体" w:cs="宋体"/>
          <w:highlight w:val="none"/>
        </w:rPr>
        <w:t>（1）投标函；</w:t>
      </w:r>
    </w:p>
    <w:p w14:paraId="6DE62DEA">
      <w:pPr>
        <w:spacing w:line="360" w:lineRule="auto"/>
        <w:ind w:firstLine="420" w:firstLineChars="200"/>
        <w:rPr>
          <w:rFonts w:ascii="宋体" w:hAnsi="宋体" w:cs="宋体"/>
          <w:highlight w:val="none"/>
        </w:rPr>
      </w:pPr>
      <w:r>
        <w:rPr>
          <w:rFonts w:hint="eastAsia" w:ascii="宋体" w:hAnsi="宋体" w:cs="宋体"/>
          <w:highlight w:val="none"/>
        </w:rPr>
        <w:t>（2）已标价工程量清单；</w:t>
      </w:r>
    </w:p>
    <w:p w14:paraId="3CB799F6">
      <w:pPr>
        <w:spacing w:line="360" w:lineRule="auto"/>
        <w:ind w:firstLine="420" w:firstLineChars="200"/>
        <w:rPr>
          <w:rFonts w:ascii="宋体" w:hAnsi="宋体" w:cs="宋体"/>
          <w:highlight w:val="none"/>
        </w:rPr>
      </w:pPr>
      <w:r>
        <w:rPr>
          <w:rFonts w:hint="eastAsia" w:ascii="宋体" w:hAnsi="宋体" w:cs="宋体"/>
          <w:highlight w:val="none"/>
        </w:rPr>
        <w:t>投标人在评标过程中作出的符合法律法规和招标文件规定的澄清确认，构成投标文件的组成部分。</w:t>
      </w:r>
    </w:p>
    <w:p w14:paraId="2BD1C519">
      <w:pPr>
        <w:spacing w:line="360" w:lineRule="auto"/>
        <w:ind w:firstLine="420" w:firstLineChars="200"/>
        <w:rPr>
          <w:rFonts w:ascii="宋体" w:hAnsi="宋体" w:cs="宋体"/>
          <w:highlight w:val="none"/>
        </w:rPr>
      </w:pPr>
      <w:r>
        <w:rPr>
          <w:rFonts w:hint="eastAsia" w:ascii="宋体" w:hAnsi="宋体" w:cs="宋体"/>
          <w:highlight w:val="none"/>
        </w:rPr>
        <w:t>3.1.2 投标人须知前附表规定不接受联合体投标的，或投标人没有组成联合体的，投标文件不包括本章第3.1.1（3）目所指的联合体协议书。</w:t>
      </w:r>
    </w:p>
    <w:p w14:paraId="5D13ADF3">
      <w:pPr>
        <w:spacing w:line="360" w:lineRule="auto"/>
        <w:ind w:firstLine="420" w:firstLineChars="200"/>
        <w:rPr>
          <w:rFonts w:ascii="宋体" w:hAnsi="宋体" w:cs="宋体"/>
          <w:highlight w:val="none"/>
        </w:rPr>
      </w:pPr>
      <w:r>
        <w:rPr>
          <w:rFonts w:hint="eastAsia" w:ascii="宋体" w:hAnsi="宋体" w:cs="宋体"/>
          <w:highlight w:val="none"/>
        </w:rPr>
        <w:t>3.1.3 投标人须知前附表未要求提交投标保证金的，投标文件不包括本章第3.1.1（4）目所指的投标保证金。</w:t>
      </w:r>
    </w:p>
    <w:p w14:paraId="0D396176">
      <w:pPr>
        <w:spacing w:line="360" w:lineRule="auto"/>
        <w:ind w:firstLine="420" w:firstLineChars="200"/>
        <w:rPr>
          <w:rFonts w:ascii="宋体" w:hAnsi="宋体" w:cs="宋体"/>
          <w:highlight w:val="none"/>
        </w:rPr>
      </w:pPr>
      <w:r>
        <w:rPr>
          <w:rFonts w:hint="eastAsia" w:ascii="宋体" w:hAnsi="宋体" w:cs="宋体"/>
          <w:highlight w:val="none"/>
        </w:rPr>
        <w:t>3.1.4 投标人须知前附表未要求编制施工组织设计的，投标文件不包括本章第3.1.1（6）目所指的施工组织设计。</w:t>
      </w:r>
    </w:p>
    <w:p w14:paraId="30B83BA8">
      <w:pPr>
        <w:pStyle w:val="3"/>
        <w:spacing w:before="0" w:after="0" w:line="360" w:lineRule="auto"/>
        <w:ind w:firstLine="420" w:firstLineChars="200"/>
        <w:rPr>
          <w:rFonts w:ascii="宋体" w:hAnsi="宋体" w:cs="宋体"/>
          <w:b w:val="0"/>
          <w:sz w:val="21"/>
          <w:szCs w:val="21"/>
          <w:highlight w:val="none"/>
        </w:rPr>
      </w:pPr>
      <w:bookmarkStart w:id="116" w:name="_Toc234832890"/>
      <w:bookmarkStart w:id="117" w:name="_Toc517787524"/>
      <w:r>
        <w:rPr>
          <w:rFonts w:hint="eastAsia" w:ascii="宋体" w:hAnsi="宋体" w:cs="宋体"/>
          <w:b w:val="0"/>
          <w:sz w:val="21"/>
          <w:szCs w:val="21"/>
          <w:highlight w:val="none"/>
        </w:rPr>
        <w:t>3.2 投标报价</w:t>
      </w:r>
      <w:bookmarkEnd w:id="116"/>
      <w:bookmarkEnd w:id="117"/>
      <w:r>
        <w:rPr>
          <w:rFonts w:hint="eastAsia" w:ascii="宋体" w:hAnsi="宋体" w:cs="宋体"/>
          <w:b w:val="0"/>
          <w:sz w:val="21"/>
          <w:szCs w:val="21"/>
          <w:highlight w:val="none"/>
        </w:rPr>
        <w:t xml:space="preserve"> </w:t>
      </w:r>
    </w:p>
    <w:p w14:paraId="1BAB7AD7">
      <w:pPr>
        <w:spacing w:line="360" w:lineRule="auto"/>
        <w:ind w:firstLine="420" w:firstLineChars="200"/>
        <w:rPr>
          <w:rFonts w:ascii="宋体" w:hAnsi="宋体" w:cs="宋体"/>
          <w:highlight w:val="none"/>
        </w:rPr>
      </w:pPr>
      <w:r>
        <w:rPr>
          <w:rFonts w:hint="eastAsia" w:ascii="宋体" w:hAnsi="宋体" w:cs="宋体"/>
          <w:highlight w:val="none"/>
        </w:rPr>
        <w:t>3.2.1 投标报价应包括国家规定的增值税税金，除投标人须知前附表另有规定外，增值税税金按一般计税方法计算。投标人应按</w:t>
      </w:r>
      <w:r>
        <w:rPr>
          <w:rFonts w:hint="eastAsia" w:ascii="宋体" w:hAnsi="宋体" w:cs="宋体"/>
          <w:highlight w:val="none"/>
          <w:lang w:eastAsia="zh-CN"/>
        </w:rPr>
        <w:t>第六章</w:t>
      </w:r>
      <w:r>
        <w:rPr>
          <w:rFonts w:hint="eastAsia" w:ascii="宋体" w:hAnsi="宋体" w:cs="宋体"/>
          <w:highlight w:val="none"/>
        </w:rPr>
        <w:t>“投标文件格式”的要求在投标函中进行报价并填写工程量清单相应表格。</w:t>
      </w:r>
    </w:p>
    <w:p w14:paraId="3A9E9E75">
      <w:pPr>
        <w:spacing w:line="360" w:lineRule="auto"/>
        <w:ind w:firstLine="420" w:firstLineChars="200"/>
        <w:rPr>
          <w:rFonts w:ascii="宋体" w:hAnsi="宋体" w:cs="宋体"/>
          <w:highlight w:val="none"/>
        </w:rPr>
      </w:pPr>
      <w:r>
        <w:rPr>
          <w:rFonts w:hint="eastAsia" w:ascii="宋体" w:hAnsi="宋体" w:cs="宋体"/>
          <w:highlight w:val="none"/>
        </w:rPr>
        <w:t>本项目招标采用工程量清单，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14:paraId="70C0645B">
      <w:pPr>
        <w:spacing w:line="360" w:lineRule="auto"/>
        <w:ind w:firstLine="420" w:firstLineChars="200"/>
        <w:rPr>
          <w:rFonts w:ascii="宋体" w:hAnsi="宋体" w:cs="宋体"/>
          <w:highlight w:val="none"/>
        </w:rPr>
      </w:pPr>
      <w:r>
        <w:rPr>
          <w:rFonts w:hint="eastAsia" w:ascii="宋体" w:hAnsi="宋体" w:cs="宋体"/>
          <w:highlight w:val="none"/>
        </w:rPr>
        <w:t>投标人根据招标人提供的工程量清单电子文件填报完成并打印的投标工程量清单中的投标报价和投标函大写金额报价应一致，如果报价金额出现差异，其投标将被否决。</w:t>
      </w:r>
    </w:p>
    <w:p w14:paraId="2512F86F">
      <w:pPr>
        <w:spacing w:line="360" w:lineRule="auto"/>
        <w:ind w:firstLine="420" w:firstLineChars="200"/>
        <w:rPr>
          <w:rFonts w:ascii="宋体" w:hAnsi="宋体" w:cs="宋体"/>
          <w:highlight w:val="none"/>
        </w:rPr>
      </w:pPr>
      <w:r>
        <w:rPr>
          <w:rFonts w:hint="eastAsia" w:ascii="宋体" w:hAnsi="宋体" w:cs="宋体"/>
          <w:highlight w:val="none"/>
        </w:rPr>
        <w:t>3.2.2 投标人应充分了解本项目的总体情况以及影响投标报价的其他要素。</w:t>
      </w:r>
    </w:p>
    <w:p w14:paraId="74B4FD38">
      <w:pPr>
        <w:spacing w:line="360" w:lineRule="auto"/>
        <w:ind w:firstLine="420" w:firstLineChars="200"/>
        <w:rPr>
          <w:rFonts w:ascii="宋体" w:hAnsi="宋体" w:cs="宋体"/>
          <w:highlight w:val="none"/>
        </w:rPr>
      </w:pPr>
      <w:r>
        <w:rPr>
          <w:rFonts w:hint="eastAsia" w:ascii="宋体" w:hAnsi="宋体" w:cs="宋体"/>
          <w:highlight w:val="none"/>
        </w:rPr>
        <w:t>3.2.3 本项目的报价方式见投标人须知前附表。投标人在投标截止时间前修改投标函中的投标总报价，应同时修改投标文件“已标价工程量清单”中的相应报价。此修改须符合本章第4.3款的有关要求。</w:t>
      </w:r>
    </w:p>
    <w:p w14:paraId="0E3B035F">
      <w:pPr>
        <w:spacing w:line="360" w:lineRule="auto"/>
        <w:ind w:firstLine="420" w:firstLineChars="200"/>
        <w:rPr>
          <w:rFonts w:ascii="宋体" w:hAnsi="宋体" w:cs="宋体"/>
          <w:highlight w:val="none"/>
        </w:rPr>
      </w:pPr>
      <w:r>
        <w:rPr>
          <w:rFonts w:hint="eastAsia" w:ascii="宋体" w:hAnsi="宋体" w:cs="宋体"/>
          <w:highlight w:val="none"/>
        </w:rPr>
        <w:t>3.2.4 投标人如果发现工程量清单中的数量与图纸中数量不一致时，应立即通知招标人核查，除非招标人以书面方式予以更正，否则，应以工程量清单中列出的数量为准。</w:t>
      </w:r>
    </w:p>
    <w:p w14:paraId="023CC5A4">
      <w:pPr>
        <w:spacing w:line="360" w:lineRule="auto"/>
        <w:ind w:firstLine="420" w:firstLineChars="200"/>
        <w:rPr>
          <w:rFonts w:ascii="宋体" w:hAnsi="宋体" w:cs="宋体"/>
          <w:highlight w:val="none"/>
        </w:rPr>
      </w:pPr>
      <w:r>
        <w:rPr>
          <w:rFonts w:hint="eastAsia" w:ascii="宋体" w:hAnsi="宋体" w:cs="宋体"/>
          <w:highlight w:val="none"/>
        </w:rPr>
        <w:t>3.2.5 除投标人须知前附表另有规定外，招标人不接受调价函。若招标人接受调价函，则应在招标文件中给出调价函的格式。投标人若有调价函则应遵循如下规定：</w:t>
      </w:r>
    </w:p>
    <w:p w14:paraId="29E2A79D">
      <w:pPr>
        <w:spacing w:line="360" w:lineRule="auto"/>
        <w:ind w:firstLine="420" w:firstLineChars="200"/>
        <w:rPr>
          <w:rFonts w:ascii="宋体" w:hAnsi="宋体" w:cs="宋体"/>
          <w:highlight w:val="none"/>
        </w:rPr>
      </w:pPr>
      <w:r>
        <w:rPr>
          <w:rFonts w:hint="eastAsia" w:ascii="宋体" w:hAnsi="宋体" w:cs="宋体"/>
          <w:highlight w:val="none"/>
        </w:rPr>
        <w:t>（1）调价函必须采用招标文件规定的格式；调价函应说明调价后的最终报价，并以最终报价为准，而且投标人只能有一次调价的机会；</w:t>
      </w:r>
    </w:p>
    <w:p w14:paraId="7E8F80AD">
      <w:pPr>
        <w:spacing w:line="360" w:lineRule="auto"/>
        <w:ind w:firstLine="420" w:firstLineChars="200"/>
        <w:rPr>
          <w:rFonts w:ascii="宋体" w:hAnsi="宋体" w:cs="宋体"/>
          <w:highlight w:val="none"/>
        </w:rPr>
      </w:pPr>
      <w:r>
        <w:rPr>
          <w:rFonts w:hint="eastAsia" w:ascii="宋体" w:hAnsi="宋体" w:cs="宋体"/>
          <w:highlight w:val="none"/>
        </w:rPr>
        <w:t xml:space="preserve">（2）工程量清单中招标人指定的报价不允许调价； </w:t>
      </w:r>
    </w:p>
    <w:p w14:paraId="418C5ED3">
      <w:pPr>
        <w:spacing w:line="360" w:lineRule="auto"/>
        <w:ind w:firstLine="420" w:firstLineChars="200"/>
        <w:rPr>
          <w:rFonts w:ascii="宋体" w:hAnsi="宋体" w:cs="宋体"/>
          <w:highlight w:val="none"/>
        </w:rPr>
      </w:pPr>
      <w:r>
        <w:rPr>
          <w:rFonts w:hint="eastAsia" w:ascii="宋体" w:hAnsi="宋体" w:cs="宋体"/>
          <w:highlight w:val="none"/>
        </w:rPr>
        <w:t>（3）调价函必须附有调价后的工程量清单；调价函必须与投标文件正本封面机械装订在一起，与投标文件一起密封提交。</w:t>
      </w:r>
    </w:p>
    <w:p w14:paraId="69A59F33">
      <w:pPr>
        <w:spacing w:line="360" w:lineRule="auto"/>
        <w:ind w:firstLine="420" w:firstLineChars="200"/>
        <w:rPr>
          <w:rFonts w:ascii="宋体" w:hAnsi="宋体" w:cs="宋体"/>
          <w:highlight w:val="none"/>
        </w:rPr>
      </w:pPr>
      <w:r>
        <w:rPr>
          <w:rFonts w:hint="eastAsia" w:ascii="宋体" w:hAnsi="宋体" w:cs="宋体"/>
          <w:highlight w:val="none"/>
        </w:rPr>
        <w:t>若投标人未提交调价后的工程量清单，或调价函未与投标文件正本封面机械装订在一起，调价函均视为无效，仍以原报价作为最终报价。若投标人提交的调价函多于一个，或对不允许调价的内容进行了调价，或调价函有附加条件，其投标将被否决。</w:t>
      </w:r>
    </w:p>
    <w:p w14:paraId="7D2D485A">
      <w:pPr>
        <w:spacing w:line="360" w:lineRule="auto"/>
        <w:ind w:firstLine="420" w:firstLineChars="200"/>
        <w:rPr>
          <w:rFonts w:ascii="宋体" w:hAnsi="宋体" w:cs="宋体"/>
          <w:highlight w:val="none"/>
        </w:rPr>
      </w:pPr>
      <w:r>
        <w:rPr>
          <w:rFonts w:hint="eastAsia" w:ascii="宋体" w:hAnsi="宋体" w:cs="宋体"/>
          <w:highlight w:val="none"/>
        </w:rPr>
        <w:t>（4）若招标人接受调价函，投标人调价后的工程量清单和有效调价函的大写金额报价应保持一致，如果报价金额出现差异，则以有效调价函的大写金额报价为准。</w:t>
      </w:r>
    </w:p>
    <w:p w14:paraId="41A5D9B0">
      <w:pPr>
        <w:spacing w:line="360" w:lineRule="auto"/>
        <w:ind w:firstLine="420" w:firstLineChars="200"/>
        <w:rPr>
          <w:rFonts w:ascii="宋体" w:hAnsi="宋体" w:cs="宋体"/>
          <w:highlight w:val="none"/>
        </w:rPr>
      </w:pPr>
      <w:r>
        <w:rPr>
          <w:rFonts w:hint="eastAsia" w:ascii="宋体" w:hAnsi="宋体" w:cs="宋体"/>
          <w:highlight w:val="none"/>
        </w:rPr>
        <w:t>3.2.6在合同实施期间，投标人填写的单价、合价和总额价是否由于物价波动进行价格调整按照合同条款第16.1款的规定处理。</w:t>
      </w:r>
    </w:p>
    <w:p w14:paraId="0AA2B739">
      <w:pPr>
        <w:spacing w:line="360" w:lineRule="auto"/>
        <w:ind w:firstLine="420" w:firstLineChars="200"/>
        <w:rPr>
          <w:rFonts w:ascii="宋体" w:hAnsi="宋体" w:cs="宋体"/>
          <w:highlight w:val="none"/>
        </w:rPr>
      </w:pPr>
      <w:r>
        <w:rPr>
          <w:rFonts w:hint="eastAsia" w:ascii="宋体" w:hAnsi="宋体" w:cs="宋体"/>
          <w:highlight w:val="none"/>
        </w:rPr>
        <w:t>3.2.7招标人设有最高投标限价的，投标人的投标报价不得超过最高投标限价，最高投标限价在投标</w:t>
      </w:r>
      <w:bookmarkStart w:id="118" w:name="_Toc352691488"/>
      <w:bookmarkStart w:id="119" w:name="_Toc247527569"/>
      <w:bookmarkStart w:id="120" w:name="_Toc144974512"/>
      <w:bookmarkStart w:id="121" w:name="_Toc247513968"/>
      <w:bookmarkStart w:id="122" w:name="_Toc152045544"/>
      <w:bookmarkStart w:id="123" w:name="_Toc10429"/>
      <w:bookmarkStart w:id="124" w:name="_Toc384308225"/>
      <w:bookmarkStart w:id="125" w:name="_Toc369531531"/>
      <w:bookmarkStart w:id="126" w:name="_Toc361508600"/>
      <w:bookmarkStart w:id="127" w:name="_Toc152042320"/>
      <w:bookmarkStart w:id="128" w:name="_Toc300834965"/>
      <w:r>
        <w:rPr>
          <w:rFonts w:hint="eastAsia" w:ascii="宋体" w:hAnsi="宋体" w:cs="宋体"/>
          <w:highlight w:val="none"/>
        </w:rPr>
        <w:t>人须知前附表中载明。</w:t>
      </w:r>
      <w:bookmarkEnd w:id="118"/>
      <w:bookmarkEnd w:id="119"/>
      <w:bookmarkEnd w:id="120"/>
      <w:bookmarkEnd w:id="121"/>
      <w:bookmarkEnd w:id="122"/>
      <w:bookmarkEnd w:id="123"/>
      <w:bookmarkEnd w:id="124"/>
      <w:bookmarkEnd w:id="125"/>
      <w:bookmarkEnd w:id="126"/>
      <w:bookmarkEnd w:id="127"/>
      <w:bookmarkEnd w:id="128"/>
    </w:p>
    <w:p w14:paraId="7ABF0A04">
      <w:pPr>
        <w:spacing w:line="360" w:lineRule="auto"/>
        <w:ind w:firstLine="420" w:firstLineChars="200"/>
        <w:rPr>
          <w:rFonts w:ascii="宋体" w:hAnsi="宋体" w:cs="宋体"/>
          <w:highlight w:val="none"/>
        </w:rPr>
      </w:pPr>
      <w:r>
        <w:rPr>
          <w:rFonts w:hint="eastAsia" w:ascii="宋体" w:hAnsi="宋体" w:cs="宋体"/>
          <w:highlight w:val="none"/>
        </w:rPr>
        <w:t>3.2.8投标报价的其他要求见投标人须知前附表。</w:t>
      </w:r>
    </w:p>
    <w:p w14:paraId="174EA1F9">
      <w:pPr>
        <w:pStyle w:val="3"/>
        <w:spacing w:before="0" w:after="0" w:line="360" w:lineRule="auto"/>
        <w:ind w:firstLine="420" w:firstLineChars="200"/>
        <w:rPr>
          <w:rFonts w:ascii="宋体" w:hAnsi="宋体" w:cs="宋体"/>
          <w:b w:val="0"/>
          <w:sz w:val="21"/>
          <w:szCs w:val="21"/>
          <w:highlight w:val="none"/>
        </w:rPr>
      </w:pPr>
      <w:bookmarkStart w:id="129" w:name="_Toc517787525"/>
      <w:bookmarkStart w:id="130" w:name="_Toc234832891"/>
      <w:r>
        <w:rPr>
          <w:rFonts w:hint="eastAsia" w:ascii="宋体" w:hAnsi="宋体" w:cs="宋体"/>
          <w:b w:val="0"/>
          <w:sz w:val="21"/>
          <w:szCs w:val="21"/>
          <w:highlight w:val="none"/>
        </w:rPr>
        <w:t>3.3</w:t>
      </w:r>
      <w:r>
        <w:rPr>
          <w:rFonts w:hint="eastAsia" w:ascii="宋体" w:hAnsi="宋体" w:cs="宋体"/>
          <w:b w:val="0"/>
          <w:sz w:val="21"/>
          <w:szCs w:val="21"/>
          <w:highlight w:val="none"/>
        </w:rPr>
        <w:tab/>
      </w:r>
      <w:r>
        <w:rPr>
          <w:rFonts w:hint="eastAsia" w:ascii="宋体" w:hAnsi="宋体" w:cs="宋体"/>
          <w:b w:val="0"/>
          <w:sz w:val="21"/>
          <w:szCs w:val="21"/>
          <w:highlight w:val="none"/>
        </w:rPr>
        <w:t>投标有效期</w:t>
      </w:r>
      <w:bookmarkEnd w:id="129"/>
      <w:bookmarkEnd w:id="130"/>
    </w:p>
    <w:p w14:paraId="3454567F">
      <w:pPr>
        <w:spacing w:line="360" w:lineRule="auto"/>
        <w:ind w:firstLine="420" w:firstLineChars="200"/>
        <w:rPr>
          <w:rFonts w:ascii="宋体" w:hAnsi="宋体" w:cs="宋体"/>
          <w:highlight w:val="none"/>
        </w:rPr>
      </w:pPr>
      <w:r>
        <w:rPr>
          <w:rFonts w:hint="eastAsia" w:ascii="宋体" w:hAnsi="宋体" w:cs="宋体"/>
          <w:highlight w:val="none"/>
        </w:rPr>
        <w:t>3.3.1 投标有效期为90日。</w:t>
      </w:r>
    </w:p>
    <w:p w14:paraId="6BE3B852">
      <w:pPr>
        <w:spacing w:line="360" w:lineRule="auto"/>
        <w:ind w:firstLine="420" w:firstLineChars="200"/>
        <w:rPr>
          <w:rFonts w:ascii="宋体" w:hAnsi="宋体" w:cs="宋体"/>
          <w:highlight w:val="none"/>
        </w:rPr>
      </w:pPr>
      <w:r>
        <w:rPr>
          <w:rFonts w:hint="eastAsia" w:ascii="宋体" w:hAnsi="宋体" w:cs="宋体"/>
          <w:highlight w:val="none"/>
        </w:rPr>
        <w:t>3.3.2 在投标有效期内，投标人撤销投标文件的，应承担招标文件和法律规定的责任。</w:t>
      </w:r>
    </w:p>
    <w:p w14:paraId="4529524F">
      <w:pPr>
        <w:spacing w:line="360" w:lineRule="auto"/>
        <w:ind w:firstLine="420" w:firstLineChars="200"/>
        <w:rPr>
          <w:rFonts w:ascii="宋体" w:hAnsi="宋体" w:cs="宋体"/>
          <w:highlight w:val="none"/>
        </w:rPr>
      </w:pPr>
      <w:r>
        <w:rPr>
          <w:rFonts w:hint="eastAsia" w:ascii="宋体" w:hAnsi="宋体" w:cs="宋体"/>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0A1CCACD">
      <w:pPr>
        <w:pStyle w:val="3"/>
        <w:spacing w:before="0" w:after="0" w:line="360" w:lineRule="auto"/>
        <w:ind w:firstLine="420" w:firstLineChars="200"/>
        <w:rPr>
          <w:rFonts w:ascii="宋体" w:hAnsi="宋体" w:cs="宋体"/>
          <w:b w:val="0"/>
          <w:sz w:val="21"/>
          <w:szCs w:val="21"/>
          <w:highlight w:val="none"/>
        </w:rPr>
      </w:pPr>
      <w:bookmarkStart w:id="131" w:name="_Toc517787526"/>
      <w:bookmarkStart w:id="132" w:name="_Toc234832892"/>
      <w:r>
        <w:rPr>
          <w:rFonts w:hint="eastAsia" w:ascii="宋体" w:hAnsi="宋体" w:cs="宋体"/>
          <w:b w:val="0"/>
          <w:sz w:val="21"/>
          <w:szCs w:val="21"/>
          <w:highlight w:val="none"/>
        </w:rPr>
        <w:t>3.4</w:t>
      </w:r>
      <w:r>
        <w:rPr>
          <w:rFonts w:hint="eastAsia" w:ascii="宋体" w:hAnsi="宋体" w:cs="宋体"/>
          <w:b w:val="0"/>
          <w:sz w:val="21"/>
          <w:szCs w:val="21"/>
          <w:highlight w:val="none"/>
        </w:rPr>
        <w:tab/>
      </w:r>
      <w:r>
        <w:rPr>
          <w:rFonts w:hint="eastAsia" w:ascii="宋体" w:hAnsi="宋体" w:cs="宋体"/>
          <w:b w:val="0"/>
          <w:sz w:val="21"/>
          <w:szCs w:val="21"/>
          <w:highlight w:val="none"/>
        </w:rPr>
        <w:t xml:space="preserve"> 投标保证金</w:t>
      </w:r>
      <w:bookmarkEnd w:id="131"/>
      <w:bookmarkEnd w:id="132"/>
    </w:p>
    <w:p w14:paraId="7C4EDE2B">
      <w:pPr>
        <w:spacing w:line="360" w:lineRule="auto"/>
        <w:ind w:firstLine="420" w:firstLineChars="200"/>
        <w:rPr>
          <w:rFonts w:ascii="宋体" w:hAnsi="宋体" w:cs="宋体"/>
          <w:highlight w:val="none"/>
        </w:rPr>
      </w:pPr>
      <w:r>
        <w:rPr>
          <w:rFonts w:hint="eastAsia" w:ascii="宋体" w:hAnsi="宋体" w:cs="宋体"/>
          <w:highlight w:val="none"/>
        </w:rPr>
        <w:t>3.4.1 本项目不设投标保证金。</w:t>
      </w:r>
    </w:p>
    <w:p w14:paraId="7DD17413">
      <w:pPr>
        <w:pStyle w:val="3"/>
        <w:spacing w:before="0" w:after="0" w:line="360" w:lineRule="auto"/>
        <w:ind w:firstLine="420" w:firstLineChars="200"/>
        <w:rPr>
          <w:rFonts w:ascii="宋体" w:hAnsi="宋体" w:cs="宋体"/>
          <w:b w:val="0"/>
          <w:sz w:val="21"/>
          <w:szCs w:val="21"/>
          <w:highlight w:val="none"/>
        </w:rPr>
      </w:pPr>
      <w:bookmarkStart w:id="133" w:name="_Toc517787528"/>
      <w:bookmarkStart w:id="134" w:name="_Toc234832894"/>
      <w:r>
        <w:rPr>
          <w:rFonts w:hint="eastAsia" w:ascii="宋体" w:hAnsi="宋体" w:cs="宋体"/>
          <w:b w:val="0"/>
          <w:sz w:val="21"/>
          <w:szCs w:val="21"/>
          <w:highlight w:val="none"/>
        </w:rPr>
        <w:t>3.5</w:t>
      </w:r>
      <w:r>
        <w:rPr>
          <w:rFonts w:hint="eastAsia" w:ascii="宋体" w:hAnsi="宋体" w:cs="宋体"/>
          <w:b w:val="0"/>
          <w:sz w:val="21"/>
          <w:szCs w:val="21"/>
          <w:highlight w:val="none"/>
        </w:rPr>
        <w:tab/>
      </w:r>
      <w:r>
        <w:rPr>
          <w:rFonts w:hint="eastAsia" w:ascii="宋体" w:hAnsi="宋体" w:cs="宋体"/>
          <w:b w:val="0"/>
          <w:sz w:val="21"/>
          <w:szCs w:val="21"/>
          <w:highlight w:val="none"/>
        </w:rPr>
        <w:t xml:space="preserve"> 资格审查资料</w:t>
      </w:r>
      <w:bookmarkEnd w:id="133"/>
      <w:bookmarkEnd w:id="134"/>
    </w:p>
    <w:p w14:paraId="3C2EE40A">
      <w:pPr>
        <w:spacing w:line="360" w:lineRule="auto"/>
        <w:ind w:firstLine="420" w:firstLineChars="200"/>
        <w:rPr>
          <w:rFonts w:ascii="宋体" w:hAnsi="宋体" w:cs="宋体"/>
          <w:highlight w:val="none"/>
        </w:rPr>
      </w:pPr>
      <w:bookmarkStart w:id="135" w:name="_Toc234832895"/>
      <w:bookmarkStart w:id="136" w:name="_Toc517787529"/>
      <w:r>
        <w:rPr>
          <w:rFonts w:hint="eastAsia" w:ascii="宋体" w:hAnsi="宋体" w:cs="宋体"/>
          <w:highlight w:val="none"/>
        </w:rPr>
        <w:t>3.5.1投标人应按照招标文件</w:t>
      </w:r>
      <w:r>
        <w:rPr>
          <w:rFonts w:hint="eastAsia" w:ascii="宋体" w:hAnsi="宋体" w:cs="宋体"/>
          <w:highlight w:val="none"/>
          <w:lang w:eastAsia="zh-CN"/>
        </w:rPr>
        <w:t>第六章</w:t>
      </w:r>
      <w:r>
        <w:rPr>
          <w:rFonts w:hint="eastAsia" w:ascii="宋体" w:hAnsi="宋体" w:cs="宋体"/>
          <w:highlight w:val="none"/>
        </w:rPr>
        <w:t>“投标文件格式”“</w:t>
      </w:r>
      <w:r>
        <w:rPr>
          <w:rFonts w:hint="eastAsia" w:ascii="宋体" w:hAnsi="宋体" w:cs="宋体"/>
          <w:highlight w:val="none"/>
          <w:lang w:val="en-US" w:eastAsia="zh-CN"/>
        </w:rPr>
        <w:t>三</w:t>
      </w:r>
      <w:r>
        <w:rPr>
          <w:rFonts w:hint="eastAsia" w:ascii="宋体" w:hAnsi="宋体" w:cs="宋体"/>
          <w:highlight w:val="none"/>
        </w:rPr>
        <w:t>、资格审查资料（适用于不采用系统生成投标报表作为资格审查资料的）”部分相应规定和格式，自行编制并打印下列《投标报表》作为投标文件中的资格审查资料组成内容：</w:t>
      </w:r>
    </w:p>
    <w:p w14:paraId="1E5B948B">
      <w:pPr>
        <w:spacing w:line="360" w:lineRule="auto"/>
        <w:ind w:firstLine="420" w:firstLineChars="200"/>
        <w:rPr>
          <w:rFonts w:hint="default" w:ascii="宋体" w:hAnsi="宋体" w:eastAsia="宋体" w:cs="宋体"/>
          <w:highlight w:val="none"/>
          <w:lang w:val="en-US" w:eastAsia="zh-CN"/>
        </w:rPr>
      </w:pPr>
      <w:r>
        <w:rPr>
          <w:rFonts w:hint="eastAsia" w:ascii="宋体" w:hAnsi="宋体" w:cs="宋体"/>
          <w:highlight w:val="none"/>
        </w:rPr>
        <w:t>（1）企业基本信息表</w:t>
      </w:r>
      <w:r>
        <w:rPr>
          <w:rFonts w:hint="eastAsia" w:ascii="宋体" w:hAnsi="宋体" w:cs="宋体"/>
          <w:highlight w:val="none"/>
          <w:lang w:val="en-US" w:eastAsia="zh-CN"/>
        </w:rPr>
        <w:t>及相关附件</w:t>
      </w:r>
    </w:p>
    <w:p w14:paraId="7F172B6F">
      <w:pPr>
        <w:spacing w:line="360" w:lineRule="auto"/>
        <w:ind w:firstLine="420" w:firstLineChars="200"/>
        <w:rPr>
          <w:rFonts w:ascii="宋体" w:hAnsi="宋体" w:cs="宋体"/>
          <w:highlight w:val="none"/>
        </w:rPr>
      </w:pPr>
      <w:r>
        <w:rPr>
          <w:rFonts w:hint="eastAsia" w:ascii="宋体" w:hAnsi="宋体" w:cs="宋体"/>
          <w:highlight w:val="none"/>
        </w:rPr>
        <w:t>（2）拟投入本标段主要人员情况表</w:t>
      </w:r>
      <w:r>
        <w:rPr>
          <w:rFonts w:hint="eastAsia" w:ascii="宋体" w:hAnsi="宋体" w:cs="宋体"/>
          <w:highlight w:val="none"/>
          <w:lang w:val="en-US" w:eastAsia="zh-CN"/>
        </w:rPr>
        <w:t>及相关附件</w:t>
      </w:r>
    </w:p>
    <w:p w14:paraId="791D27D8">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）其他资料。</w:t>
      </w:r>
    </w:p>
    <w:p w14:paraId="62061603">
      <w:pPr>
        <w:spacing w:line="360" w:lineRule="auto"/>
        <w:ind w:firstLine="420" w:firstLineChars="200"/>
        <w:rPr>
          <w:rFonts w:ascii="宋体" w:hAnsi="宋体" w:cs="宋体"/>
          <w:highlight w:val="none"/>
        </w:rPr>
      </w:pPr>
      <w:r>
        <w:rPr>
          <w:rFonts w:hint="eastAsia" w:ascii="宋体" w:hAnsi="宋体" w:cs="宋体"/>
          <w:highlight w:val="none"/>
        </w:rPr>
        <w:t>3.5.2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w:t>
      </w:r>
    </w:p>
    <w:p w14:paraId="26B67C40">
      <w:pPr>
        <w:spacing w:line="360" w:lineRule="auto"/>
        <w:ind w:firstLine="420" w:firstLineChars="200"/>
        <w:rPr>
          <w:rFonts w:ascii="宋体" w:hAnsi="宋体" w:cs="宋体"/>
          <w:highlight w:val="none"/>
        </w:rPr>
      </w:pPr>
      <w:r>
        <w:rPr>
          <w:rFonts w:hint="eastAsia" w:ascii="宋体" w:hAnsi="宋体" w:cs="宋体"/>
          <w:highlight w:val="none"/>
        </w:rPr>
        <w:t>3.5.3本项目无须提供投标人及其法定代表人、拟委任的项目经理无行贿犯罪行为的查询记录证明。</w:t>
      </w:r>
    </w:p>
    <w:p w14:paraId="1195A710">
      <w:pPr>
        <w:pStyle w:val="3"/>
        <w:spacing w:before="0" w:after="0" w:line="360" w:lineRule="auto"/>
        <w:ind w:firstLine="420" w:firstLineChars="200"/>
        <w:rPr>
          <w:rFonts w:ascii="宋体" w:hAnsi="宋体" w:cs="宋体"/>
          <w:b w:val="0"/>
          <w:sz w:val="21"/>
          <w:szCs w:val="21"/>
          <w:highlight w:val="none"/>
        </w:rPr>
      </w:pPr>
      <w:r>
        <w:rPr>
          <w:rFonts w:hint="eastAsia" w:ascii="宋体" w:hAnsi="宋体" w:cs="宋体"/>
          <w:b w:val="0"/>
          <w:sz w:val="21"/>
          <w:szCs w:val="21"/>
          <w:highlight w:val="none"/>
        </w:rPr>
        <w:t>3.6 备选投标方案</w:t>
      </w:r>
      <w:bookmarkEnd w:id="135"/>
      <w:bookmarkEnd w:id="136"/>
    </w:p>
    <w:p w14:paraId="7A0F2C89">
      <w:pPr>
        <w:spacing w:line="360" w:lineRule="auto"/>
        <w:ind w:firstLine="420" w:firstLineChars="200"/>
        <w:rPr>
          <w:rFonts w:ascii="宋体" w:hAnsi="宋体" w:cs="宋体"/>
          <w:highlight w:val="none"/>
        </w:rPr>
      </w:pPr>
      <w:r>
        <w:rPr>
          <w:rFonts w:hint="eastAsia" w:ascii="宋体" w:hAnsi="宋体" w:cs="宋体"/>
          <w:highlight w:val="none"/>
        </w:rPr>
        <w:t>3.6.1 本项目不允许递交备选投标方案，否则其投标将被否决。</w:t>
      </w:r>
    </w:p>
    <w:p w14:paraId="1DA8C41A">
      <w:pPr>
        <w:pStyle w:val="3"/>
        <w:spacing w:before="0" w:after="0" w:line="360" w:lineRule="auto"/>
        <w:ind w:firstLine="420" w:firstLineChars="200"/>
        <w:rPr>
          <w:rFonts w:ascii="宋体" w:hAnsi="宋体" w:cs="宋体"/>
          <w:b w:val="0"/>
          <w:sz w:val="21"/>
          <w:szCs w:val="21"/>
          <w:highlight w:val="none"/>
        </w:rPr>
      </w:pPr>
      <w:bookmarkStart w:id="137" w:name="_Toc234832896"/>
      <w:bookmarkStart w:id="138" w:name="_Toc517787530"/>
      <w:r>
        <w:rPr>
          <w:rFonts w:hint="eastAsia" w:ascii="宋体" w:hAnsi="宋体" w:cs="宋体"/>
          <w:b w:val="0"/>
          <w:sz w:val="21"/>
          <w:szCs w:val="21"/>
          <w:highlight w:val="none"/>
        </w:rPr>
        <w:t>3.7 投标文件的编制</w:t>
      </w:r>
      <w:bookmarkEnd w:id="137"/>
      <w:bookmarkEnd w:id="138"/>
    </w:p>
    <w:p w14:paraId="5325C66D">
      <w:pPr>
        <w:spacing w:line="360" w:lineRule="auto"/>
        <w:ind w:firstLine="420" w:firstLineChars="200"/>
        <w:rPr>
          <w:rFonts w:ascii="宋体" w:hAnsi="宋体" w:cs="宋体"/>
          <w:highlight w:val="none"/>
        </w:rPr>
      </w:pPr>
      <w:r>
        <w:rPr>
          <w:rFonts w:hint="eastAsia" w:ascii="宋体" w:hAnsi="宋体" w:cs="宋体"/>
          <w:highlight w:val="none"/>
        </w:rPr>
        <w:t>3.7.1 投标文件应按</w:t>
      </w:r>
      <w:r>
        <w:rPr>
          <w:rFonts w:hint="eastAsia" w:ascii="宋体" w:hAnsi="宋体" w:cs="宋体"/>
          <w:highlight w:val="none"/>
          <w:lang w:eastAsia="zh-CN"/>
        </w:rPr>
        <w:t>第六章</w:t>
      </w:r>
      <w:r>
        <w:rPr>
          <w:rFonts w:hint="eastAsia" w:ascii="宋体" w:hAnsi="宋体" w:cs="宋体"/>
          <w:highlight w:val="none"/>
        </w:rPr>
        <w:t>“投标文件格式”进行编写，如有必要，可以增加附页，作为投标文件的组成部分。其中，投标函附录在满足招标文件实质性要求的基础上，可以提出比招标文件要求更有利于招标人的承诺。</w:t>
      </w:r>
    </w:p>
    <w:p w14:paraId="16578E2F">
      <w:pPr>
        <w:spacing w:line="360" w:lineRule="auto"/>
        <w:ind w:firstLine="420" w:firstLineChars="200"/>
        <w:rPr>
          <w:rFonts w:ascii="宋体" w:hAnsi="宋体" w:cs="宋体"/>
          <w:iCs/>
          <w:highlight w:val="none"/>
        </w:rPr>
      </w:pPr>
      <w:r>
        <w:rPr>
          <w:rFonts w:hint="eastAsia" w:ascii="宋体" w:hAnsi="宋体" w:cs="宋体"/>
          <w:highlight w:val="none"/>
        </w:rPr>
        <w:t>3.7.2 投标文件应对招标文件有关</w:t>
      </w:r>
      <w:r>
        <w:rPr>
          <w:rFonts w:hint="eastAsia" w:ascii="宋体" w:hAnsi="宋体" w:cs="宋体"/>
          <w:iCs/>
          <w:highlight w:val="none"/>
        </w:rPr>
        <w:t>工期、质量要求、</w:t>
      </w:r>
      <w:r>
        <w:rPr>
          <w:rFonts w:hint="eastAsia" w:ascii="宋体" w:hAnsi="宋体" w:cs="宋体"/>
          <w:highlight w:val="none"/>
        </w:rPr>
        <w:t>安全目标、</w:t>
      </w:r>
      <w:r>
        <w:rPr>
          <w:rFonts w:hint="eastAsia" w:ascii="宋体" w:hAnsi="宋体" w:cs="宋体"/>
          <w:iCs/>
          <w:highlight w:val="none"/>
        </w:rPr>
        <w:t>招标范围等实质性内容作出响应。</w:t>
      </w:r>
    </w:p>
    <w:p w14:paraId="033EB1DF">
      <w:pPr>
        <w:spacing w:line="360" w:lineRule="auto"/>
        <w:ind w:firstLine="420" w:firstLineChars="200"/>
        <w:rPr>
          <w:rFonts w:ascii="宋体" w:hAnsi="宋体" w:cs="宋体"/>
          <w:highlight w:val="none"/>
        </w:rPr>
      </w:pPr>
      <w:r>
        <w:rPr>
          <w:rFonts w:hint="eastAsia" w:ascii="宋体" w:hAnsi="宋体" w:cs="宋体"/>
          <w:highlight w:val="none"/>
        </w:rPr>
        <w:t>3.7.3 投标文件应用不褪色的材料书写或打印。投标文件格式中明确要求投标人法定代表人或其委托代理人签字</w:t>
      </w:r>
      <w:r>
        <w:rPr>
          <w:rFonts w:hint="eastAsia" w:ascii="宋体" w:hAnsi="宋体" w:cs="宋体"/>
          <w:sz w:val="21"/>
          <w:highlight w:val="none"/>
          <w:u w:val="none"/>
        </w:rPr>
        <w:t>或签名章</w:t>
      </w:r>
      <w:r>
        <w:rPr>
          <w:rFonts w:hint="eastAsia" w:ascii="宋体" w:hAnsi="宋体" w:cs="宋体"/>
          <w:highlight w:val="none"/>
        </w:rPr>
        <w:t>之处，必须由相关人员亲笔签名</w:t>
      </w:r>
      <w:r>
        <w:rPr>
          <w:rFonts w:hint="eastAsia" w:ascii="宋体" w:hAnsi="宋体" w:cs="宋体"/>
          <w:sz w:val="21"/>
          <w:highlight w:val="none"/>
          <w:u w:val="none"/>
        </w:rPr>
        <w:t>或</w:t>
      </w:r>
      <w:r>
        <w:rPr>
          <w:rFonts w:hint="eastAsia" w:ascii="宋体" w:hAnsi="宋体" w:cs="宋体"/>
          <w:sz w:val="21"/>
          <w:highlight w:val="none"/>
          <w:u w:val="none"/>
          <w:lang w:val="en-US" w:eastAsia="zh-CN"/>
        </w:rPr>
        <w:t>加盖</w:t>
      </w:r>
      <w:r>
        <w:rPr>
          <w:rFonts w:hint="eastAsia" w:ascii="宋体" w:hAnsi="宋体" w:cs="宋体"/>
          <w:sz w:val="21"/>
          <w:highlight w:val="none"/>
          <w:u w:val="none"/>
        </w:rPr>
        <w:t>签名章</w:t>
      </w:r>
      <w:r>
        <w:rPr>
          <w:rFonts w:hint="eastAsia" w:ascii="宋体" w:hAnsi="宋体" w:cs="宋体"/>
          <w:highlight w:val="none"/>
          <w:lang w:eastAsia="zh-CN"/>
        </w:rPr>
        <w:t>。</w:t>
      </w:r>
      <w:r>
        <w:rPr>
          <w:rFonts w:hint="eastAsia" w:ascii="宋体" w:hAnsi="宋体" w:cs="宋体"/>
          <w:highlight w:val="none"/>
        </w:rPr>
        <w:t>明确要求投标人加盖单位章之处，必须加盖单位章。其中，投标函、调价函及对投标文件的澄清和说明应加盖投标人单位章，或由投标人的法定代表人或其委托代理人签字</w:t>
      </w:r>
      <w:r>
        <w:rPr>
          <w:rFonts w:hint="eastAsia" w:ascii="宋体" w:hAnsi="宋体" w:cs="宋体"/>
          <w:sz w:val="21"/>
          <w:highlight w:val="none"/>
          <w:u w:val="none"/>
        </w:rPr>
        <w:t>或</w:t>
      </w:r>
      <w:r>
        <w:rPr>
          <w:rFonts w:hint="eastAsia" w:ascii="宋体" w:hAnsi="宋体" w:cs="宋体"/>
          <w:sz w:val="21"/>
          <w:highlight w:val="none"/>
          <w:u w:val="none"/>
          <w:lang w:val="en-US" w:eastAsia="zh-CN"/>
        </w:rPr>
        <w:t>加盖</w:t>
      </w:r>
      <w:r>
        <w:rPr>
          <w:rFonts w:hint="eastAsia" w:ascii="宋体" w:hAnsi="宋体" w:cs="宋体"/>
          <w:sz w:val="21"/>
          <w:highlight w:val="none"/>
          <w:u w:val="none"/>
        </w:rPr>
        <w:t>签名章</w:t>
      </w:r>
      <w:r>
        <w:rPr>
          <w:rFonts w:hint="eastAsia" w:ascii="宋体" w:hAnsi="宋体" w:cs="宋体"/>
          <w:highlight w:val="none"/>
        </w:rPr>
        <w:t>。</w:t>
      </w:r>
    </w:p>
    <w:p w14:paraId="21306806">
      <w:pPr>
        <w:spacing w:line="360" w:lineRule="auto"/>
        <w:ind w:firstLine="420" w:firstLineChars="200"/>
        <w:rPr>
          <w:rFonts w:ascii="宋体" w:hAnsi="宋体" w:cs="宋体"/>
          <w:highlight w:val="none"/>
        </w:rPr>
      </w:pPr>
      <w:r>
        <w:rPr>
          <w:rFonts w:hint="eastAsia" w:ascii="宋体" w:hAnsi="宋体" w:cs="宋体"/>
          <w:highlight w:val="none"/>
        </w:rPr>
        <w:t>如果投标文件由委托代理人签署，则投标人须提交授权委托书，授权委托书应按</w:t>
      </w:r>
      <w:r>
        <w:rPr>
          <w:rFonts w:hint="eastAsia" w:ascii="宋体" w:hAnsi="宋体" w:cs="宋体"/>
          <w:highlight w:val="none"/>
          <w:lang w:eastAsia="zh-CN"/>
        </w:rPr>
        <w:t>第六章</w:t>
      </w:r>
      <w:r>
        <w:rPr>
          <w:rFonts w:hint="eastAsia" w:ascii="宋体" w:hAnsi="宋体" w:cs="宋体"/>
          <w:highlight w:val="none"/>
        </w:rPr>
        <w:t>“投标文件格式”的要求出具，并由法定代表人和委托代理人亲笔签名</w:t>
      </w:r>
      <w:r>
        <w:rPr>
          <w:rFonts w:hint="eastAsia" w:ascii="宋体" w:hAnsi="宋体" w:cs="宋体"/>
          <w:sz w:val="21"/>
          <w:highlight w:val="none"/>
          <w:u w:val="none"/>
        </w:rPr>
        <w:t>或</w:t>
      </w:r>
      <w:r>
        <w:rPr>
          <w:rFonts w:hint="eastAsia" w:ascii="宋体" w:hAnsi="宋体" w:cs="宋体"/>
          <w:sz w:val="21"/>
          <w:highlight w:val="none"/>
          <w:u w:val="none"/>
          <w:lang w:val="en-US" w:eastAsia="zh-CN"/>
        </w:rPr>
        <w:t>加盖</w:t>
      </w:r>
      <w:r>
        <w:rPr>
          <w:rFonts w:hint="eastAsia" w:ascii="宋体" w:hAnsi="宋体" w:cs="宋体"/>
          <w:sz w:val="21"/>
          <w:highlight w:val="none"/>
          <w:u w:val="none"/>
        </w:rPr>
        <w:t>签名章</w:t>
      </w:r>
      <w:r>
        <w:rPr>
          <w:rFonts w:hint="eastAsia" w:ascii="宋体" w:hAnsi="宋体" w:cs="宋体"/>
          <w:highlight w:val="none"/>
        </w:rPr>
        <w:t>。</w:t>
      </w:r>
    </w:p>
    <w:p w14:paraId="568DFD36">
      <w:pPr>
        <w:spacing w:line="360" w:lineRule="auto"/>
        <w:ind w:firstLine="420" w:firstLineChars="200"/>
        <w:rPr>
          <w:rFonts w:ascii="宋体" w:hAnsi="宋体" w:cs="宋体"/>
          <w:highlight w:val="none"/>
        </w:rPr>
      </w:pPr>
      <w:r>
        <w:rPr>
          <w:rFonts w:hint="eastAsia" w:ascii="宋体" w:hAnsi="宋体" w:cs="宋体"/>
          <w:highlight w:val="none"/>
        </w:rPr>
        <w:t>如果由投标人的法定代表人亲自签署投标文件，则投标人须提交法定代表人身份证明，身份证明应符合</w:t>
      </w:r>
      <w:r>
        <w:rPr>
          <w:rFonts w:hint="eastAsia" w:ascii="宋体" w:hAnsi="宋体" w:cs="宋体"/>
          <w:highlight w:val="none"/>
          <w:lang w:eastAsia="zh-CN"/>
        </w:rPr>
        <w:t>第六章</w:t>
      </w:r>
      <w:r>
        <w:rPr>
          <w:rFonts w:hint="eastAsia" w:ascii="宋体" w:hAnsi="宋体" w:cs="宋体"/>
          <w:highlight w:val="none"/>
        </w:rPr>
        <w:t>“投标文件格式”的要求。</w:t>
      </w:r>
    </w:p>
    <w:p w14:paraId="3D6E2BC6">
      <w:pPr>
        <w:spacing w:line="360" w:lineRule="auto"/>
        <w:ind w:firstLine="420" w:firstLineChars="200"/>
        <w:rPr>
          <w:rFonts w:ascii="宋体" w:hAnsi="宋体" w:cs="宋体"/>
          <w:highlight w:val="none"/>
        </w:rPr>
      </w:pPr>
      <w:r>
        <w:rPr>
          <w:rFonts w:hint="eastAsia" w:ascii="宋体" w:hAnsi="宋体" w:cs="宋体"/>
          <w:highlight w:val="none"/>
        </w:rPr>
        <w:t>以联合体形式参与投标的，投标文件由联合体牵头人的法定代表人或其委托代理人按上述规定签署并加盖联合体牵头人单位章。法定代表人授权委托书或法定代表人身份证明须由联合体牵头人按上述规定出具。</w:t>
      </w:r>
    </w:p>
    <w:p w14:paraId="5C5998F2">
      <w:pPr>
        <w:spacing w:line="360" w:lineRule="auto"/>
        <w:ind w:firstLine="420" w:firstLineChars="200"/>
        <w:rPr>
          <w:rFonts w:ascii="宋体" w:hAnsi="宋体" w:cs="宋体"/>
          <w:highlight w:val="none"/>
        </w:rPr>
      </w:pPr>
      <w:r>
        <w:rPr>
          <w:rFonts w:hint="eastAsia" w:ascii="宋体" w:hAnsi="宋体" w:cs="宋体"/>
          <w:highlight w:val="none"/>
        </w:rPr>
        <w:t>投标文件应尽量避免涂改、行间插字或删除。如果出现上述情况，改动之处应由投标人的法定代表人或其授权的代理人签字</w:t>
      </w:r>
      <w:r>
        <w:rPr>
          <w:rFonts w:hint="eastAsia" w:ascii="宋体" w:hAnsi="宋体" w:cs="宋体"/>
          <w:sz w:val="21"/>
          <w:highlight w:val="none"/>
          <w:u w:val="none"/>
        </w:rPr>
        <w:t>或</w:t>
      </w:r>
      <w:r>
        <w:rPr>
          <w:rFonts w:hint="eastAsia" w:ascii="宋体" w:hAnsi="宋体" w:cs="宋体"/>
          <w:sz w:val="21"/>
          <w:highlight w:val="none"/>
          <w:u w:val="none"/>
          <w:lang w:val="en-US" w:eastAsia="zh-CN"/>
        </w:rPr>
        <w:t>加盖</w:t>
      </w:r>
      <w:r>
        <w:rPr>
          <w:rFonts w:hint="eastAsia" w:ascii="宋体" w:hAnsi="宋体" w:cs="宋体"/>
          <w:sz w:val="21"/>
          <w:highlight w:val="none"/>
          <w:u w:val="none"/>
        </w:rPr>
        <w:t>签名章</w:t>
      </w:r>
      <w:r>
        <w:rPr>
          <w:rFonts w:hint="eastAsia" w:ascii="宋体" w:hAnsi="宋体" w:cs="宋体"/>
          <w:highlight w:val="none"/>
        </w:rPr>
        <w:t>或盖单位章。</w:t>
      </w:r>
    </w:p>
    <w:p w14:paraId="1D5BFAFC">
      <w:pPr>
        <w:spacing w:line="360" w:lineRule="auto"/>
        <w:ind w:firstLine="420" w:firstLineChars="200"/>
        <w:rPr>
          <w:rFonts w:ascii="宋体" w:hAnsi="宋体" w:cs="宋体"/>
          <w:highlight w:val="none"/>
        </w:rPr>
      </w:pPr>
      <w:r>
        <w:rPr>
          <w:rFonts w:hint="eastAsia" w:ascii="宋体" w:hAnsi="宋体" w:cs="宋体"/>
          <w:highlight w:val="none"/>
        </w:rPr>
        <w:t>3.7.4 投标文件正本一份， 副本份数见投标人须知前附表。正本和副本的封面右上角上应清楚地标记“正本”或“副本”字样。投标人应根据投标人须知前附表要求提供电子版文件。当副本和正本不一致或电子版文件和纸质正本文件不一致时，以纸质正本文件为准。</w:t>
      </w:r>
    </w:p>
    <w:p w14:paraId="498AAA1F">
      <w:pPr>
        <w:pStyle w:val="8"/>
        <w:topLinePunct/>
        <w:spacing w:line="360" w:lineRule="auto"/>
        <w:ind w:firstLine="420" w:firstLineChars="200"/>
        <w:rPr>
          <w:rFonts w:hAnsi="宋体"/>
          <w:sz w:val="21"/>
          <w:szCs w:val="21"/>
          <w:highlight w:val="none"/>
        </w:rPr>
      </w:pPr>
      <w:r>
        <w:rPr>
          <w:rFonts w:hint="eastAsia" w:hAnsi="宋体"/>
          <w:sz w:val="21"/>
          <w:szCs w:val="21"/>
          <w:highlight w:val="none"/>
        </w:rPr>
        <w:t>3.7.5 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14:paraId="68BA4396">
      <w:pPr>
        <w:pStyle w:val="3"/>
        <w:spacing w:before="0" w:after="0" w:line="360" w:lineRule="auto"/>
        <w:ind w:firstLine="420" w:firstLineChars="200"/>
        <w:rPr>
          <w:rFonts w:ascii="宋体" w:hAnsi="宋体" w:cs="宋体"/>
          <w:b w:val="0"/>
          <w:sz w:val="21"/>
          <w:szCs w:val="21"/>
          <w:highlight w:val="none"/>
        </w:rPr>
      </w:pPr>
      <w:bookmarkStart w:id="139" w:name="_Toc517787531"/>
      <w:bookmarkStart w:id="140" w:name="_Toc234832897"/>
      <w:r>
        <w:rPr>
          <w:rFonts w:hint="eastAsia" w:ascii="宋体" w:hAnsi="宋体" w:cs="宋体"/>
          <w:b w:val="0"/>
          <w:sz w:val="21"/>
          <w:szCs w:val="21"/>
          <w:highlight w:val="none"/>
        </w:rPr>
        <w:t>4. 投标</w:t>
      </w:r>
      <w:bookmarkEnd w:id="139"/>
      <w:bookmarkEnd w:id="140"/>
      <w:r>
        <w:rPr>
          <w:rFonts w:hint="eastAsia" w:ascii="宋体" w:hAnsi="宋体" w:cs="宋体"/>
          <w:b w:val="0"/>
          <w:sz w:val="21"/>
          <w:szCs w:val="21"/>
          <w:highlight w:val="none"/>
        </w:rPr>
        <w:tab/>
      </w:r>
    </w:p>
    <w:p w14:paraId="57B2478A">
      <w:pPr>
        <w:pStyle w:val="3"/>
        <w:spacing w:before="0" w:after="0" w:line="360" w:lineRule="auto"/>
        <w:ind w:firstLine="420" w:firstLineChars="200"/>
        <w:rPr>
          <w:rFonts w:ascii="宋体" w:hAnsi="宋体" w:cs="宋体"/>
          <w:b w:val="0"/>
          <w:sz w:val="21"/>
          <w:szCs w:val="21"/>
          <w:highlight w:val="none"/>
        </w:rPr>
      </w:pPr>
      <w:bookmarkStart w:id="141" w:name="_Toc517787532"/>
      <w:bookmarkStart w:id="142" w:name="_Toc234832898"/>
      <w:r>
        <w:rPr>
          <w:rFonts w:hint="eastAsia" w:ascii="宋体" w:hAnsi="宋体" w:cs="宋体"/>
          <w:b w:val="0"/>
          <w:sz w:val="21"/>
          <w:szCs w:val="21"/>
          <w:highlight w:val="none"/>
        </w:rPr>
        <w:t>4.1 投标文件的密封和标识</w:t>
      </w:r>
      <w:bookmarkEnd w:id="141"/>
      <w:bookmarkEnd w:id="142"/>
    </w:p>
    <w:p w14:paraId="3FD02916">
      <w:pPr>
        <w:pStyle w:val="8"/>
        <w:topLinePunct/>
        <w:spacing w:line="360" w:lineRule="auto"/>
        <w:ind w:firstLine="420" w:firstLineChars="200"/>
        <w:rPr>
          <w:rFonts w:hAnsi="宋体"/>
          <w:sz w:val="21"/>
          <w:szCs w:val="21"/>
          <w:highlight w:val="none"/>
        </w:rPr>
      </w:pPr>
      <w:r>
        <w:rPr>
          <w:rFonts w:hint="eastAsia" w:hAnsi="宋体"/>
          <w:sz w:val="21"/>
          <w:szCs w:val="21"/>
          <w:highlight w:val="none"/>
        </w:rPr>
        <w:t>4.1.1 投标文件应采用双信封形式密封。投标文件第一个信封（</w:t>
      </w:r>
      <w:r>
        <w:rPr>
          <w:rFonts w:hint="eastAsia" w:hAnsi="宋体"/>
          <w:sz w:val="21"/>
          <w:szCs w:val="21"/>
          <w:highlight w:val="none"/>
          <w:lang w:val="en-US" w:eastAsia="zh-CN"/>
        </w:rPr>
        <w:t>资格审查</w:t>
      </w:r>
      <w:r>
        <w:rPr>
          <w:rFonts w:hint="eastAsia" w:hAnsi="宋体"/>
          <w:sz w:val="21"/>
          <w:szCs w:val="21"/>
          <w:highlight w:val="none"/>
        </w:rPr>
        <w:t>文件）以及第二个信封（报价文件）应单独密封包装。</w:t>
      </w:r>
      <w:r>
        <w:rPr>
          <w:rFonts w:hint="eastAsia" w:hAnsi="宋体"/>
          <w:sz w:val="21"/>
          <w:szCs w:val="21"/>
          <w:highlight w:val="none"/>
          <w:lang w:val="en-US" w:eastAsia="zh-CN"/>
        </w:rPr>
        <w:t>资格审查</w:t>
      </w:r>
      <w:r>
        <w:rPr>
          <w:rFonts w:hint="eastAsia" w:hAnsi="宋体"/>
          <w:sz w:val="21"/>
          <w:szCs w:val="21"/>
          <w:highlight w:val="none"/>
        </w:rPr>
        <w:t>文件的正本与副本应统一密封在一个封套中。报价文件的正本与副本应统一密封在另一个封套中。</w:t>
      </w:r>
      <w:r>
        <w:rPr>
          <w:rFonts w:hint="eastAsia" w:hAnsi="宋体"/>
          <w:sz w:val="21"/>
          <w:szCs w:val="21"/>
          <w:highlight w:val="none"/>
          <w:lang w:val="en-US" w:eastAsia="zh-CN"/>
        </w:rPr>
        <w:t>封套上</w:t>
      </w:r>
      <w:r>
        <w:rPr>
          <w:rFonts w:hint="eastAsia" w:hAnsi="宋体"/>
          <w:sz w:val="21"/>
          <w:szCs w:val="21"/>
          <w:highlight w:val="none"/>
        </w:rPr>
        <w:t xml:space="preserve">加盖投标人单位章。 </w:t>
      </w:r>
    </w:p>
    <w:p w14:paraId="7235CCC1">
      <w:pPr>
        <w:pStyle w:val="8"/>
        <w:topLinePunct/>
        <w:spacing w:line="360" w:lineRule="auto"/>
        <w:ind w:firstLine="420" w:firstLineChars="200"/>
        <w:rPr>
          <w:rFonts w:hAnsi="宋体"/>
          <w:sz w:val="21"/>
          <w:szCs w:val="21"/>
          <w:highlight w:val="none"/>
        </w:rPr>
      </w:pPr>
      <w:r>
        <w:rPr>
          <w:rFonts w:hint="eastAsia" w:hAnsi="宋体"/>
          <w:sz w:val="21"/>
          <w:szCs w:val="21"/>
          <w:highlight w:val="none"/>
        </w:rPr>
        <w:t>4.1.2 投标文件第一个信封（</w:t>
      </w:r>
      <w:r>
        <w:rPr>
          <w:rFonts w:hint="eastAsia" w:hAnsi="宋体"/>
          <w:sz w:val="21"/>
          <w:szCs w:val="21"/>
          <w:highlight w:val="none"/>
          <w:lang w:eastAsia="zh-CN"/>
        </w:rPr>
        <w:t>资格审查文件</w:t>
      </w:r>
      <w:r>
        <w:rPr>
          <w:rFonts w:hint="eastAsia" w:hAnsi="宋体"/>
          <w:sz w:val="21"/>
          <w:szCs w:val="21"/>
          <w:highlight w:val="none"/>
        </w:rPr>
        <w:t>）、第二个信封（报价文件）封套上应写明的内容见投标人须知前附表。</w:t>
      </w:r>
    </w:p>
    <w:p w14:paraId="7C6612D7">
      <w:pPr>
        <w:spacing w:line="360" w:lineRule="auto"/>
        <w:ind w:firstLine="420" w:firstLineChars="200"/>
        <w:rPr>
          <w:rFonts w:ascii="宋体" w:hAnsi="宋体" w:cs="宋体"/>
          <w:highlight w:val="none"/>
        </w:rPr>
      </w:pPr>
      <w:r>
        <w:rPr>
          <w:rFonts w:hint="eastAsia" w:ascii="宋体" w:hAnsi="宋体" w:cs="宋体"/>
          <w:highlight w:val="none"/>
        </w:rPr>
        <w:t>4.1.3 未按本章第4.1.1项要求密封的投标文件，招标人将予以拒收。</w:t>
      </w:r>
    </w:p>
    <w:p w14:paraId="243BA5A5">
      <w:pPr>
        <w:pStyle w:val="3"/>
        <w:spacing w:before="0" w:after="0" w:line="360" w:lineRule="auto"/>
        <w:ind w:firstLine="420" w:firstLineChars="200"/>
        <w:rPr>
          <w:rFonts w:ascii="宋体" w:hAnsi="宋体" w:cs="宋体"/>
          <w:b w:val="0"/>
          <w:sz w:val="21"/>
          <w:szCs w:val="21"/>
          <w:highlight w:val="none"/>
        </w:rPr>
      </w:pPr>
      <w:bookmarkStart w:id="143" w:name="_Toc517787533"/>
      <w:bookmarkStart w:id="144" w:name="_Toc234832899"/>
      <w:r>
        <w:rPr>
          <w:rFonts w:hint="eastAsia" w:ascii="宋体" w:hAnsi="宋体" w:cs="宋体"/>
          <w:b w:val="0"/>
          <w:sz w:val="21"/>
          <w:szCs w:val="21"/>
          <w:highlight w:val="none"/>
        </w:rPr>
        <w:t>4.2</w:t>
      </w:r>
      <w:r>
        <w:rPr>
          <w:rFonts w:hint="eastAsia" w:ascii="宋体" w:hAnsi="宋体" w:cs="宋体"/>
          <w:b w:val="0"/>
          <w:sz w:val="21"/>
          <w:szCs w:val="21"/>
          <w:highlight w:val="none"/>
        </w:rPr>
        <w:tab/>
      </w:r>
      <w:r>
        <w:rPr>
          <w:rFonts w:hint="eastAsia" w:ascii="宋体" w:hAnsi="宋体" w:cs="宋体"/>
          <w:b w:val="0"/>
          <w:sz w:val="21"/>
          <w:szCs w:val="21"/>
          <w:highlight w:val="none"/>
        </w:rPr>
        <w:t xml:space="preserve"> 投标文件的递交</w:t>
      </w:r>
      <w:bookmarkEnd w:id="143"/>
      <w:bookmarkEnd w:id="144"/>
    </w:p>
    <w:p w14:paraId="4220B3D9">
      <w:pPr>
        <w:pStyle w:val="8"/>
        <w:topLinePunct/>
        <w:spacing w:line="360" w:lineRule="auto"/>
        <w:ind w:firstLine="420" w:firstLineChars="200"/>
        <w:rPr>
          <w:rFonts w:hAnsi="宋体"/>
          <w:sz w:val="21"/>
          <w:szCs w:val="21"/>
          <w:highlight w:val="none"/>
        </w:rPr>
      </w:pPr>
      <w:r>
        <w:rPr>
          <w:rFonts w:hint="eastAsia" w:hAnsi="宋体"/>
          <w:sz w:val="21"/>
          <w:szCs w:val="21"/>
          <w:highlight w:val="none"/>
        </w:rPr>
        <w:t>4.2.1 投标人应在第一章“招标公告”规定的投标截止时间前递交投标文件。</w:t>
      </w:r>
    </w:p>
    <w:p w14:paraId="0FC4D22D">
      <w:pPr>
        <w:spacing w:line="360" w:lineRule="auto"/>
        <w:ind w:firstLine="420" w:firstLineChars="200"/>
        <w:rPr>
          <w:rFonts w:ascii="宋体" w:hAnsi="宋体" w:cs="宋体"/>
          <w:highlight w:val="none"/>
        </w:rPr>
      </w:pPr>
      <w:r>
        <w:rPr>
          <w:rFonts w:hint="eastAsia" w:ascii="宋体" w:hAnsi="宋体" w:cs="宋体"/>
          <w:highlight w:val="none"/>
        </w:rPr>
        <w:t>4.2.2 投标人递交投标文件的地点：见第一章“招标公告”。</w:t>
      </w:r>
    </w:p>
    <w:p w14:paraId="20D17506">
      <w:pPr>
        <w:spacing w:line="360" w:lineRule="auto"/>
        <w:ind w:firstLine="420" w:firstLineChars="200"/>
        <w:rPr>
          <w:rFonts w:ascii="宋体" w:hAnsi="宋体" w:cs="宋体"/>
          <w:highlight w:val="none"/>
        </w:rPr>
      </w:pPr>
      <w:r>
        <w:rPr>
          <w:rFonts w:hint="eastAsia" w:ascii="宋体" w:hAnsi="宋体" w:cs="宋体"/>
          <w:highlight w:val="none"/>
        </w:rPr>
        <w:t>4.2.3 除投标人须知前附表另有规定外，投标人所递交的投标文件不予退还。投标人少于3个的，投标文件当场退还给投标人。</w:t>
      </w:r>
    </w:p>
    <w:p w14:paraId="764FDF69">
      <w:pPr>
        <w:spacing w:line="360" w:lineRule="auto"/>
        <w:ind w:firstLine="420" w:firstLineChars="200"/>
        <w:rPr>
          <w:rFonts w:ascii="宋体" w:hAnsi="宋体" w:cs="宋体"/>
          <w:highlight w:val="none"/>
        </w:rPr>
      </w:pPr>
      <w:r>
        <w:rPr>
          <w:rFonts w:hint="eastAsia" w:ascii="宋体" w:hAnsi="宋体" w:cs="宋体"/>
          <w:highlight w:val="none"/>
        </w:rPr>
        <w:t>4.2.4 招标人收到投标文件后，向投标人出具签收凭证。</w:t>
      </w:r>
    </w:p>
    <w:p w14:paraId="328A22C0">
      <w:pPr>
        <w:spacing w:line="360" w:lineRule="auto"/>
        <w:ind w:firstLine="420" w:firstLineChars="200"/>
        <w:rPr>
          <w:rFonts w:ascii="宋体" w:hAnsi="宋体" w:cs="宋体"/>
          <w:highlight w:val="none"/>
        </w:rPr>
      </w:pPr>
      <w:r>
        <w:rPr>
          <w:rFonts w:hint="eastAsia" w:ascii="宋体" w:hAnsi="宋体" w:cs="宋体"/>
          <w:highlight w:val="none"/>
        </w:rPr>
        <w:t>4.2.5 逾期送达的或未送达指定地点的投标文件，招标人将予以拒收。</w:t>
      </w:r>
    </w:p>
    <w:p w14:paraId="61A3FA83">
      <w:pPr>
        <w:pStyle w:val="3"/>
        <w:spacing w:before="0" w:after="0" w:line="360" w:lineRule="auto"/>
        <w:ind w:firstLine="420" w:firstLineChars="200"/>
        <w:rPr>
          <w:rFonts w:ascii="宋体" w:hAnsi="宋体" w:cs="宋体"/>
          <w:b w:val="0"/>
          <w:sz w:val="21"/>
          <w:szCs w:val="21"/>
          <w:highlight w:val="none"/>
        </w:rPr>
      </w:pPr>
      <w:bookmarkStart w:id="145" w:name="_Toc517787534"/>
      <w:bookmarkStart w:id="146" w:name="_Toc234832900"/>
      <w:r>
        <w:rPr>
          <w:rFonts w:hint="eastAsia" w:ascii="宋体" w:hAnsi="宋体" w:cs="宋体"/>
          <w:b w:val="0"/>
          <w:sz w:val="21"/>
          <w:szCs w:val="21"/>
          <w:highlight w:val="none"/>
        </w:rPr>
        <w:t>4.3 投标文件的修改与撤回</w:t>
      </w:r>
      <w:bookmarkEnd w:id="145"/>
      <w:bookmarkEnd w:id="146"/>
    </w:p>
    <w:p w14:paraId="32E6C7E7">
      <w:pPr>
        <w:spacing w:line="360" w:lineRule="auto"/>
        <w:ind w:firstLine="420" w:firstLineChars="200"/>
        <w:rPr>
          <w:rFonts w:ascii="宋体" w:hAnsi="宋体" w:cs="宋体"/>
          <w:highlight w:val="none"/>
        </w:rPr>
      </w:pPr>
      <w:r>
        <w:rPr>
          <w:rFonts w:hint="eastAsia" w:ascii="宋体" w:hAnsi="宋体" w:cs="宋体"/>
          <w:highlight w:val="none"/>
        </w:rPr>
        <w:t>4.3.1 在本章第4.2.1项规定的投标截止时间前，投标人可以修改或撤回已递交的投标文件，但应以书面形式通知招标人。</w:t>
      </w:r>
    </w:p>
    <w:p w14:paraId="7D6B7B24">
      <w:pPr>
        <w:spacing w:line="360" w:lineRule="auto"/>
        <w:ind w:firstLine="420" w:firstLineChars="200"/>
        <w:rPr>
          <w:rFonts w:ascii="宋体" w:hAnsi="宋体" w:cs="宋体"/>
          <w:highlight w:val="none"/>
        </w:rPr>
      </w:pPr>
      <w:r>
        <w:rPr>
          <w:rFonts w:hint="eastAsia" w:ascii="宋体" w:hAnsi="宋体" w:cs="宋体"/>
          <w:highlight w:val="none"/>
        </w:rPr>
        <w:t>4.3.2 投标人修改或撤回已递交投标文件的书面通知应按照本章第3.7.3项的要求签字或盖章。招标人收到书面通知后，向投标人出具签收凭证。</w:t>
      </w:r>
    </w:p>
    <w:p w14:paraId="002A8F4F">
      <w:pPr>
        <w:spacing w:line="360" w:lineRule="auto"/>
        <w:ind w:firstLine="420" w:firstLineChars="200"/>
        <w:rPr>
          <w:rFonts w:ascii="宋体" w:hAnsi="宋体" w:cs="宋体"/>
          <w:highlight w:val="none"/>
        </w:rPr>
      </w:pPr>
      <w:r>
        <w:rPr>
          <w:rFonts w:hint="eastAsia" w:ascii="宋体" w:hAnsi="宋体" w:cs="宋体"/>
          <w:highlight w:val="none"/>
        </w:rPr>
        <w:t>4.3.3 投标人撤回投标文件的，招标人自收到投标人书面撤回通知之日起5日内退还已收取的投标保证金。</w:t>
      </w:r>
    </w:p>
    <w:p w14:paraId="4DD3AA9A">
      <w:pPr>
        <w:spacing w:line="360" w:lineRule="auto"/>
        <w:ind w:firstLine="420" w:firstLineChars="200"/>
        <w:rPr>
          <w:rFonts w:ascii="宋体" w:hAnsi="宋体" w:cs="宋体"/>
          <w:highlight w:val="none"/>
        </w:rPr>
      </w:pPr>
      <w:r>
        <w:rPr>
          <w:rFonts w:hint="eastAsia" w:ascii="宋体" w:hAnsi="宋体" w:cs="宋体"/>
          <w:highlight w:val="none"/>
        </w:rPr>
        <w:t>4.3.4 修改的内容为投标文件的组成部分。修改的投标文件应按照本章第3条、第4条的规定进行编制、密封、标记和递交，并标明“修改”字样。</w:t>
      </w:r>
    </w:p>
    <w:p w14:paraId="38AD087E">
      <w:pPr>
        <w:pStyle w:val="3"/>
        <w:spacing w:before="0" w:after="0" w:line="360" w:lineRule="auto"/>
        <w:ind w:firstLine="420" w:firstLineChars="200"/>
        <w:rPr>
          <w:rFonts w:ascii="宋体" w:hAnsi="宋体" w:cs="宋体"/>
          <w:b w:val="0"/>
          <w:sz w:val="21"/>
          <w:szCs w:val="21"/>
          <w:highlight w:val="none"/>
        </w:rPr>
      </w:pPr>
      <w:bookmarkStart w:id="147" w:name="_Toc517787535"/>
      <w:bookmarkStart w:id="148" w:name="_Toc234832901"/>
      <w:r>
        <w:rPr>
          <w:rFonts w:hint="eastAsia" w:ascii="宋体" w:hAnsi="宋体" w:cs="宋体"/>
          <w:b w:val="0"/>
          <w:sz w:val="21"/>
          <w:szCs w:val="21"/>
          <w:highlight w:val="none"/>
        </w:rPr>
        <w:t>5. 开标</w:t>
      </w:r>
      <w:bookmarkEnd w:id="147"/>
      <w:bookmarkEnd w:id="148"/>
    </w:p>
    <w:p w14:paraId="7D7D9D98">
      <w:pPr>
        <w:pStyle w:val="3"/>
        <w:spacing w:before="0" w:after="0" w:line="360" w:lineRule="auto"/>
        <w:ind w:firstLine="420" w:firstLineChars="200"/>
        <w:rPr>
          <w:rFonts w:ascii="宋体" w:hAnsi="宋体" w:cs="宋体"/>
          <w:b w:val="0"/>
          <w:sz w:val="21"/>
          <w:szCs w:val="21"/>
          <w:highlight w:val="none"/>
        </w:rPr>
      </w:pPr>
      <w:bookmarkStart w:id="149" w:name="_Toc517787536"/>
      <w:bookmarkStart w:id="150" w:name="_Toc234832902"/>
      <w:r>
        <w:rPr>
          <w:rFonts w:hint="eastAsia" w:ascii="宋体" w:hAnsi="宋体" w:cs="宋体"/>
          <w:b w:val="0"/>
          <w:sz w:val="21"/>
          <w:szCs w:val="21"/>
          <w:highlight w:val="none"/>
        </w:rPr>
        <w:t>5.1 开标时间和地点</w:t>
      </w:r>
      <w:bookmarkEnd w:id="149"/>
    </w:p>
    <w:p w14:paraId="1CCE29CA">
      <w:pPr>
        <w:spacing w:line="360" w:lineRule="auto"/>
        <w:ind w:firstLine="420" w:firstLineChars="200"/>
        <w:rPr>
          <w:rFonts w:ascii="宋体" w:hAnsi="宋体" w:cs="宋体"/>
          <w:highlight w:val="none"/>
        </w:rPr>
      </w:pPr>
      <w:r>
        <w:rPr>
          <w:rFonts w:hint="eastAsia" w:ascii="宋体" w:hAnsi="宋体" w:cs="宋体"/>
          <w:highlight w:val="none"/>
        </w:rPr>
        <w:t>招标人在本章第4.2.1项规定的投标截止时间（开标时间）和投标人须知前附表规定的地点对收到的投标文件第一个信封（</w:t>
      </w:r>
      <w:r>
        <w:rPr>
          <w:rFonts w:hint="eastAsia" w:hAnsi="宋体"/>
          <w:sz w:val="21"/>
          <w:szCs w:val="21"/>
          <w:highlight w:val="none"/>
          <w:lang w:val="en-US" w:eastAsia="zh-CN"/>
        </w:rPr>
        <w:t>资格审查</w:t>
      </w:r>
      <w:r>
        <w:rPr>
          <w:rFonts w:hint="eastAsia" w:hAnsi="宋体"/>
          <w:sz w:val="21"/>
          <w:szCs w:val="21"/>
          <w:highlight w:val="none"/>
        </w:rPr>
        <w:t>文件</w:t>
      </w:r>
      <w:r>
        <w:rPr>
          <w:rFonts w:hint="eastAsia" w:ascii="宋体" w:hAnsi="宋体" w:cs="宋体"/>
          <w:highlight w:val="none"/>
        </w:rPr>
        <w:t>）公开开标，并邀请所有投标人的法定代表人或其委托代理人准时参加。</w:t>
      </w:r>
    </w:p>
    <w:p w14:paraId="77ED2773">
      <w:pPr>
        <w:spacing w:line="360" w:lineRule="auto"/>
        <w:ind w:firstLine="420" w:firstLineChars="200"/>
        <w:rPr>
          <w:rFonts w:ascii="宋体" w:hAnsi="宋体" w:cs="宋体"/>
          <w:highlight w:val="none"/>
          <w:u w:val="single"/>
        </w:rPr>
      </w:pPr>
      <w:r>
        <w:rPr>
          <w:rFonts w:hint="eastAsia" w:ascii="宋体" w:hAnsi="宋体" w:cs="宋体"/>
          <w:highlight w:val="none"/>
        </w:rPr>
        <w:t>招标人在投标人须知前附表规定的时间和地点对投标文件第二个信封（报价文件）公开开标，并邀请所有投标人的法定代表人或其委托代理人准时参加。</w:t>
      </w:r>
    </w:p>
    <w:p w14:paraId="33AAE90D">
      <w:pPr>
        <w:spacing w:line="360" w:lineRule="auto"/>
        <w:ind w:firstLine="420" w:firstLineChars="200"/>
        <w:rPr>
          <w:rFonts w:ascii="宋体" w:hAnsi="宋体" w:cs="宋体"/>
          <w:highlight w:val="none"/>
        </w:rPr>
      </w:pPr>
      <w:r>
        <w:rPr>
          <w:rFonts w:hint="eastAsia" w:ascii="宋体" w:hAnsi="宋体" w:cs="宋体"/>
          <w:highlight w:val="none"/>
        </w:rPr>
        <w:t>投标人若未派法定代表人或委托代理人出席开标活动，视为该投标人默认开标结果。</w:t>
      </w:r>
    </w:p>
    <w:bookmarkEnd w:id="150"/>
    <w:p w14:paraId="04E25ED3">
      <w:pPr>
        <w:pStyle w:val="3"/>
        <w:spacing w:before="0" w:after="0" w:line="360" w:lineRule="auto"/>
        <w:ind w:firstLine="420" w:firstLineChars="200"/>
        <w:rPr>
          <w:rFonts w:ascii="宋体" w:hAnsi="宋体" w:cs="宋体"/>
          <w:b w:val="0"/>
          <w:sz w:val="21"/>
          <w:szCs w:val="21"/>
          <w:highlight w:val="none"/>
        </w:rPr>
      </w:pPr>
      <w:bookmarkStart w:id="151" w:name="_Toc234832905"/>
      <w:bookmarkStart w:id="152" w:name="_Toc517787537"/>
      <w:r>
        <w:rPr>
          <w:rFonts w:hint="eastAsia" w:ascii="宋体" w:hAnsi="宋体" w:cs="宋体"/>
          <w:b w:val="0"/>
          <w:sz w:val="21"/>
          <w:szCs w:val="21"/>
          <w:highlight w:val="none"/>
        </w:rPr>
        <w:t>5.2</w:t>
      </w:r>
      <w:r>
        <w:rPr>
          <w:rFonts w:hint="eastAsia" w:ascii="宋体" w:hAnsi="宋体" w:cs="宋体"/>
          <w:b w:val="0"/>
          <w:sz w:val="21"/>
          <w:szCs w:val="21"/>
          <w:highlight w:val="none"/>
        </w:rPr>
        <w:tab/>
      </w:r>
      <w:r>
        <w:rPr>
          <w:rFonts w:hint="eastAsia" w:ascii="宋体" w:hAnsi="宋体" w:cs="宋体"/>
          <w:b w:val="0"/>
          <w:sz w:val="21"/>
          <w:szCs w:val="21"/>
          <w:highlight w:val="none"/>
        </w:rPr>
        <w:t>开标程序</w:t>
      </w:r>
      <w:bookmarkEnd w:id="151"/>
      <w:bookmarkEnd w:id="152"/>
    </w:p>
    <w:p w14:paraId="753B7F6E">
      <w:pPr>
        <w:spacing w:line="360" w:lineRule="auto"/>
        <w:ind w:firstLine="420" w:firstLineChars="200"/>
        <w:rPr>
          <w:rFonts w:ascii="宋体" w:hAnsi="宋体" w:cs="宋体"/>
          <w:highlight w:val="none"/>
        </w:rPr>
      </w:pPr>
      <w:r>
        <w:rPr>
          <w:rFonts w:hint="eastAsia" w:ascii="宋体" w:hAnsi="宋体" w:cs="宋体"/>
          <w:highlight w:val="none"/>
        </w:rPr>
        <w:t>5.2.1 主持人按下列程序对投标文件第一个信封（</w:t>
      </w:r>
      <w:r>
        <w:rPr>
          <w:rFonts w:hint="eastAsia" w:hAnsi="宋体"/>
          <w:sz w:val="21"/>
          <w:szCs w:val="21"/>
          <w:highlight w:val="none"/>
          <w:lang w:val="en-US" w:eastAsia="zh-CN"/>
        </w:rPr>
        <w:t>资格审查</w:t>
      </w:r>
      <w:r>
        <w:rPr>
          <w:rFonts w:hint="eastAsia" w:hAnsi="宋体"/>
          <w:sz w:val="21"/>
          <w:szCs w:val="21"/>
          <w:highlight w:val="none"/>
        </w:rPr>
        <w:t>文件</w:t>
      </w:r>
      <w:r>
        <w:rPr>
          <w:rFonts w:hint="eastAsia" w:ascii="宋体" w:hAnsi="宋体" w:cs="宋体"/>
          <w:highlight w:val="none"/>
        </w:rPr>
        <w:t>）进行开标：</w:t>
      </w:r>
    </w:p>
    <w:p w14:paraId="30901119">
      <w:pPr>
        <w:spacing w:line="360" w:lineRule="auto"/>
        <w:ind w:firstLine="420" w:firstLineChars="200"/>
        <w:rPr>
          <w:rFonts w:ascii="宋体" w:hAnsi="宋体" w:cs="宋体"/>
          <w:highlight w:val="none"/>
        </w:rPr>
      </w:pPr>
      <w:r>
        <w:rPr>
          <w:rFonts w:hint="eastAsia" w:ascii="宋体" w:hAnsi="宋体" w:cs="宋体"/>
          <w:highlight w:val="none"/>
        </w:rPr>
        <w:t>（1）宣布开标纪律；</w:t>
      </w:r>
    </w:p>
    <w:p w14:paraId="2A17DEF4">
      <w:pPr>
        <w:spacing w:line="360" w:lineRule="auto"/>
        <w:ind w:firstLine="420" w:firstLineChars="200"/>
        <w:rPr>
          <w:rFonts w:ascii="宋体" w:hAnsi="宋体" w:cs="宋体"/>
          <w:highlight w:val="none"/>
        </w:rPr>
      </w:pPr>
      <w:r>
        <w:rPr>
          <w:rFonts w:hint="eastAsia" w:ascii="宋体" w:hAnsi="宋体" w:cs="宋体"/>
          <w:highlight w:val="none"/>
        </w:rPr>
        <w:t>（2）公布在投标截止时间前递交投标文件的投标人数量；</w:t>
      </w:r>
    </w:p>
    <w:p w14:paraId="322DF8CA">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）由投标人推选的代表或公证机构（如果有）代表检查第一个信封和第二个信封投标文件的密封情况，仅检查两个信封投标文件是否存在提前开启情况；</w:t>
      </w:r>
    </w:p>
    <w:p w14:paraId="2B01F21E">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4</w:t>
      </w:r>
      <w:r>
        <w:rPr>
          <w:rFonts w:hint="eastAsia" w:ascii="宋体" w:hAnsi="宋体" w:cs="宋体"/>
          <w:highlight w:val="none"/>
        </w:rPr>
        <w:t>）按照随机顺序当众开标，公布标段名称、投标人名称的递交情况、工期及其他内容，并记录在案；</w:t>
      </w:r>
    </w:p>
    <w:p w14:paraId="3EFF7055">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）由投标人、招标人、招标代理机构或公证机构代表（如果有）抽取参与计算平均值的评标基准价系数（如果有）；</w:t>
      </w:r>
    </w:p>
    <w:p w14:paraId="1F5ABB26">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）投标人代表、招标人代表、记录人等有关人员在开标记录上签字确认；</w:t>
      </w:r>
    </w:p>
    <w:p w14:paraId="6DFBD2EC">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）开标结束。</w:t>
      </w:r>
    </w:p>
    <w:p w14:paraId="6ADD2816">
      <w:pPr>
        <w:spacing w:line="360" w:lineRule="auto"/>
        <w:ind w:firstLine="420" w:firstLineChars="200"/>
        <w:rPr>
          <w:rFonts w:ascii="宋体" w:hAnsi="宋体" w:cs="宋体"/>
          <w:highlight w:val="none"/>
        </w:rPr>
      </w:pPr>
      <w:r>
        <w:rPr>
          <w:rFonts w:hint="eastAsia" w:ascii="宋体" w:hAnsi="宋体" w:cs="宋体"/>
          <w:highlight w:val="none"/>
        </w:rPr>
        <w:t>5.2.2 在投标文件第一个信封（</w:t>
      </w:r>
      <w:r>
        <w:rPr>
          <w:rFonts w:hint="eastAsia" w:ascii="宋体" w:hAnsi="宋体" w:cs="宋体"/>
          <w:highlight w:val="none"/>
          <w:lang w:eastAsia="zh-CN"/>
        </w:rPr>
        <w:t>资格审查文件</w:t>
      </w:r>
      <w:r>
        <w:rPr>
          <w:rFonts w:hint="eastAsia" w:ascii="宋体" w:hAnsi="宋体" w:cs="宋体"/>
          <w:highlight w:val="none"/>
        </w:rPr>
        <w:t>）开标现场，投标文件第二个信封（报价文件）不予开封，由招标人密封保存。</w:t>
      </w:r>
    </w:p>
    <w:p w14:paraId="193072A1">
      <w:pPr>
        <w:spacing w:line="360" w:lineRule="auto"/>
        <w:ind w:firstLine="420" w:firstLineChars="200"/>
        <w:rPr>
          <w:rFonts w:ascii="宋体" w:hAnsi="宋体" w:cs="宋体"/>
          <w:highlight w:val="none"/>
        </w:rPr>
      </w:pPr>
      <w:r>
        <w:rPr>
          <w:rFonts w:hint="eastAsia" w:ascii="宋体" w:hAnsi="宋体" w:cs="宋体"/>
          <w:highlight w:val="none"/>
        </w:rPr>
        <w:t>5.2.3 招标人将按照本章第5.1款规定的时间和地点对投标文件第二个信封（报价文件）进行开标。主持人按下列程序进行开标：</w:t>
      </w:r>
    </w:p>
    <w:p w14:paraId="5ED55012">
      <w:pPr>
        <w:spacing w:line="360" w:lineRule="auto"/>
        <w:ind w:firstLine="420" w:firstLineChars="200"/>
        <w:rPr>
          <w:rFonts w:ascii="宋体" w:hAnsi="宋体" w:cs="宋体"/>
          <w:highlight w:val="none"/>
        </w:rPr>
      </w:pPr>
      <w:r>
        <w:rPr>
          <w:rFonts w:hint="eastAsia" w:ascii="宋体" w:hAnsi="宋体" w:cs="宋体"/>
          <w:highlight w:val="none"/>
        </w:rPr>
        <w:t>（1）宣布开标纪律；</w:t>
      </w:r>
    </w:p>
    <w:p w14:paraId="45D7E36F">
      <w:pPr>
        <w:spacing w:line="360" w:lineRule="auto"/>
        <w:ind w:firstLine="420" w:firstLineChars="200"/>
        <w:rPr>
          <w:rFonts w:ascii="宋体" w:hAnsi="宋体" w:cs="宋体"/>
          <w:highlight w:val="none"/>
        </w:rPr>
      </w:pPr>
      <w:r>
        <w:rPr>
          <w:rFonts w:hint="eastAsia" w:ascii="宋体" w:hAnsi="宋体" w:cs="宋体"/>
          <w:highlight w:val="none"/>
        </w:rPr>
        <w:t>（2）当众宣布通过投标文件第一个信封（</w:t>
      </w:r>
      <w:r>
        <w:rPr>
          <w:rFonts w:hint="eastAsia" w:ascii="宋体" w:hAnsi="宋体" w:cs="宋体"/>
          <w:highlight w:val="none"/>
          <w:lang w:eastAsia="zh-CN"/>
        </w:rPr>
        <w:t>资格审查文件</w:t>
      </w:r>
      <w:r>
        <w:rPr>
          <w:rFonts w:hint="eastAsia" w:ascii="宋体" w:hAnsi="宋体" w:cs="宋体"/>
          <w:highlight w:val="none"/>
        </w:rPr>
        <w:t>）评审的投标人名单；</w:t>
      </w:r>
    </w:p>
    <w:p w14:paraId="5D34BD19">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）由通过投标文件第一个信封（</w:t>
      </w:r>
      <w:r>
        <w:rPr>
          <w:rFonts w:hint="eastAsia" w:ascii="宋体" w:hAnsi="宋体" w:cs="宋体"/>
          <w:highlight w:val="none"/>
          <w:lang w:eastAsia="zh-CN"/>
        </w:rPr>
        <w:t>资格审查文件</w:t>
      </w:r>
      <w:r>
        <w:rPr>
          <w:rFonts w:hint="eastAsia" w:ascii="宋体" w:hAnsi="宋体" w:cs="宋体"/>
          <w:highlight w:val="none"/>
        </w:rPr>
        <w:t>）评审的投标人推选的代表或公证机构（如果有）代表检查第二个信封（报价文件）的密封情况，仅检查报价文件是否存在提前开启情况；</w:t>
      </w:r>
    </w:p>
    <w:p w14:paraId="1434CB45">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4</w:t>
      </w:r>
      <w:r>
        <w:rPr>
          <w:rFonts w:hint="eastAsia" w:ascii="宋体" w:hAnsi="宋体" w:cs="宋体"/>
          <w:highlight w:val="none"/>
        </w:rPr>
        <w:t>）按照随机顺序当众开标，开标人拆封所有通过第一个信封（</w:t>
      </w:r>
      <w:r>
        <w:rPr>
          <w:rFonts w:hint="eastAsia" w:ascii="宋体" w:hAnsi="宋体" w:cs="宋体"/>
          <w:highlight w:val="none"/>
          <w:lang w:eastAsia="zh-CN"/>
        </w:rPr>
        <w:t>资格审查文件</w:t>
      </w:r>
      <w:r>
        <w:rPr>
          <w:rFonts w:hint="eastAsia" w:ascii="宋体" w:hAnsi="宋体" w:cs="宋体"/>
          <w:highlight w:val="none"/>
        </w:rPr>
        <w:t>）评审的投标文件第二个信封（报价文件），公布标段名称、投标人名称、投标报价及其他内容，并记录在案；</w:t>
      </w:r>
    </w:p>
    <w:p w14:paraId="43821697">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）计算并宣布评标基准价；</w:t>
      </w:r>
    </w:p>
    <w:p w14:paraId="1F675A2D">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）投标人代表、招标人代表、记录人等有关人员在开标记录上签字确认；</w:t>
      </w:r>
    </w:p>
    <w:p w14:paraId="2F9B925D">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7</w:t>
      </w:r>
      <w:r>
        <w:rPr>
          <w:rFonts w:hint="eastAsia" w:ascii="宋体" w:hAnsi="宋体" w:cs="宋体"/>
          <w:highlight w:val="none"/>
        </w:rPr>
        <w:t>）将未通过投标文件第一个信封（</w:t>
      </w:r>
      <w:r>
        <w:rPr>
          <w:rFonts w:hint="eastAsia" w:ascii="宋体" w:hAnsi="宋体" w:cs="宋体"/>
          <w:highlight w:val="none"/>
          <w:lang w:eastAsia="zh-CN"/>
        </w:rPr>
        <w:t>资格审查文件</w:t>
      </w:r>
      <w:r>
        <w:rPr>
          <w:rFonts w:hint="eastAsia" w:ascii="宋体" w:hAnsi="宋体" w:cs="宋体"/>
          <w:highlight w:val="none"/>
        </w:rPr>
        <w:t>）评审的投标文件第二个信封（报价文件）退还给投标人；</w:t>
      </w:r>
    </w:p>
    <w:p w14:paraId="307F3B76">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8</w:t>
      </w:r>
      <w:r>
        <w:rPr>
          <w:rFonts w:hint="eastAsia" w:ascii="宋体" w:hAnsi="宋体" w:cs="宋体"/>
          <w:highlight w:val="none"/>
        </w:rPr>
        <w:t>）开标结束。</w:t>
      </w:r>
    </w:p>
    <w:p w14:paraId="4BDE60E6">
      <w:pPr>
        <w:spacing w:line="360" w:lineRule="auto"/>
        <w:ind w:firstLine="420" w:firstLineChars="200"/>
        <w:rPr>
          <w:rFonts w:ascii="宋体" w:hAnsi="宋体" w:cs="宋体"/>
          <w:highlight w:val="none"/>
        </w:rPr>
      </w:pPr>
      <w:r>
        <w:rPr>
          <w:rFonts w:hint="eastAsia" w:ascii="宋体" w:hAnsi="宋体" w:cs="宋体"/>
          <w:highlight w:val="none"/>
        </w:rPr>
        <w:t>5.2.4 在投标文件第二个信封（报价文件）开标现场，招标人将按第三章“评标办法”规定的原则计算并宣布评标基准价。若招标人发现投标文件出现以下任一情况，其投标报价将不再参加评标基准价的计算：</w:t>
      </w:r>
    </w:p>
    <w:p w14:paraId="1174AC72">
      <w:pPr>
        <w:spacing w:line="360" w:lineRule="auto"/>
        <w:ind w:firstLine="420" w:firstLineChars="200"/>
        <w:rPr>
          <w:rFonts w:ascii="宋体" w:hAnsi="宋体" w:cs="宋体"/>
          <w:highlight w:val="none"/>
        </w:rPr>
      </w:pPr>
      <w:r>
        <w:rPr>
          <w:rFonts w:hint="eastAsia" w:ascii="宋体" w:hAnsi="宋体" w:cs="宋体"/>
          <w:highlight w:val="none"/>
        </w:rPr>
        <w:t>（1）未在投标函上填写投标总价；</w:t>
      </w:r>
    </w:p>
    <w:p w14:paraId="50A98259">
      <w:pPr>
        <w:spacing w:line="360" w:lineRule="auto"/>
        <w:ind w:firstLine="420" w:firstLineChars="200"/>
        <w:rPr>
          <w:rFonts w:ascii="宋体" w:hAnsi="宋体" w:cs="宋体"/>
          <w:highlight w:val="none"/>
        </w:rPr>
      </w:pPr>
      <w:r>
        <w:rPr>
          <w:rFonts w:hint="eastAsia" w:ascii="宋体" w:hAnsi="宋体" w:cs="宋体"/>
          <w:highlight w:val="none"/>
        </w:rPr>
        <w:t>（2）投标报价中的报价超出招标人公布的最高投标限价（如有）；</w:t>
      </w:r>
    </w:p>
    <w:p w14:paraId="290200C6">
      <w:pPr>
        <w:spacing w:line="360" w:lineRule="auto"/>
        <w:ind w:firstLine="420" w:firstLineChars="200"/>
        <w:rPr>
          <w:rFonts w:ascii="宋体" w:hAnsi="宋体" w:cs="宋体"/>
          <w:highlight w:val="none"/>
        </w:rPr>
      </w:pPr>
      <w:r>
        <w:rPr>
          <w:rFonts w:hint="eastAsia" w:ascii="宋体" w:hAnsi="宋体" w:cs="宋体"/>
          <w:highlight w:val="none"/>
        </w:rPr>
        <w:t>（3）投标报价中报价的大写金额无法确定具体数值；</w:t>
      </w:r>
    </w:p>
    <w:p w14:paraId="19242FEA">
      <w:pPr>
        <w:spacing w:line="360" w:lineRule="auto"/>
        <w:ind w:firstLine="420" w:firstLineChars="200"/>
        <w:rPr>
          <w:rFonts w:ascii="宋体" w:hAnsi="宋体" w:cs="宋体"/>
          <w:highlight w:val="none"/>
        </w:rPr>
      </w:pPr>
      <w:r>
        <w:rPr>
          <w:rFonts w:hint="eastAsia" w:ascii="宋体" w:hAnsi="宋体" w:cs="宋体"/>
          <w:highlight w:val="none"/>
        </w:rPr>
        <w:t>（4）投标函上填写的项目名称及标段号与投标文件封套上标记的项目名称及标段号不一致。</w:t>
      </w:r>
    </w:p>
    <w:p w14:paraId="76D2582A">
      <w:pPr>
        <w:widowControl/>
        <w:spacing w:line="360" w:lineRule="auto"/>
        <w:ind w:left="0" w:leftChars="0" w:right="0" w:rightChars="0" w:firstLine="420" w:firstLineChars="200"/>
        <w:jc w:val="left"/>
        <w:rPr>
          <w:rFonts w:hint="eastAsia" w:ascii="宋体" w:hAnsi="宋体" w:eastAsia="宋体" w:cs="宋体"/>
          <w:b w:val="0"/>
          <w:kern w:val="2"/>
          <w:szCs w:val="21"/>
          <w:highlight w:val="none"/>
          <w:lang w:val="zh-CN"/>
        </w:rPr>
      </w:pPr>
      <w:r>
        <w:rPr>
          <w:rFonts w:hint="eastAsia" w:ascii="宋体" w:hAnsi="宋体" w:eastAsia="宋体" w:cs="宋体"/>
          <w:b w:val="0"/>
          <w:kern w:val="2"/>
          <w:szCs w:val="21"/>
          <w:highlight w:val="none"/>
          <w:lang w:val="zh-CN"/>
        </w:rPr>
        <w:t>如果投标人认为某一标段的评标基准价计算有误，有权在开标现场提出，经招标人当场核实确认之后，可重新宣布评标基准价。</w:t>
      </w:r>
      <w:r>
        <w:rPr>
          <w:rFonts w:hint="eastAsia" w:ascii="宋体" w:hAnsi="宋体" w:eastAsia="宋体" w:cs="宋体"/>
          <w:b w:val="0"/>
          <w:spacing w:val="0"/>
          <w:kern w:val="2"/>
          <w:sz w:val="21"/>
          <w:szCs w:val="21"/>
          <w:highlight w:val="none"/>
          <w:lang w:val="zh-CN"/>
        </w:rPr>
        <w:t>在评标过程中，评标委员会应对招标人计算的评标基准价进行复核，存在计算错误的应予以修正并在评标报告中作出说明。除此之外，评标基准价在任何情况下（包括因</w:t>
      </w:r>
      <w:r>
        <w:rPr>
          <w:rFonts w:hint="eastAsia" w:ascii="宋体" w:hAnsi="宋体" w:eastAsia="宋体" w:cs="宋体"/>
          <w:b w:val="0"/>
          <w:spacing w:val="0"/>
          <w:kern w:val="2"/>
          <w:sz w:val="21"/>
          <w:szCs w:val="21"/>
          <w:highlight w:val="none"/>
          <w:lang w:val="en-US" w:eastAsia="zh-CN"/>
        </w:rPr>
        <w:t>异议或</w:t>
      </w:r>
      <w:r>
        <w:rPr>
          <w:rFonts w:hint="eastAsia" w:ascii="宋体" w:hAnsi="宋体" w:eastAsia="宋体" w:cs="宋体"/>
          <w:b w:val="0"/>
          <w:spacing w:val="0"/>
          <w:kern w:val="2"/>
          <w:sz w:val="21"/>
          <w:szCs w:val="21"/>
          <w:highlight w:val="none"/>
          <w:lang w:val="zh-CN"/>
        </w:rPr>
        <w:t>投诉或其他原因而进行的评标复议期间）都保持不变。</w:t>
      </w:r>
    </w:p>
    <w:p w14:paraId="3FB13504">
      <w:pPr>
        <w:spacing w:line="360" w:lineRule="auto"/>
        <w:ind w:firstLine="420" w:firstLineChars="200"/>
        <w:rPr>
          <w:rFonts w:ascii="宋体" w:hAnsi="宋体" w:cs="宋体"/>
          <w:highlight w:val="none"/>
        </w:rPr>
      </w:pPr>
      <w:r>
        <w:rPr>
          <w:rFonts w:hint="eastAsia" w:ascii="宋体" w:hAnsi="宋体" w:cs="宋体"/>
          <w:highlight w:val="none"/>
        </w:rPr>
        <w:t>5.2.5 在投标文件第一个信封（</w:t>
      </w:r>
      <w:r>
        <w:rPr>
          <w:rFonts w:hint="eastAsia" w:ascii="宋体" w:hAnsi="宋体" w:cs="宋体"/>
          <w:highlight w:val="none"/>
          <w:lang w:eastAsia="zh-CN"/>
        </w:rPr>
        <w:t>资格审查文件</w:t>
      </w:r>
      <w:r>
        <w:rPr>
          <w:rFonts w:hint="eastAsia" w:ascii="宋体" w:hAnsi="宋体" w:cs="宋体"/>
          <w:highlight w:val="none"/>
        </w:rPr>
        <w:t>）或第二个信封（报价文件）开标过程中，若招标人宣读的内容与投标文件不符，投标人有权在开标现场提出疑问，经招标人当场核查确认之后，可重新宣读其投标文件。若投标人现场未提出疑问，则认为投标人已确认招标人宣读的内容。</w:t>
      </w:r>
    </w:p>
    <w:p w14:paraId="106CCA59">
      <w:pPr>
        <w:pStyle w:val="3"/>
        <w:spacing w:before="0" w:after="0" w:line="360" w:lineRule="auto"/>
        <w:ind w:firstLine="420" w:firstLineChars="200"/>
        <w:rPr>
          <w:rFonts w:ascii="宋体" w:hAnsi="宋体" w:cs="宋体"/>
          <w:b w:val="0"/>
          <w:sz w:val="21"/>
          <w:szCs w:val="21"/>
          <w:highlight w:val="none"/>
        </w:rPr>
      </w:pPr>
      <w:bookmarkStart w:id="153" w:name="_Toc517787538"/>
      <w:r>
        <w:rPr>
          <w:rFonts w:hint="eastAsia" w:ascii="宋体" w:hAnsi="宋体" w:cs="宋体"/>
          <w:b w:val="0"/>
          <w:sz w:val="21"/>
          <w:szCs w:val="21"/>
          <w:highlight w:val="none"/>
        </w:rPr>
        <w:t>5.3</w:t>
      </w:r>
      <w:r>
        <w:rPr>
          <w:rFonts w:hint="eastAsia" w:ascii="宋体" w:hAnsi="宋体" w:cs="宋体"/>
          <w:b w:val="0"/>
          <w:sz w:val="21"/>
          <w:szCs w:val="21"/>
          <w:highlight w:val="none"/>
        </w:rPr>
        <w:tab/>
      </w:r>
      <w:r>
        <w:rPr>
          <w:rFonts w:hint="eastAsia" w:ascii="宋体" w:hAnsi="宋体" w:cs="宋体"/>
          <w:b w:val="0"/>
          <w:sz w:val="21"/>
          <w:szCs w:val="21"/>
          <w:highlight w:val="none"/>
        </w:rPr>
        <w:t xml:space="preserve"> 开标异议</w:t>
      </w:r>
      <w:bookmarkEnd w:id="153"/>
    </w:p>
    <w:p w14:paraId="330DC9DC">
      <w:pPr>
        <w:spacing w:line="360" w:lineRule="auto"/>
        <w:ind w:firstLine="420" w:firstLineChars="200"/>
        <w:rPr>
          <w:rFonts w:ascii="宋体" w:hAnsi="宋体" w:cs="宋体"/>
          <w:highlight w:val="none"/>
          <w:u w:val="single"/>
        </w:rPr>
      </w:pPr>
      <w:r>
        <w:rPr>
          <w:rFonts w:hint="eastAsia" w:ascii="宋体" w:hAnsi="宋体" w:cs="宋体"/>
          <w:highlight w:val="none"/>
        </w:rPr>
        <w:t>投标人对开标有异议的，应在开标现场提出，招标人当场作出答复，并制作记录，有异议的投标人代表、招标人代表、记录人等有关人员在记录上签字确认。</w:t>
      </w:r>
    </w:p>
    <w:p w14:paraId="05C4A99D">
      <w:pPr>
        <w:pStyle w:val="3"/>
        <w:spacing w:before="0" w:after="0" w:line="360" w:lineRule="auto"/>
        <w:ind w:firstLine="420" w:firstLineChars="200"/>
        <w:rPr>
          <w:rFonts w:ascii="宋体" w:hAnsi="宋体" w:cs="宋体"/>
          <w:b w:val="0"/>
          <w:sz w:val="21"/>
          <w:szCs w:val="21"/>
          <w:highlight w:val="none"/>
        </w:rPr>
      </w:pPr>
      <w:bookmarkStart w:id="154" w:name="_Toc517787539"/>
      <w:bookmarkStart w:id="155" w:name="_Toc234832906"/>
      <w:r>
        <w:rPr>
          <w:rFonts w:hint="eastAsia" w:ascii="宋体" w:hAnsi="宋体" w:cs="宋体"/>
          <w:b w:val="0"/>
          <w:sz w:val="21"/>
          <w:szCs w:val="21"/>
          <w:highlight w:val="none"/>
        </w:rPr>
        <w:t>6. 评标</w:t>
      </w:r>
      <w:bookmarkEnd w:id="154"/>
      <w:bookmarkEnd w:id="155"/>
    </w:p>
    <w:p w14:paraId="249423E7">
      <w:pPr>
        <w:pStyle w:val="3"/>
        <w:spacing w:before="0" w:after="0" w:line="360" w:lineRule="auto"/>
        <w:ind w:firstLine="420" w:firstLineChars="200"/>
        <w:rPr>
          <w:rFonts w:ascii="宋体" w:hAnsi="宋体" w:cs="宋体"/>
          <w:b w:val="0"/>
          <w:sz w:val="21"/>
          <w:szCs w:val="21"/>
          <w:highlight w:val="none"/>
        </w:rPr>
      </w:pPr>
      <w:bookmarkStart w:id="156" w:name="_Toc234832907"/>
      <w:bookmarkStart w:id="157" w:name="_Toc517787540"/>
      <w:r>
        <w:rPr>
          <w:rFonts w:hint="eastAsia" w:ascii="宋体" w:hAnsi="宋体" w:cs="宋体"/>
          <w:b w:val="0"/>
          <w:sz w:val="21"/>
          <w:szCs w:val="21"/>
          <w:highlight w:val="none"/>
        </w:rPr>
        <w:t>6.1</w:t>
      </w:r>
      <w:r>
        <w:rPr>
          <w:rFonts w:hint="eastAsia" w:ascii="宋体" w:hAnsi="宋体" w:cs="宋体"/>
          <w:b w:val="0"/>
          <w:sz w:val="21"/>
          <w:szCs w:val="21"/>
          <w:highlight w:val="none"/>
        </w:rPr>
        <w:tab/>
      </w:r>
      <w:r>
        <w:rPr>
          <w:rFonts w:hint="eastAsia" w:ascii="宋体" w:hAnsi="宋体" w:cs="宋体"/>
          <w:b w:val="0"/>
          <w:sz w:val="21"/>
          <w:szCs w:val="21"/>
          <w:highlight w:val="none"/>
        </w:rPr>
        <w:t xml:space="preserve"> 评标委员会</w:t>
      </w:r>
      <w:bookmarkEnd w:id="156"/>
      <w:bookmarkEnd w:id="157"/>
    </w:p>
    <w:p w14:paraId="3048A724">
      <w:pPr>
        <w:spacing w:line="360" w:lineRule="auto"/>
        <w:ind w:firstLine="420" w:firstLineChars="200"/>
        <w:rPr>
          <w:rFonts w:ascii="宋体" w:hAnsi="宋体" w:cs="宋体"/>
          <w:highlight w:val="none"/>
        </w:rPr>
      </w:pPr>
      <w:r>
        <w:rPr>
          <w:rFonts w:hint="eastAsia" w:ascii="宋体" w:hAnsi="宋体" w:cs="宋体"/>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0BCDED47">
      <w:pPr>
        <w:spacing w:line="360" w:lineRule="auto"/>
        <w:ind w:firstLine="420" w:firstLineChars="200"/>
        <w:rPr>
          <w:rFonts w:ascii="宋体" w:hAnsi="宋体" w:cs="宋体"/>
          <w:highlight w:val="none"/>
        </w:rPr>
      </w:pPr>
      <w:r>
        <w:rPr>
          <w:rFonts w:hint="eastAsia" w:ascii="宋体" w:hAnsi="宋体" w:cs="宋体"/>
          <w:highlight w:val="none"/>
        </w:rPr>
        <w:t>6.1.2 评标委员会成员有下列情形之一的，应主动提出回避：</w:t>
      </w:r>
    </w:p>
    <w:p w14:paraId="03A93F39">
      <w:pPr>
        <w:spacing w:line="360" w:lineRule="auto"/>
        <w:ind w:firstLine="420" w:firstLineChars="200"/>
        <w:rPr>
          <w:rFonts w:ascii="宋体" w:hAnsi="宋体" w:cs="宋体"/>
          <w:highlight w:val="none"/>
        </w:rPr>
      </w:pPr>
      <w:r>
        <w:rPr>
          <w:rFonts w:hint="eastAsia" w:ascii="宋体" w:hAnsi="宋体" w:cs="宋体"/>
          <w:highlight w:val="none"/>
        </w:rPr>
        <w:t>（1）为负责招标项目监督管理的交通运输主管部门的工作人员；</w:t>
      </w:r>
    </w:p>
    <w:p w14:paraId="6D6FD21A">
      <w:pPr>
        <w:spacing w:line="360" w:lineRule="auto"/>
        <w:ind w:firstLine="420" w:firstLineChars="200"/>
        <w:rPr>
          <w:rFonts w:ascii="宋体" w:hAnsi="宋体" w:cs="宋体"/>
          <w:highlight w:val="none"/>
        </w:rPr>
      </w:pPr>
      <w:r>
        <w:rPr>
          <w:rFonts w:hint="eastAsia" w:ascii="宋体" w:hAnsi="宋体" w:cs="宋体"/>
          <w:highlight w:val="none"/>
        </w:rPr>
        <w:t>（2）与投标人法定代表人或其委托代理人有近亲属关系；</w:t>
      </w:r>
    </w:p>
    <w:p w14:paraId="350B10CC">
      <w:pPr>
        <w:spacing w:line="360" w:lineRule="auto"/>
        <w:ind w:firstLine="420" w:firstLineChars="200"/>
        <w:rPr>
          <w:rFonts w:ascii="宋体" w:hAnsi="宋体" w:cs="宋体"/>
          <w:highlight w:val="none"/>
        </w:rPr>
      </w:pPr>
      <w:r>
        <w:rPr>
          <w:rFonts w:hint="eastAsia" w:ascii="宋体" w:hAnsi="宋体" w:cs="宋体"/>
          <w:highlight w:val="none"/>
        </w:rPr>
        <w:t>（3）为投标人的工作人员或退休人员；</w:t>
      </w:r>
    </w:p>
    <w:p w14:paraId="73FA9706">
      <w:pPr>
        <w:spacing w:line="360" w:lineRule="auto"/>
        <w:ind w:firstLine="420" w:firstLineChars="200"/>
        <w:rPr>
          <w:rFonts w:ascii="宋体" w:hAnsi="宋体" w:cs="宋体"/>
          <w:highlight w:val="none"/>
        </w:rPr>
      </w:pPr>
      <w:r>
        <w:rPr>
          <w:rFonts w:hint="eastAsia" w:ascii="宋体" w:hAnsi="宋体" w:cs="宋体"/>
          <w:highlight w:val="none"/>
        </w:rPr>
        <w:t>（4）与投标人有其他利害关系，可能影响评标活动公正性；</w:t>
      </w:r>
    </w:p>
    <w:p w14:paraId="7A185325">
      <w:pPr>
        <w:spacing w:line="360" w:lineRule="auto"/>
        <w:ind w:firstLine="420" w:firstLineChars="200"/>
        <w:rPr>
          <w:rFonts w:ascii="宋体" w:hAnsi="宋体" w:cs="宋体"/>
          <w:highlight w:val="none"/>
        </w:rPr>
      </w:pPr>
      <w:r>
        <w:rPr>
          <w:rFonts w:hint="eastAsia" w:ascii="宋体" w:hAnsi="宋体" w:cs="宋体"/>
          <w:highlight w:val="none"/>
        </w:rPr>
        <w:t>（5）在与招标投标有关的活动中有过违法违规行为、曾受过行政处罚或刑事处罚。</w:t>
      </w:r>
    </w:p>
    <w:p w14:paraId="575BE73A">
      <w:pPr>
        <w:spacing w:line="360" w:lineRule="auto"/>
        <w:ind w:firstLine="420" w:firstLineChars="200"/>
        <w:rPr>
          <w:rFonts w:ascii="宋体" w:hAnsi="宋体" w:cs="宋体"/>
          <w:highlight w:val="none"/>
        </w:rPr>
      </w:pPr>
      <w:r>
        <w:rPr>
          <w:rFonts w:hint="eastAsia" w:ascii="宋体" w:hAnsi="宋体" w:cs="宋体"/>
          <w:highlight w:val="none"/>
        </w:rPr>
        <w:t>6.1.3 评标过程中，评标委员会成员有回避事由、擅离职守或因健康等原因不能继续评标的，招标人有权更换。被更换的评标委员会成员作出的评审结论无效，由更换后的评标委员会成员重新进行评审。</w:t>
      </w:r>
    </w:p>
    <w:p w14:paraId="444DD875">
      <w:pPr>
        <w:pStyle w:val="3"/>
        <w:spacing w:before="0" w:after="0" w:line="360" w:lineRule="auto"/>
        <w:ind w:firstLine="420" w:firstLineChars="200"/>
        <w:rPr>
          <w:rFonts w:ascii="宋体" w:hAnsi="宋体" w:cs="宋体"/>
          <w:b w:val="0"/>
          <w:sz w:val="21"/>
          <w:szCs w:val="21"/>
          <w:highlight w:val="none"/>
        </w:rPr>
      </w:pPr>
      <w:bookmarkStart w:id="158" w:name="_Toc517787541"/>
      <w:bookmarkStart w:id="159" w:name="_Toc234832908"/>
      <w:r>
        <w:rPr>
          <w:rFonts w:hint="eastAsia" w:ascii="宋体" w:hAnsi="宋体" w:cs="宋体"/>
          <w:b w:val="0"/>
          <w:sz w:val="21"/>
          <w:szCs w:val="21"/>
          <w:highlight w:val="none"/>
        </w:rPr>
        <w:t>6.2 评标原则</w:t>
      </w:r>
      <w:bookmarkEnd w:id="158"/>
      <w:bookmarkEnd w:id="159"/>
    </w:p>
    <w:p w14:paraId="3058684B">
      <w:pPr>
        <w:spacing w:line="360" w:lineRule="auto"/>
        <w:ind w:firstLine="420" w:firstLineChars="200"/>
        <w:rPr>
          <w:rFonts w:ascii="宋体" w:hAnsi="宋体" w:cs="宋体"/>
          <w:highlight w:val="none"/>
        </w:rPr>
      </w:pPr>
      <w:r>
        <w:rPr>
          <w:rFonts w:hint="eastAsia" w:ascii="宋体" w:hAnsi="宋体" w:cs="宋体"/>
          <w:highlight w:val="none"/>
        </w:rPr>
        <w:t>评标活动遵循公平、公正、科学和择优的原则。</w:t>
      </w:r>
    </w:p>
    <w:p w14:paraId="2B25A705">
      <w:pPr>
        <w:pStyle w:val="3"/>
        <w:spacing w:before="0" w:after="0" w:line="360" w:lineRule="auto"/>
        <w:ind w:firstLine="420" w:firstLineChars="200"/>
        <w:rPr>
          <w:rFonts w:ascii="宋体" w:hAnsi="宋体" w:cs="宋体"/>
          <w:b w:val="0"/>
          <w:sz w:val="21"/>
          <w:szCs w:val="21"/>
          <w:highlight w:val="none"/>
        </w:rPr>
      </w:pPr>
      <w:bookmarkStart w:id="160" w:name="_Toc517787542"/>
      <w:bookmarkStart w:id="161" w:name="_Toc234832909"/>
      <w:r>
        <w:rPr>
          <w:rFonts w:hint="eastAsia" w:ascii="宋体" w:hAnsi="宋体" w:cs="宋体"/>
          <w:b w:val="0"/>
          <w:sz w:val="21"/>
          <w:szCs w:val="21"/>
          <w:highlight w:val="none"/>
        </w:rPr>
        <w:t>6.3 评标</w:t>
      </w:r>
      <w:bookmarkEnd w:id="160"/>
      <w:bookmarkEnd w:id="161"/>
    </w:p>
    <w:p w14:paraId="035B18DA">
      <w:pPr>
        <w:spacing w:line="360" w:lineRule="auto"/>
        <w:ind w:firstLine="420" w:firstLineChars="200"/>
        <w:rPr>
          <w:rFonts w:ascii="宋体" w:hAnsi="宋体" w:cs="宋体"/>
          <w:highlight w:val="none"/>
        </w:rPr>
      </w:pPr>
      <w:r>
        <w:rPr>
          <w:rFonts w:hint="eastAsia" w:ascii="宋体" w:hAnsi="宋体" w:cs="宋体"/>
          <w:highlight w:val="none"/>
        </w:rPr>
        <w:t>6.3.1 评标委员会按照第三章“评标办法”规定的方法、评审因素、标准和程序对投标文件进行评审。第三章“评标办法”没有规定的方法、评审因素和标准，不作为评标依据。</w:t>
      </w:r>
    </w:p>
    <w:p w14:paraId="3B5B92A2">
      <w:pPr>
        <w:spacing w:line="360" w:lineRule="auto"/>
        <w:ind w:firstLine="420" w:firstLineChars="200"/>
        <w:rPr>
          <w:rFonts w:ascii="宋体" w:hAnsi="宋体" w:cs="宋体"/>
          <w:highlight w:val="none"/>
        </w:rPr>
      </w:pPr>
      <w:r>
        <w:rPr>
          <w:rFonts w:hint="eastAsia" w:ascii="宋体" w:hAnsi="宋体" w:cs="宋体"/>
          <w:highlight w:val="none"/>
        </w:rPr>
        <w:t>6.3.2 评标完成后，评标委员会应向招标人提交书面评标报告和中标候选人名单。评标委员会推荐中标</w:t>
      </w:r>
      <w:bookmarkStart w:id="162" w:name="_Toc247513982"/>
      <w:bookmarkStart w:id="163" w:name="_Toc352691502"/>
      <w:bookmarkStart w:id="164" w:name="_Toc12259"/>
      <w:bookmarkStart w:id="165" w:name="_Toc361508615"/>
      <w:bookmarkStart w:id="166" w:name="_Toc152042334"/>
      <w:bookmarkStart w:id="167" w:name="_Toc152045558"/>
      <w:bookmarkStart w:id="168" w:name="_Toc247527583"/>
      <w:bookmarkStart w:id="169" w:name="_Toc300834979"/>
      <w:bookmarkStart w:id="170" w:name="_Toc144974526"/>
      <w:bookmarkStart w:id="171" w:name="_Toc369531546"/>
      <w:bookmarkStart w:id="172" w:name="_Toc384308240"/>
      <w:r>
        <w:rPr>
          <w:rFonts w:hint="eastAsia" w:ascii="宋体" w:hAnsi="宋体" w:cs="宋体"/>
          <w:highlight w:val="none"/>
        </w:rPr>
        <w:t>候选人的人数见投标人须知前附</w:t>
      </w:r>
      <w:bookmarkEnd w:id="162"/>
      <w:bookmarkEnd w:id="163"/>
      <w:bookmarkEnd w:id="164"/>
      <w:bookmarkEnd w:id="165"/>
      <w:bookmarkEnd w:id="166"/>
      <w:bookmarkEnd w:id="167"/>
      <w:bookmarkEnd w:id="168"/>
      <w:bookmarkEnd w:id="169"/>
      <w:bookmarkEnd w:id="170"/>
      <w:bookmarkEnd w:id="171"/>
      <w:bookmarkEnd w:id="172"/>
      <w:r>
        <w:rPr>
          <w:rFonts w:hint="eastAsia" w:ascii="宋体" w:hAnsi="宋体" w:cs="宋体"/>
          <w:highlight w:val="none"/>
        </w:rPr>
        <w:t>表。</w:t>
      </w:r>
    </w:p>
    <w:p w14:paraId="59287388">
      <w:pPr>
        <w:spacing w:line="360" w:lineRule="auto"/>
        <w:ind w:firstLine="420" w:firstLineChars="200"/>
        <w:rPr>
          <w:rFonts w:ascii="宋体" w:hAnsi="宋体" w:cs="宋体"/>
          <w:highlight w:val="none"/>
        </w:rPr>
      </w:pPr>
      <w:r>
        <w:rPr>
          <w:rFonts w:hint="eastAsia" w:ascii="宋体" w:hAnsi="宋体" w:cs="宋体"/>
          <w:highlight w:val="none"/>
        </w:rPr>
        <w:t>6.3.3评标委员会应当根据《中华人民共和国招标投标实施条例》第三十九条、第四十条、第四十一条的有关规定，对在评标过程中发现的投标人与投标人之间、投标人与招标人之间存在的串通投标的情形进行评审和认定；存在串通投标情形的，评标委员会应当予以否决其投标。投标人以他人名义投标、以行贿手段谋取中标，或者投标弄虚作假的，评标委员会应当否决其投标。</w:t>
      </w:r>
    </w:p>
    <w:p w14:paraId="26D74285">
      <w:pPr>
        <w:pStyle w:val="3"/>
        <w:spacing w:before="0" w:after="0" w:line="360" w:lineRule="auto"/>
        <w:ind w:firstLine="420" w:firstLineChars="200"/>
        <w:rPr>
          <w:rFonts w:ascii="宋体" w:hAnsi="宋体" w:cs="宋体"/>
          <w:b w:val="0"/>
          <w:sz w:val="21"/>
          <w:szCs w:val="21"/>
          <w:highlight w:val="none"/>
        </w:rPr>
      </w:pPr>
      <w:bookmarkStart w:id="173" w:name="_Toc234832910"/>
      <w:bookmarkStart w:id="174" w:name="_Toc517787543"/>
      <w:r>
        <w:rPr>
          <w:rFonts w:hint="eastAsia" w:ascii="宋体" w:hAnsi="宋体" w:cs="宋体"/>
          <w:b w:val="0"/>
          <w:sz w:val="21"/>
          <w:szCs w:val="21"/>
          <w:highlight w:val="none"/>
        </w:rPr>
        <w:t>7. 合同授予</w:t>
      </w:r>
      <w:bookmarkEnd w:id="173"/>
      <w:bookmarkEnd w:id="174"/>
    </w:p>
    <w:p w14:paraId="6B61977B">
      <w:pPr>
        <w:pStyle w:val="3"/>
        <w:spacing w:before="0" w:after="0" w:line="360" w:lineRule="auto"/>
        <w:ind w:firstLine="420" w:firstLineChars="200"/>
        <w:rPr>
          <w:rFonts w:ascii="宋体" w:hAnsi="宋体" w:cs="宋体"/>
          <w:b w:val="0"/>
          <w:sz w:val="21"/>
          <w:szCs w:val="21"/>
          <w:highlight w:val="none"/>
        </w:rPr>
      </w:pPr>
      <w:bookmarkStart w:id="175" w:name="_Toc517787544"/>
      <w:bookmarkStart w:id="176" w:name="_Toc234832911"/>
      <w:r>
        <w:rPr>
          <w:rFonts w:hint="eastAsia" w:ascii="宋体" w:hAnsi="宋体" w:cs="宋体"/>
          <w:b w:val="0"/>
          <w:sz w:val="21"/>
          <w:szCs w:val="21"/>
          <w:highlight w:val="none"/>
        </w:rPr>
        <w:t>7.1 中标候选人公示</w:t>
      </w:r>
      <w:bookmarkEnd w:id="175"/>
    </w:p>
    <w:p w14:paraId="14E30ED0">
      <w:pPr>
        <w:spacing w:line="360" w:lineRule="auto"/>
        <w:ind w:firstLine="420" w:firstLineChars="200"/>
        <w:rPr>
          <w:rFonts w:ascii="宋体" w:hAnsi="宋体" w:cs="宋体"/>
          <w:highlight w:val="none"/>
        </w:rPr>
      </w:pPr>
      <w:r>
        <w:rPr>
          <w:rFonts w:hint="eastAsia" w:ascii="宋体" w:hAnsi="宋体" w:cs="宋体"/>
          <w:highlight w:val="none"/>
        </w:rPr>
        <w:t>招标人在收到评标报告之日起3日内，按照投标人须知前附表规定的公示媒介和期限公示中标候选人，公示期不得少于3日，公示内容包括：</w:t>
      </w:r>
    </w:p>
    <w:p w14:paraId="7791B082">
      <w:pPr>
        <w:spacing w:line="360" w:lineRule="auto"/>
        <w:ind w:firstLine="420" w:firstLineChars="200"/>
        <w:rPr>
          <w:rFonts w:ascii="宋体" w:hAnsi="宋体" w:cs="宋体"/>
          <w:highlight w:val="none"/>
        </w:rPr>
      </w:pPr>
      <w:r>
        <w:rPr>
          <w:rFonts w:hint="eastAsia" w:ascii="宋体" w:hAnsi="宋体" w:cs="宋体"/>
          <w:highlight w:val="none"/>
        </w:rPr>
        <w:t>（1）中标候选人排序、名称、投标报价；</w:t>
      </w:r>
    </w:p>
    <w:p w14:paraId="5D959B88">
      <w:pPr>
        <w:spacing w:line="360" w:lineRule="auto"/>
        <w:ind w:firstLine="420" w:firstLineChars="200"/>
        <w:rPr>
          <w:rFonts w:ascii="宋体" w:hAnsi="宋体" w:cs="宋体"/>
          <w:highlight w:val="none"/>
        </w:rPr>
      </w:pPr>
      <w:r>
        <w:rPr>
          <w:rFonts w:hint="eastAsia" w:ascii="宋体" w:hAnsi="宋体" w:cs="宋体"/>
          <w:highlight w:val="none"/>
        </w:rPr>
        <w:t>（2）中标候选人在投标文件中承诺的项目经理姓名；</w:t>
      </w:r>
    </w:p>
    <w:p w14:paraId="0ECCE928">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3</w:t>
      </w:r>
      <w:r>
        <w:rPr>
          <w:rFonts w:hint="eastAsia" w:ascii="宋体" w:hAnsi="宋体" w:cs="宋体"/>
          <w:highlight w:val="none"/>
        </w:rPr>
        <w:t>）被否决投标的投标人名称、否决依据和原因；</w:t>
      </w:r>
    </w:p>
    <w:p w14:paraId="5C814DE3">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4</w:t>
      </w:r>
      <w:r>
        <w:rPr>
          <w:rFonts w:hint="eastAsia" w:ascii="宋体" w:hAnsi="宋体" w:cs="宋体"/>
          <w:highlight w:val="none"/>
        </w:rPr>
        <w:t>）提出异议的渠道和方式；</w:t>
      </w:r>
    </w:p>
    <w:p w14:paraId="231256FA">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5</w:t>
      </w:r>
      <w:r>
        <w:rPr>
          <w:rFonts w:hint="eastAsia" w:ascii="宋体" w:hAnsi="宋体" w:cs="宋体"/>
          <w:highlight w:val="none"/>
        </w:rPr>
        <w:t>）各投标人的最终总得分；</w:t>
      </w:r>
    </w:p>
    <w:p w14:paraId="36A80F87">
      <w:pPr>
        <w:spacing w:line="360" w:lineRule="auto"/>
        <w:ind w:firstLine="420" w:firstLineChars="20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6</w:t>
      </w:r>
      <w:r>
        <w:rPr>
          <w:rFonts w:hint="eastAsia" w:ascii="宋体" w:hAnsi="宋体" w:cs="宋体"/>
          <w:highlight w:val="none"/>
        </w:rPr>
        <w:t>）投标人须知前附表规定公示的其他内容。</w:t>
      </w:r>
    </w:p>
    <w:p w14:paraId="2D7E0D10">
      <w:pPr>
        <w:pStyle w:val="3"/>
        <w:spacing w:before="0" w:after="0" w:line="360" w:lineRule="auto"/>
        <w:ind w:firstLine="420" w:firstLineChars="200"/>
        <w:rPr>
          <w:rFonts w:ascii="宋体" w:hAnsi="宋体" w:cs="宋体"/>
          <w:b w:val="0"/>
          <w:sz w:val="21"/>
          <w:szCs w:val="21"/>
          <w:highlight w:val="none"/>
        </w:rPr>
      </w:pPr>
      <w:bookmarkStart w:id="177" w:name="_Toc517787545"/>
      <w:r>
        <w:rPr>
          <w:rFonts w:hint="eastAsia" w:ascii="宋体" w:hAnsi="宋体" w:cs="宋体"/>
          <w:b w:val="0"/>
          <w:sz w:val="21"/>
          <w:szCs w:val="21"/>
          <w:highlight w:val="none"/>
        </w:rPr>
        <w:t>7.2 评标结果异议</w:t>
      </w:r>
      <w:bookmarkEnd w:id="177"/>
    </w:p>
    <w:p w14:paraId="7010E643">
      <w:pPr>
        <w:spacing w:line="360" w:lineRule="auto"/>
        <w:ind w:firstLine="420" w:firstLineChars="200"/>
        <w:rPr>
          <w:rFonts w:ascii="宋体" w:hAnsi="宋体" w:cs="宋体"/>
          <w:highlight w:val="none"/>
        </w:rPr>
      </w:pPr>
      <w:r>
        <w:rPr>
          <w:rFonts w:hint="eastAsia" w:ascii="宋体" w:hAnsi="宋体" w:cs="宋体"/>
          <w:highlight w:val="none"/>
        </w:rPr>
        <w:t>投标人或其他利害关系人对依法必须进行招标的项目的评标结果有异议的，应在中标候选人公示期间提出。招标人将在收到异议之日起3日内作出答复；作出答复前，将暂停招标投标活动。</w:t>
      </w:r>
    </w:p>
    <w:p w14:paraId="644B355B">
      <w:pPr>
        <w:pStyle w:val="3"/>
        <w:spacing w:before="0" w:after="0" w:line="360" w:lineRule="auto"/>
        <w:ind w:firstLine="420" w:firstLineChars="200"/>
        <w:rPr>
          <w:rFonts w:ascii="宋体" w:hAnsi="宋体" w:cs="宋体"/>
          <w:b w:val="0"/>
          <w:sz w:val="21"/>
          <w:szCs w:val="21"/>
          <w:highlight w:val="none"/>
        </w:rPr>
      </w:pPr>
      <w:bookmarkStart w:id="178" w:name="_Toc517787546"/>
      <w:r>
        <w:rPr>
          <w:rFonts w:hint="eastAsia" w:ascii="宋体" w:hAnsi="宋体" w:cs="宋体"/>
          <w:b w:val="0"/>
          <w:sz w:val="21"/>
          <w:szCs w:val="21"/>
          <w:highlight w:val="none"/>
        </w:rPr>
        <w:t>7.3 中标候选人履约能力审查</w:t>
      </w:r>
      <w:bookmarkEnd w:id="178"/>
    </w:p>
    <w:p w14:paraId="44A158EE">
      <w:pPr>
        <w:spacing w:line="360" w:lineRule="auto"/>
        <w:ind w:firstLine="420" w:firstLineChars="200"/>
        <w:rPr>
          <w:rFonts w:ascii="宋体" w:hAnsi="宋体" w:cs="宋体"/>
          <w:highlight w:val="none"/>
        </w:rPr>
      </w:pPr>
      <w:r>
        <w:rPr>
          <w:rFonts w:hint="eastAsia" w:ascii="宋体" w:hAnsi="宋体" w:cs="宋体"/>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26D139A0">
      <w:pPr>
        <w:pStyle w:val="3"/>
        <w:spacing w:before="0" w:after="0" w:line="360" w:lineRule="auto"/>
        <w:ind w:firstLine="420" w:firstLineChars="200"/>
        <w:rPr>
          <w:rFonts w:ascii="宋体" w:hAnsi="宋体" w:cs="宋体"/>
          <w:b w:val="0"/>
          <w:sz w:val="21"/>
          <w:szCs w:val="21"/>
          <w:highlight w:val="none"/>
        </w:rPr>
      </w:pPr>
      <w:bookmarkStart w:id="179" w:name="_Toc517787547"/>
      <w:r>
        <w:rPr>
          <w:rFonts w:hint="eastAsia" w:ascii="宋体" w:hAnsi="宋体" w:cs="宋体"/>
          <w:b w:val="0"/>
          <w:sz w:val="21"/>
          <w:szCs w:val="21"/>
          <w:highlight w:val="none"/>
        </w:rPr>
        <w:t>7.4 定标</w:t>
      </w:r>
      <w:bookmarkEnd w:id="176"/>
      <w:bookmarkEnd w:id="179"/>
    </w:p>
    <w:p w14:paraId="0DC97E4F">
      <w:pPr>
        <w:spacing w:line="360" w:lineRule="auto"/>
        <w:ind w:firstLine="420" w:firstLineChars="200"/>
        <w:rPr>
          <w:rFonts w:ascii="宋体" w:hAnsi="宋体" w:cs="宋体"/>
          <w:highlight w:val="none"/>
        </w:rPr>
      </w:pPr>
      <w:r>
        <w:rPr>
          <w:rFonts w:hint="eastAsia" w:ascii="宋体" w:hAnsi="宋体" w:cs="宋体"/>
          <w:highlight w:val="none"/>
        </w:rPr>
        <w:t>按照投标人须知前附表的规定，招标人或招标人授权的评标委员会依法确定中标人。</w:t>
      </w:r>
    </w:p>
    <w:p w14:paraId="4E6449BB">
      <w:pPr>
        <w:pStyle w:val="3"/>
        <w:spacing w:before="0" w:after="0" w:line="360" w:lineRule="auto"/>
        <w:ind w:firstLine="420" w:firstLineChars="200"/>
        <w:rPr>
          <w:rFonts w:ascii="宋体" w:hAnsi="宋体" w:cs="宋体"/>
          <w:b w:val="0"/>
          <w:sz w:val="21"/>
          <w:szCs w:val="21"/>
          <w:highlight w:val="none"/>
        </w:rPr>
      </w:pPr>
      <w:bookmarkStart w:id="180" w:name="_Toc234832912"/>
      <w:bookmarkStart w:id="181" w:name="_Toc517787548"/>
      <w:r>
        <w:rPr>
          <w:rFonts w:hint="eastAsia" w:ascii="宋体" w:hAnsi="宋体" w:cs="宋体"/>
          <w:b w:val="0"/>
          <w:sz w:val="21"/>
          <w:szCs w:val="21"/>
          <w:highlight w:val="none"/>
        </w:rPr>
        <w:t>7.5 中标通知</w:t>
      </w:r>
      <w:bookmarkEnd w:id="180"/>
      <w:bookmarkEnd w:id="181"/>
    </w:p>
    <w:p w14:paraId="5325D25C">
      <w:pPr>
        <w:spacing w:line="360" w:lineRule="auto"/>
        <w:ind w:firstLine="420" w:firstLineChars="200"/>
        <w:rPr>
          <w:rFonts w:ascii="宋体" w:hAnsi="宋体" w:cs="宋体"/>
          <w:highlight w:val="none"/>
        </w:rPr>
      </w:pPr>
      <w:r>
        <w:rPr>
          <w:rFonts w:hint="eastAsia" w:ascii="宋体" w:hAnsi="宋体" w:cs="宋体"/>
          <w:highlight w:val="none"/>
        </w:rPr>
        <w:t>在本章第3.3款规定的投标有效期内，招标人以投标人须知前附表规定的形式向中标人发出中标通知书，同时将中标结果通知未中标的投标人。</w:t>
      </w:r>
    </w:p>
    <w:p w14:paraId="5CE8F1E5">
      <w:pPr>
        <w:pStyle w:val="3"/>
        <w:spacing w:before="0" w:after="0" w:line="360" w:lineRule="auto"/>
        <w:ind w:firstLine="420" w:firstLineChars="200"/>
        <w:rPr>
          <w:rFonts w:ascii="宋体" w:hAnsi="宋体" w:cs="宋体"/>
          <w:b w:val="0"/>
          <w:sz w:val="21"/>
          <w:szCs w:val="21"/>
          <w:highlight w:val="none"/>
        </w:rPr>
      </w:pPr>
      <w:bookmarkStart w:id="182" w:name="_Toc234832913"/>
      <w:bookmarkStart w:id="183" w:name="_Toc517787550"/>
      <w:r>
        <w:rPr>
          <w:rFonts w:hint="eastAsia" w:ascii="宋体" w:hAnsi="宋体" w:cs="宋体"/>
          <w:b w:val="0"/>
          <w:sz w:val="21"/>
          <w:szCs w:val="21"/>
          <w:highlight w:val="none"/>
        </w:rPr>
        <w:t>7.6履约</w:t>
      </w:r>
      <w:bookmarkEnd w:id="182"/>
      <w:r>
        <w:rPr>
          <w:rFonts w:hint="eastAsia" w:ascii="宋体" w:hAnsi="宋体" w:cs="宋体"/>
          <w:b w:val="0"/>
          <w:sz w:val="21"/>
          <w:szCs w:val="21"/>
          <w:highlight w:val="none"/>
        </w:rPr>
        <w:t>保证金</w:t>
      </w:r>
      <w:bookmarkEnd w:id="183"/>
    </w:p>
    <w:p w14:paraId="708E0467">
      <w:pPr>
        <w:spacing w:line="360" w:lineRule="auto"/>
        <w:ind w:firstLine="420" w:firstLineChars="200"/>
        <w:rPr>
          <w:rFonts w:ascii="宋体" w:hAnsi="宋体" w:cs="宋体"/>
          <w:highlight w:val="none"/>
        </w:rPr>
      </w:pPr>
      <w:r>
        <w:rPr>
          <w:rFonts w:hint="eastAsia" w:ascii="宋体" w:hAnsi="宋体" w:cs="宋体"/>
          <w:highlight w:val="none"/>
        </w:rPr>
        <w:t>7.6.1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5%。联合体中标的，其履约保证金以联合体各方或联合体中牵头人的名义提交。</w:t>
      </w:r>
    </w:p>
    <w:p w14:paraId="613F90D4">
      <w:pPr>
        <w:spacing w:line="360" w:lineRule="auto"/>
        <w:ind w:firstLine="420" w:firstLineChars="200"/>
        <w:rPr>
          <w:rFonts w:ascii="宋体" w:hAnsi="宋体" w:cs="宋体"/>
          <w:highlight w:val="none"/>
        </w:rPr>
      </w:pPr>
      <w:r>
        <w:rPr>
          <w:rFonts w:hint="eastAsia" w:ascii="宋体" w:hAnsi="宋体" w:cs="宋体"/>
          <w:highlight w:val="none"/>
        </w:rPr>
        <w:t>采用银行保函时，应由符合投标人须知前附表规定级别的银行开具，所需的费用由中标人承担，中标人应保证银行保函有效。</w:t>
      </w:r>
    </w:p>
    <w:p w14:paraId="34E12FB8">
      <w:pPr>
        <w:spacing w:line="360" w:lineRule="auto"/>
        <w:ind w:firstLine="420" w:firstLineChars="200"/>
        <w:rPr>
          <w:rFonts w:ascii="宋体" w:hAnsi="宋体" w:cs="宋体"/>
          <w:highlight w:val="none"/>
        </w:rPr>
      </w:pPr>
      <w:r>
        <w:rPr>
          <w:rFonts w:hint="eastAsia" w:ascii="宋体" w:hAnsi="宋体" w:cs="宋体"/>
          <w:highlight w:val="none"/>
        </w:rPr>
        <w:t>7.6.2 中标人不能按本章第7.7.1项要求提交履约保证金的，视为放弃中标，其投标保证金不予退还，给招标人造成的损失超过投标保证金数额的，中标人还应对超过部分予以赔偿。</w:t>
      </w:r>
    </w:p>
    <w:p w14:paraId="45D31BCD">
      <w:pPr>
        <w:pStyle w:val="3"/>
        <w:spacing w:before="0" w:after="0" w:line="360" w:lineRule="auto"/>
        <w:ind w:firstLine="420" w:firstLineChars="200"/>
        <w:rPr>
          <w:rFonts w:ascii="宋体" w:hAnsi="宋体" w:cs="宋体"/>
          <w:b w:val="0"/>
          <w:sz w:val="21"/>
          <w:szCs w:val="21"/>
          <w:highlight w:val="none"/>
        </w:rPr>
      </w:pPr>
      <w:bookmarkStart w:id="184" w:name="_Toc234832914"/>
      <w:bookmarkStart w:id="185" w:name="_Toc517787551"/>
      <w:r>
        <w:rPr>
          <w:rFonts w:hint="eastAsia" w:ascii="宋体" w:hAnsi="宋体" w:cs="宋体"/>
          <w:b w:val="0"/>
          <w:sz w:val="21"/>
          <w:szCs w:val="21"/>
          <w:highlight w:val="none"/>
        </w:rPr>
        <w:t>7.7 签订合同</w:t>
      </w:r>
      <w:bookmarkEnd w:id="184"/>
      <w:bookmarkEnd w:id="185"/>
    </w:p>
    <w:p w14:paraId="3675FAB2">
      <w:pPr>
        <w:spacing w:line="360" w:lineRule="auto"/>
        <w:ind w:firstLine="420" w:firstLineChars="200"/>
        <w:rPr>
          <w:rFonts w:ascii="宋体" w:hAnsi="宋体" w:cs="宋体"/>
          <w:highlight w:val="none"/>
        </w:rPr>
      </w:pPr>
      <w:r>
        <w:rPr>
          <w:rFonts w:hint="eastAsia" w:ascii="宋体" w:hAnsi="宋体" w:cs="宋体"/>
          <w:highlight w:val="none"/>
        </w:rPr>
        <w:t xml:space="preserve">7.7.1 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 </w:t>
      </w:r>
    </w:p>
    <w:p w14:paraId="0D8C5DD2">
      <w:pPr>
        <w:spacing w:line="360" w:lineRule="auto"/>
        <w:ind w:firstLine="420" w:firstLineChars="200"/>
        <w:rPr>
          <w:rFonts w:ascii="宋体" w:hAnsi="宋体" w:cs="宋体"/>
          <w:highlight w:val="none"/>
        </w:rPr>
      </w:pPr>
      <w:r>
        <w:rPr>
          <w:rFonts w:hint="eastAsia" w:ascii="宋体" w:hAnsi="宋体" w:cs="宋体"/>
          <w:highlight w:val="none"/>
        </w:rPr>
        <w:t>7.7.2 发出中标通知书后，招标人无正当理由拒签合同，或在签订合同时向中标人提出附加条件的，招标人向中标人退还投标保证金；给中标人造成损失的，还应赔偿损失。</w:t>
      </w:r>
    </w:p>
    <w:p w14:paraId="29D7EE62">
      <w:pPr>
        <w:spacing w:line="360" w:lineRule="auto"/>
        <w:ind w:firstLine="420" w:firstLineChars="200"/>
        <w:rPr>
          <w:rFonts w:ascii="宋体" w:hAnsi="宋体" w:cs="宋体"/>
          <w:highlight w:val="none"/>
        </w:rPr>
      </w:pPr>
      <w:r>
        <w:rPr>
          <w:rFonts w:hint="eastAsia" w:ascii="宋体" w:hAnsi="宋体" w:cs="宋体"/>
          <w:highlight w:val="none"/>
        </w:rPr>
        <w:t>7.7.3 签约合同价为中标人的投标文件中投标函大写金额报价。</w:t>
      </w:r>
    </w:p>
    <w:p w14:paraId="6E68B778">
      <w:pPr>
        <w:spacing w:line="360" w:lineRule="auto"/>
        <w:ind w:firstLine="420" w:firstLineChars="200"/>
        <w:rPr>
          <w:rFonts w:ascii="宋体" w:hAnsi="宋体" w:cs="宋体"/>
          <w:highlight w:val="none"/>
        </w:rPr>
      </w:pPr>
      <w:r>
        <w:rPr>
          <w:rFonts w:hint="eastAsia" w:ascii="宋体" w:hAnsi="宋体" w:cs="宋体"/>
          <w:highlight w:val="none"/>
        </w:rPr>
        <w:t>7.7.4 联合体中标的，联合体各方应共同与招标人签订合同，就中标项目向招标人承担连带责任。</w:t>
      </w:r>
    </w:p>
    <w:p w14:paraId="48058521">
      <w:pPr>
        <w:spacing w:line="360" w:lineRule="auto"/>
        <w:ind w:firstLine="420" w:firstLineChars="200"/>
        <w:rPr>
          <w:rFonts w:ascii="宋体" w:hAnsi="宋体" w:cs="宋体"/>
          <w:highlight w:val="none"/>
        </w:rPr>
      </w:pPr>
      <w:r>
        <w:rPr>
          <w:rFonts w:hint="eastAsia" w:ascii="宋体" w:hAnsi="宋体" w:cs="宋体"/>
          <w:highlight w:val="none"/>
        </w:rPr>
        <w:t>7.7.5 招标人和中标人在签订合同协议书的同时，须按照本招标文件规定的格式和要求签订廉政合同及安全生产合同，明确双方在廉政建设和安全生产方面的权利和义务以及应承担的违约责任。</w:t>
      </w:r>
    </w:p>
    <w:p w14:paraId="2F83DB80">
      <w:pPr>
        <w:pStyle w:val="3"/>
        <w:spacing w:before="0" w:after="0" w:line="360" w:lineRule="auto"/>
        <w:ind w:firstLine="420" w:firstLineChars="200"/>
        <w:rPr>
          <w:rFonts w:ascii="宋体" w:hAnsi="宋体" w:cs="宋体"/>
          <w:b w:val="0"/>
          <w:sz w:val="21"/>
          <w:szCs w:val="21"/>
          <w:highlight w:val="none"/>
        </w:rPr>
      </w:pPr>
      <w:bookmarkStart w:id="186" w:name="_Toc517787552"/>
      <w:bookmarkStart w:id="187" w:name="_Toc234832918"/>
      <w:r>
        <w:rPr>
          <w:rFonts w:hint="eastAsia" w:ascii="宋体" w:hAnsi="宋体" w:cs="宋体"/>
          <w:b w:val="0"/>
          <w:sz w:val="21"/>
          <w:szCs w:val="21"/>
          <w:highlight w:val="none"/>
        </w:rPr>
        <w:t>8. 纪律和监督</w:t>
      </w:r>
      <w:bookmarkEnd w:id="186"/>
      <w:bookmarkEnd w:id="187"/>
    </w:p>
    <w:p w14:paraId="11AB8B2E">
      <w:pPr>
        <w:pStyle w:val="3"/>
        <w:spacing w:before="0" w:after="0" w:line="360" w:lineRule="auto"/>
        <w:ind w:firstLine="420" w:firstLineChars="200"/>
        <w:rPr>
          <w:rFonts w:ascii="宋体" w:hAnsi="宋体" w:cs="宋体"/>
          <w:b w:val="0"/>
          <w:sz w:val="21"/>
          <w:szCs w:val="21"/>
          <w:highlight w:val="none"/>
        </w:rPr>
      </w:pPr>
      <w:bookmarkStart w:id="188" w:name="_Toc517787553"/>
      <w:bookmarkStart w:id="189" w:name="_Toc234832919"/>
      <w:r>
        <w:rPr>
          <w:rFonts w:hint="eastAsia" w:ascii="宋体" w:hAnsi="宋体" w:cs="宋体"/>
          <w:b w:val="0"/>
          <w:sz w:val="21"/>
          <w:szCs w:val="21"/>
          <w:highlight w:val="none"/>
        </w:rPr>
        <w:t>8.1 对招标人的纪律要求</w:t>
      </w:r>
      <w:bookmarkEnd w:id="188"/>
      <w:bookmarkEnd w:id="189"/>
    </w:p>
    <w:p w14:paraId="298BF98F">
      <w:pPr>
        <w:spacing w:line="360" w:lineRule="auto"/>
        <w:ind w:firstLine="420" w:firstLineChars="200"/>
        <w:rPr>
          <w:rFonts w:ascii="宋体" w:hAnsi="宋体" w:cs="宋体"/>
          <w:highlight w:val="none"/>
        </w:rPr>
      </w:pPr>
      <w:r>
        <w:rPr>
          <w:rFonts w:hint="eastAsia" w:ascii="宋体" w:hAnsi="宋体" w:cs="宋体"/>
          <w:highlight w:val="none"/>
        </w:rPr>
        <w:t>招标人不得泄露招标投标活动中应保密的情况和资料，不得与投标人串通损害国家利益、社会公共利益或他人合法权益。</w:t>
      </w:r>
    </w:p>
    <w:p w14:paraId="57CC6706">
      <w:pPr>
        <w:pStyle w:val="3"/>
        <w:spacing w:before="0" w:after="0" w:line="360" w:lineRule="auto"/>
        <w:ind w:firstLine="420" w:firstLineChars="200"/>
        <w:rPr>
          <w:rFonts w:ascii="宋体" w:hAnsi="宋体" w:cs="宋体"/>
          <w:b w:val="0"/>
          <w:sz w:val="21"/>
          <w:szCs w:val="21"/>
          <w:highlight w:val="none"/>
        </w:rPr>
      </w:pPr>
      <w:bookmarkStart w:id="190" w:name="_Toc234832920"/>
      <w:bookmarkStart w:id="191" w:name="_Toc517787554"/>
      <w:r>
        <w:rPr>
          <w:rFonts w:hint="eastAsia" w:ascii="宋体" w:hAnsi="宋体" w:cs="宋体"/>
          <w:b w:val="0"/>
          <w:sz w:val="21"/>
          <w:szCs w:val="21"/>
          <w:highlight w:val="none"/>
        </w:rPr>
        <w:t>8.2 对投标人的纪律要求</w:t>
      </w:r>
      <w:bookmarkEnd w:id="190"/>
      <w:bookmarkEnd w:id="191"/>
    </w:p>
    <w:p w14:paraId="18C444DE">
      <w:pPr>
        <w:spacing w:line="360" w:lineRule="auto"/>
        <w:ind w:firstLine="420" w:firstLineChars="200"/>
        <w:rPr>
          <w:rFonts w:ascii="宋体" w:hAnsi="宋体" w:cs="宋体"/>
          <w:highlight w:val="none"/>
        </w:rPr>
      </w:pPr>
      <w:r>
        <w:rPr>
          <w:rFonts w:hint="eastAsia" w:ascii="宋体" w:hAnsi="宋体" w:cs="宋体"/>
          <w:highlight w:val="none"/>
        </w:rPr>
        <w:t>投标人不得相互串通投标或与招标人串通投标，不得向招标人或评标委员会成员行贿谋取中标，不得以他人名义投标或以其他方式弄虚作假骗取中标；投标人不得以任何方式干扰、影响评标工作。</w:t>
      </w:r>
    </w:p>
    <w:p w14:paraId="539627C9">
      <w:pPr>
        <w:pStyle w:val="3"/>
        <w:spacing w:before="0" w:after="0" w:line="360" w:lineRule="auto"/>
        <w:ind w:firstLine="420" w:firstLineChars="200"/>
        <w:rPr>
          <w:rFonts w:ascii="宋体" w:hAnsi="宋体" w:cs="宋体"/>
          <w:b w:val="0"/>
          <w:sz w:val="21"/>
          <w:szCs w:val="21"/>
          <w:highlight w:val="none"/>
        </w:rPr>
      </w:pPr>
      <w:bookmarkStart w:id="192" w:name="_Toc517787555"/>
      <w:bookmarkStart w:id="193" w:name="_Toc234832921"/>
      <w:r>
        <w:rPr>
          <w:rFonts w:hint="eastAsia" w:ascii="宋体" w:hAnsi="宋体" w:cs="宋体"/>
          <w:b w:val="0"/>
          <w:sz w:val="21"/>
          <w:szCs w:val="21"/>
          <w:highlight w:val="none"/>
        </w:rPr>
        <w:t>8.3 对评标委员会成员的纪律要求</w:t>
      </w:r>
      <w:bookmarkEnd w:id="192"/>
      <w:bookmarkEnd w:id="193"/>
    </w:p>
    <w:p w14:paraId="3C3ACBD1">
      <w:pPr>
        <w:spacing w:line="360" w:lineRule="auto"/>
        <w:ind w:firstLine="420" w:firstLineChars="200"/>
        <w:rPr>
          <w:rFonts w:ascii="宋体" w:hAnsi="宋体" w:cs="宋体"/>
          <w:highlight w:val="none"/>
        </w:rPr>
      </w:pPr>
      <w:r>
        <w:rPr>
          <w:rFonts w:hint="eastAsia" w:ascii="宋体" w:hAnsi="宋体" w:cs="宋体"/>
          <w:highlight w:val="none"/>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14:paraId="61CE7725">
      <w:pPr>
        <w:pStyle w:val="3"/>
        <w:spacing w:before="0" w:after="0" w:line="360" w:lineRule="auto"/>
        <w:ind w:firstLine="420" w:firstLineChars="200"/>
        <w:rPr>
          <w:rFonts w:ascii="宋体" w:hAnsi="宋体" w:cs="宋体"/>
          <w:b w:val="0"/>
          <w:sz w:val="21"/>
          <w:szCs w:val="21"/>
          <w:highlight w:val="none"/>
        </w:rPr>
      </w:pPr>
      <w:bookmarkStart w:id="194" w:name="_Toc234832922"/>
      <w:bookmarkStart w:id="195" w:name="_Toc517787556"/>
      <w:r>
        <w:rPr>
          <w:rFonts w:hint="eastAsia" w:ascii="宋体" w:hAnsi="宋体" w:cs="宋体"/>
          <w:b w:val="0"/>
          <w:sz w:val="21"/>
          <w:szCs w:val="21"/>
          <w:highlight w:val="none"/>
        </w:rPr>
        <w:t>8.4 对与评标活动有关的工作人员的纪律要求</w:t>
      </w:r>
      <w:bookmarkEnd w:id="194"/>
      <w:bookmarkEnd w:id="195"/>
    </w:p>
    <w:p w14:paraId="531F6BDD">
      <w:pPr>
        <w:spacing w:line="360" w:lineRule="auto"/>
        <w:ind w:firstLine="420" w:firstLineChars="200"/>
        <w:rPr>
          <w:rFonts w:ascii="宋体" w:hAnsi="宋体" w:cs="宋体"/>
          <w:highlight w:val="none"/>
        </w:rPr>
      </w:pPr>
      <w:r>
        <w:rPr>
          <w:rFonts w:hint="eastAsia" w:ascii="宋体" w:hAnsi="宋体" w:cs="宋体"/>
          <w:highlight w:val="none"/>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14:paraId="202AB8FB">
      <w:pPr>
        <w:pStyle w:val="3"/>
        <w:spacing w:before="0" w:after="0" w:line="360" w:lineRule="auto"/>
        <w:ind w:firstLine="420" w:firstLineChars="200"/>
        <w:rPr>
          <w:rFonts w:ascii="宋体" w:hAnsi="宋体" w:cs="宋体"/>
          <w:b w:val="0"/>
          <w:sz w:val="21"/>
          <w:szCs w:val="21"/>
          <w:highlight w:val="none"/>
        </w:rPr>
      </w:pPr>
      <w:bookmarkStart w:id="196" w:name="_Toc517787557"/>
      <w:bookmarkStart w:id="197" w:name="_Toc234832923"/>
      <w:r>
        <w:rPr>
          <w:rFonts w:hint="eastAsia" w:ascii="宋体" w:hAnsi="宋体" w:cs="宋体"/>
          <w:b w:val="0"/>
          <w:sz w:val="21"/>
          <w:szCs w:val="21"/>
          <w:highlight w:val="none"/>
        </w:rPr>
        <w:t>8.5 投诉</w:t>
      </w:r>
      <w:bookmarkEnd w:id="196"/>
      <w:bookmarkEnd w:id="197"/>
    </w:p>
    <w:p w14:paraId="7A633285">
      <w:pPr>
        <w:spacing w:line="360" w:lineRule="auto"/>
        <w:ind w:firstLine="420" w:firstLineChars="200"/>
        <w:rPr>
          <w:rFonts w:ascii="宋体" w:hAnsi="宋体" w:cs="宋体"/>
          <w:highlight w:val="none"/>
        </w:rPr>
      </w:pPr>
      <w:r>
        <w:rPr>
          <w:rFonts w:hint="eastAsia" w:ascii="宋体" w:hAnsi="宋体" w:cs="宋体"/>
          <w:highlight w:val="none"/>
        </w:rPr>
        <w:t>8.5.1 投标人或其他利害关系人认为招标投标活动不符合法律、行政法规规定的，可以自知道或应当知道之日起10日内向有关行政监督部门投诉，投诉应有明确的请求和必要的证明材料。对于按法律法规规定需要先提出异议的投诉，交通运输主管部门在受理投诉时应要求投诉人递交提出异议的证明文件，已向其他有关行政监督部门投诉的，应当一并说明。未按规定提出异议或者未提交已提出异议的证明文件的投诉，交通运输主管部门不予受理。</w:t>
      </w:r>
    </w:p>
    <w:p w14:paraId="5CBB1013">
      <w:pPr>
        <w:spacing w:line="360" w:lineRule="auto"/>
        <w:ind w:firstLine="420" w:firstLineChars="200"/>
        <w:rPr>
          <w:rFonts w:ascii="宋体" w:hAnsi="宋体" w:cs="宋体"/>
          <w:highlight w:val="none"/>
        </w:rPr>
      </w:pPr>
      <w:r>
        <w:rPr>
          <w:rFonts w:hint="eastAsia" w:ascii="宋体" w:hAnsi="宋体" w:cs="宋体"/>
          <w:highlight w:val="none"/>
        </w:rPr>
        <w:t>投诉处理期间，交通运输主管部门有权查阅、复制有关文件、资料，调查有关情况，相关单位和人员应当予以配合。必要时，交通运输主管部门可以责令暂停招标投标活动。投诉人缺乏事实根据或者法律依据进行投诉的，或者有证据表明投诉人捏造事实、伪造材料的，或者投诉人以非法手段取得证明材料进行投诉的，交通运输主管部门应当予以驳回，并对恶意投诉按照有关规定追究投诉人责任。</w:t>
      </w:r>
    </w:p>
    <w:p w14:paraId="6E473EB3">
      <w:pPr>
        <w:spacing w:line="360" w:lineRule="auto"/>
        <w:ind w:firstLine="420" w:firstLineChars="200"/>
        <w:rPr>
          <w:rFonts w:ascii="宋体" w:hAnsi="宋体" w:cs="宋体"/>
          <w:highlight w:val="none"/>
        </w:rPr>
      </w:pPr>
      <w:r>
        <w:rPr>
          <w:rFonts w:hint="eastAsia" w:ascii="宋体" w:hAnsi="宋体" w:cs="宋体"/>
          <w:highlight w:val="none"/>
        </w:rPr>
        <w:t>监督部门的联系方式见投标人须知前附表。</w:t>
      </w:r>
    </w:p>
    <w:p w14:paraId="40A135C5">
      <w:pPr>
        <w:spacing w:line="360" w:lineRule="auto"/>
        <w:ind w:firstLine="420" w:firstLineChars="200"/>
        <w:rPr>
          <w:rFonts w:ascii="宋体" w:hAnsi="宋体" w:cs="宋体"/>
          <w:highlight w:val="none"/>
        </w:rPr>
      </w:pPr>
      <w:r>
        <w:rPr>
          <w:rFonts w:hint="eastAsia" w:ascii="宋体" w:hAnsi="宋体" w:cs="宋体"/>
          <w:highlight w:val="none"/>
        </w:rPr>
        <w:t>8.5.2 投标人或其他利害关系人对招标文件、开标和评标结果提出投诉的，应按照本章第2.4款、第5.3款和第7.2款的规定先向招标人提出异议。异议答复期间</w:t>
      </w:r>
      <w:bookmarkStart w:id="198" w:name="_Toc369531561"/>
      <w:bookmarkStart w:id="199" w:name="_Toc144974538"/>
      <w:bookmarkStart w:id="200" w:name="_Toc12776"/>
      <w:bookmarkStart w:id="201" w:name="_Toc300834993"/>
      <w:bookmarkStart w:id="202" w:name="_Toc352691517"/>
      <w:bookmarkStart w:id="203" w:name="_Toc247527595"/>
      <w:bookmarkStart w:id="204" w:name="_Toc152042346"/>
      <w:bookmarkStart w:id="205" w:name="_Toc384308255"/>
      <w:bookmarkStart w:id="206" w:name="_Toc361508630"/>
      <w:bookmarkStart w:id="207" w:name="_Toc152045570"/>
      <w:bookmarkStart w:id="208" w:name="_Toc247513994"/>
      <w:r>
        <w:rPr>
          <w:rFonts w:hint="eastAsia" w:ascii="宋体" w:hAnsi="宋体" w:cs="宋体"/>
          <w:highlight w:val="none"/>
        </w:rPr>
        <w:t>不计算在第8.5.</w:t>
      </w:r>
      <w:bookmarkEnd w:id="198"/>
      <w:bookmarkEnd w:id="199"/>
      <w:bookmarkEnd w:id="200"/>
      <w:bookmarkEnd w:id="201"/>
      <w:bookmarkEnd w:id="202"/>
      <w:bookmarkEnd w:id="203"/>
      <w:bookmarkEnd w:id="204"/>
      <w:bookmarkEnd w:id="205"/>
      <w:bookmarkEnd w:id="206"/>
      <w:bookmarkEnd w:id="207"/>
      <w:bookmarkEnd w:id="208"/>
      <w:r>
        <w:rPr>
          <w:rFonts w:hint="eastAsia" w:ascii="宋体" w:hAnsi="宋体" w:cs="宋体"/>
          <w:highlight w:val="none"/>
        </w:rPr>
        <w:t>1项规定的期限内。</w:t>
      </w:r>
    </w:p>
    <w:p w14:paraId="7D8D6FF2">
      <w:pPr>
        <w:pStyle w:val="3"/>
        <w:spacing w:before="0" w:after="0" w:line="360" w:lineRule="auto"/>
        <w:ind w:firstLine="420" w:firstLineChars="200"/>
        <w:rPr>
          <w:rFonts w:ascii="宋体" w:hAnsi="宋体" w:cs="宋体"/>
          <w:b w:val="0"/>
          <w:sz w:val="21"/>
          <w:szCs w:val="21"/>
          <w:highlight w:val="none"/>
        </w:rPr>
      </w:pPr>
      <w:bookmarkStart w:id="209" w:name="_Toc517787558"/>
      <w:r>
        <w:rPr>
          <w:rFonts w:hint="eastAsia" w:ascii="宋体" w:hAnsi="宋体" w:cs="宋体"/>
          <w:b w:val="0"/>
          <w:sz w:val="21"/>
          <w:szCs w:val="21"/>
          <w:highlight w:val="none"/>
        </w:rPr>
        <w:t>9. 是否采用电子招标投标</w:t>
      </w:r>
      <w:bookmarkEnd w:id="209"/>
    </w:p>
    <w:p w14:paraId="7E7062BE">
      <w:pPr>
        <w:spacing w:line="360" w:lineRule="auto"/>
        <w:ind w:firstLine="420" w:firstLineChars="200"/>
        <w:rPr>
          <w:rFonts w:ascii="宋体" w:hAnsi="宋体" w:cs="宋体"/>
          <w:highlight w:val="none"/>
        </w:rPr>
      </w:pPr>
      <w:r>
        <w:rPr>
          <w:rFonts w:hint="eastAsia" w:ascii="宋体" w:hAnsi="宋体" w:cs="宋体"/>
          <w:highlight w:val="none"/>
        </w:rPr>
        <w:t>本招标项目是否采用电子招标投标方式，见投标人须知前附表。</w:t>
      </w:r>
    </w:p>
    <w:p w14:paraId="5F853CCF">
      <w:pPr>
        <w:pStyle w:val="3"/>
        <w:spacing w:before="0" w:after="0" w:line="360" w:lineRule="auto"/>
        <w:ind w:firstLine="420" w:firstLineChars="200"/>
        <w:rPr>
          <w:rFonts w:ascii="宋体" w:hAnsi="宋体" w:cs="宋体"/>
          <w:b w:val="0"/>
          <w:sz w:val="21"/>
          <w:szCs w:val="21"/>
          <w:highlight w:val="none"/>
        </w:rPr>
      </w:pPr>
      <w:bookmarkStart w:id="210" w:name="_Toc517787559"/>
      <w:bookmarkStart w:id="211" w:name="_Toc234832924"/>
      <w:r>
        <w:rPr>
          <w:rFonts w:hint="eastAsia" w:ascii="宋体" w:hAnsi="宋体" w:cs="宋体"/>
          <w:b w:val="0"/>
          <w:sz w:val="21"/>
          <w:szCs w:val="21"/>
          <w:highlight w:val="none"/>
        </w:rPr>
        <w:t>10. 需要补充的其他内容</w:t>
      </w:r>
      <w:bookmarkEnd w:id="210"/>
      <w:bookmarkEnd w:id="211"/>
    </w:p>
    <w:p w14:paraId="7C9ACF2F">
      <w:pPr>
        <w:spacing w:line="360" w:lineRule="auto"/>
        <w:ind w:firstLine="420" w:firstLineChars="200"/>
        <w:rPr>
          <w:rFonts w:ascii="宋体" w:hAnsi="宋体" w:cs="宋体"/>
          <w:highlight w:val="none"/>
        </w:rPr>
      </w:pPr>
      <w:r>
        <w:rPr>
          <w:rFonts w:hint="eastAsia" w:ascii="宋体" w:hAnsi="宋体" w:cs="宋体"/>
          <w:highlight w:val="none"/>
        </w:rPr>
        <w:t>10.1 自购买招标文件之日起，投标人应保证其提供的联系方式（电话、传真、电子邮件）一直有效，以便及时收到招标人发出的函件(招标文件的澄清、修改等)，并应及时向招标人反馈信息，否则招标人不承担由此引起的一切后果。</w:t>
      </w:r>
    </w:p>
    <w:p w14:paraId="6F41403A">
      <w:pPr>
        <w:widowControl/>
        <w:jc w:val="left"/>
        <w:rPr>
          <w:color w:val="000000" w:themeColor="text1"/>
          <w:kern w:val="44"/>
          <w:sz w:val="36"/>
          <w:szCs w:val="36"/>
          <w:highlight w:val="none"/>
          <w14:textFill>
            <w14:solidFill>
              <w14:schemeClr w14:val="tx1"/>
            </w14:solidFill>
          </w14:textFill>
        </w:rPr>
      </w:pPr>
      <w:bookmarkStart w:id="212" w:name="_Toc152042375"/>
      <w:bookmarkStart w:id="213" w:name="_Toc234744445"/>
      <w:bookmarkStart w:id="214" w:name="_Toc238559186"/>
      <w:bookmarkStart w:id="215" w:name="_Toc234675077"/>
      <w:bookmarkStart w:id="216" w:name="_Toc144974565"/>
      <w:bookmarkStart w:id="217" w:name="_Toc152045598"/>
      <w:bookmarkStart w:id="218" w:name="_Toc460366498"/>
      <w:bookmarkStart w:id="219" w:name="_Toc179632616"/>
      <w:bookmarkStart w:id="220" w:name="_Toc18877"/>
      <w:bookmarkStart w:id="221" w:name="_Toc15332"/>
      <w:bookmarkStart w:id="222" w:name="_Toc508615694"/>
      <w:bookmarkStart w:id="223" w:name="_Toc1776"/>
      <w:r>
        <w:rPr>
          <w:b/>
          <w:bCs/>
          <w:color w:val="000000" w:themeColor="text1"/>
          <w:sz w:val="36"/>
          <w:szCs w:val="36"/>
          <w:highlight w:val="none"/>
          <w14:textFill>
            <w14:solidFill>
              <w14:schemeClr w14:val="tx1"/>
            </w14:solidFill>
          </w14:textFill>
        </w:rPr>
        <w:br w:type="page"/>
      </w:r>
    </w:p>
    <w:p w14:paraId="09ABEB2F">
      <w:pPr>
        <w:pStyle w:val="3"/>
        <w:spacing w:before="120" w:beforeLines="50" w:after="120" w:afterLines="50" w:line="240" w:lineRule="auto"/>
        <w:jc w:val="center"/>
        <w:rPr>
          <w:b w:val="0"/>
          <w:bCs w:val="0"/>
          <w:color w:val="000000" w:themeColor="text1"/>
          <w:sz w:val="36"/>
          <w:szCs w:val="36"/>
          <w:highlight w:val="none"/>
          <w14:textFill>
            <w14:solidFill>
              <w14:schemeClr w14:val="tx1"/>
            </w14:solidFill>
          </w14:textFill>
        </w:rPr>
      </w:pPr>
      <w:r>
        <w:rPr>
          <w:b w:val="0"/>
          <w:bCs w:val="0"/>
          <w:color w:val="000000" w:themeColor="text1"/>
          <w:sz w:val="36"/>
          <w:szCs w:val="36"/>
          <w:highlight w:val="none"/>
          <w14:textFill>
            <w14:solidFill>
              <w14:schemeClr w14:val="tx1"/>
            </w14:solidFill>
          </w14:textFill>
        </w:rPr>
        <w:t>第</w:t>
      </w:r>
      <w:r>
        <w:rPr>
          <w:rFonts w:hint="eastAsia"/>
          <w:b w:val="0"/>
          <w:bCs w:val="0"/>
          <w:color w:val="000000" w:themeColor="text1"/>
          <w:sz w:val="36"/>
          <w:szCs w:val="36"/>
          <w:highlight w:val="none"/>
          <w:lang w:val="en-US" w:eastAsia="zh-CN"/>
          <w14:textFill>
            <w14:solidFill>
              <w14:schemeClr w14:val="tx1"/>
            </w14:solidFill>
          </w14:textFill>
        </w:rPr>
        <w:t>三</w:t>
      </w:r>
      <w:r>
        <w:rPr>
          <w:b w:val="0"/>
          <w:bCs w:val="0"/>
          <w:color w:val="000000" w:themeColor="text1"/>
          <w:sz w:val="36"/>
          <w:szCs w:val="36"/>
          <w:highlight w:val="none"/>
          <w14:textFill>
            <w14:solidFill>
              <w14:schemeClr w14:val="tx1"/>
            </w14:solidFill>
          </w14:textFill>
        </w:rPr>
        <w:t>章评标办法</w:t>
      </w:r>
      <w:bookmarkEnd w:id="212"/>
      <w:bookmarkEnd w:id="213"/>
      <w:bookmarkEnd w:id="214"/>
      <w:bookmarkEnd w:id="215"/>
      <w:bookmarkEnd w:id="216"/>
      <w:bookmarkEnd w:id="217"/>
      <w:bookmarkEnd w:id="218"/>
      <w:bookmarkEnd w:id="219"/>
      <w:r>
        <w:rPr>
          <w:rFonts w:hint="eastAsia"/>
          <w:b w:val="0"/>
          <w:bCs w:val="0"/>
          <w:color w:val="000000" w:themeColor="text1"/>
          <w:sz w:val="36"/>
          <w:szCs w:val="36"/>
          <w:highlight w:val="none"/>
          <w14:textFill>
            <w14:solidFill>
              <w14:schemeClr w14:val="tx1"/>
            </w14:solidFill>
          </w14:textFill>
        </w:rPr>
        <w:t>（合理低价法）</w:t>
      </w:r>
      <w:bookmarkEnd w:id="220"/>
      <w:bookmarkEnd w:id="221"/>
      <w:bookmarkEnd w:id="222"/>
      <w:bookmarkEnd w:id="223"/>
    </w:p>
    <w:p w14:paraId="634BDF59">
      <w:pPr>
        <w:pStyle w:val="20"/>
        <w:spacing w:before="36" w:after="120" w:afterLines="50"/>
        <w:ind w:left="-3" w:leftChars="-84" w:hanging="173" w:hangingChars="62"/>
        <w:rPr>
          <w:rFonts w:ascii="宋体" w:hAnsi="宋体" w:eastAsia="宋体"/>
          <w:highlight w:val="none"/>
        </w:rPr>
      </w:pPr>
      <w:r>
        <w:rPr>
          <w:rFonts w:hint="eastAsia" w:ascii="宋体" w:hAnsi="宋体" w:eastAsia="宋体" w:cs="宋体"/>
          <w:highlight w:val="none"/>
        </w:rPr>
        <w:t>评标办法前附表</w:t>
      </w:r>
    </w:p>
    <w:tbl>
      <w:tblPr>
        <w:tblStyle w:val="16"/>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6"/>
        <w:gridCol w:w="1165"/>
        <w:gridCol w:w="6901"/>
      </w:tblGrid>
      <w:tr w14:paraId="7B73CD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167" w:type="pct"/>
            <w:gridSpan w:val="2"/>
            <w:tcBorders>
              <w:top w:val="single" w:color="auto" w:sz="4" w:space="0"/>
              <w:bottom w:val="single" w:color="auto" w:sz="4" w:space="0"/>
              <w:right w:val="single" w:color="auto" w:sz="4" w:space="0"/>
            </w:tcBorders>
            <w:vAlign w:val="center"/>
          </w:tcPr>
          <w:p w14:paraId="19997051">
            <w:pPr>
              <w:jc w:val="center"/>
              <w:rPr>
                <w:rFonts w:ascii="宋体" w:hAnsi="宋体" w:cs="宋体"/>
                <w:b/>
                <w:highlight w:val="none"/>
              </w:rPr>
            </w:pPr>
            <w:r>
              <w:rPr>
                <w:rFonts w:hint="eastAsia" w:ascii="宋体" w:hAnsi="宋体" w:cs="宋体"/>
                <w:b/>
                <w:highlight w:val="none"/>
              </w:rPr>
              <w:t>条款号</w:t>
            </w:r>
          </w:p>
        </w:tc>
        <w:tc>
          <w:tcPr>
            <w:tcW w:w="3832" w:type="pct"/>
            <w:tcBorders>
              <w:top w:val="single" w:color="auto" w:sz="4" w:space="0"/>
              <w:left w:val="single" w:color="auto" w:sz="4" w:space="0"/>
              <w:bottom w:val="single" w:color="auto" w:sz="4" w:space="0"/>
            </w:tcBorders>
            <w:vAlign w:val="center"/>
          </w:tcPr>
          <w:p w14:paraId="3B43D264">
            <w:pPr>
              <w:jc w:val="center"/>
              <w:rPr>
                <w:rFonts w:ascii="宋体" w:hAnsi="宋体" w:cs="宋体"/>
                <w:b/>
                <w:highlight w:val="none"/>
              </w:rPr>
            </w:pPr>
            <w:r>
              <w:rPr>
                <w:rFonts w:hint="eastAsia" w:ascii="宋体" w:hAnsi="宋体" w:cs="宋体"/>
                <w:b/>
                <w:highlight w:val="none"/>
              </w:rPr>
              <w:t>评审因素与评审标准</w:t>
            </w:r>
          </w:p>
        </w:tc>
      </w:tr>
      <w:tr w14:paraId="68E9B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20" w:type="pct"/>
            <w:tcBorders>
              <w:top w:val="single" w:color="auto" w:sz="4" w:space="0"/>
              <w:bottom w:val="single" w:color="auto" w:sz="4" w:space="0"/>
              <w:right w:val="single" w:color="auto" w:sz="4" w:space="0"/>
            </w:tcBorders>
            <w:vAlign w:val="center"/>
          </w:tcPr>
          <w:p w14:paraId="392A602D">
            <w:pPr>
              <w:jc w:val="center"/>
              <w:rPr>
                <w:rFonts w:ascii="宋体" w:hAnsi="宋体" w:cs="宋体"/>
                <w:highlight w:val="none"/>
              </w:rPr>
            </w:pPr>
            <w:r>
              <w:rPr>
                <w:rFonts w:hint="eastAsia" w:ascii="宋体" w:hAnsi="宋体" w:cs="宋体"/>
                <w:highlight w:val="none"/>
              </w:rPr>
              <w:t>1</w:t>
            </w:r>
          </w:p>
        </w:tc>
        <w:tc>
          <w:tcPr>
            <w:tcW w:w="647" w:type="pct"/>
            <w:tcBorders>
              <w:top w:val="single" w:color="auto" w:sz="4" w:space="0"/>
              <w:bottom w:val="single" w:color="auto" w:sz="4" w:space="0"/>
              <w:right w:val="single" w:color="auto" w:sz="4" w:space="0"/>
            </w:tcBorders>
            <w:vAlign w:val="center"/>
          </w:tcPr>
          <w:p w14:paraId="22970E20">
            <w:pPr>
              <w:jc w:val="center"/>
              <w:rPr>
                <w:rFonts w:ascii="宋体" w:hAnsi="宋体" w:cs="宋体"/>
                <w:highlight w:val="none"/>
              </w:rPr>
            </w:pPr>
            <w:r>
              <w:rPr>
                <w:rFonts w:hint="eastAsia" w:ascii="宋体" w:hAnsi="宋体" w:cs="宋体"/>
                <w:highlight w:val="none"/>
              </w:rPr>
              <w:t>评标方法</w:t>
            </w:r>
          </w:p>
        </w:tc>
        <w:tc>
          <w:tcPr>
            <w:tcW w:w="3832" w:type="pct"/>
            <w:tcBorders>
              <w:top w:val="single" w:color="auto" w:sz="4" w:space="0"/>
              <w:left w:val="single" w:color="auto" w:sz="4" w:space="0"/>
            </w:tcBorders>
            <w:vAlign w:val="center"/>
          </w:tcPr>
          <w:p w14:paraId="4DBCC502">
            <w:pPr>
              <w:rPr>
                <w:rFonts w:ascii="宋体" w:hAnsi="宋体"/>
                <w:highlight w:val="none"/>
              </w:rPr>
            </w:pPr>
            <w:r>
              <w:rPr>
                <w:rFonts w:hint="eastAsia" w:ascii="宋体" w:hAnsi="宋体"/>
                <w:highlight w:val="none"/>
              </w:rPr>
              <w:t>1、综合评分相等时，评标委员会依次按照以下优先顺序推荐中标候选人或确定中标人：</w:t>
            </w:r>
          </w:p>
          <w:p w14:paraId="4FBF81B0">
            <w:pPr>
              <w:rPr>
                <w:rFonts w:ascii="宋体" w:hAnsi="宋体"/>
                <w:highlight w:val="none"/>
              </w:rPr>
            </w:pPr>
            <w:r>
              <w:rPr>
                <w:rFonts w:hint="eastAsia" w:ascii="宋体" w:hAnsi="宋体"/>
                <w:highlight w:val="none"/>
              </w:rPr>
              <w:t>（1）评标价低的投标人优先；</w:t>
            </w:r>
          </w:p>
          <w:p w14:paraId="59B9AE3F">
            <w:pPr>
              <w:rPr>
                <w:rFonts w:ascii="宋体" w:hAnsi="宋体"/>
                <w:highlight w:val="none"/>
              </w:rPr>
            </w:pPr>
            <w:r>
              <w:rPr>
                <w:rFonts w:hint="eastAsia" w:ascii="宋体" w:hAnsi="宋体"/>
                <w:highlight w:val="none"/>
              </w:rPr>
              <w:t>（2）由招标人代表抽签确定。</w:t>
            </w:r>
          </w:p>
          <w:p w14:paraId="1C44A4FE">
            <w:pPr>
              <w:pStyle w:val="2"/>
              <w:rPr>
                <w:rFonts w:ascii="宋体" w:hAnsi="宋体"/>
                <w:highlight w:val="none"/>
              </w:rPr>
            </w:pPr>
            <w:r>
              <w:rPr>
                <w:rFonts w:hint="eastAsia" w:ascii="宋体" w:hAnsi="宋体"/>
                <w:highlight w:val="none"/>
              </w:rPr>
              <w:t>2、通过投标文件资格审查文件评审的投标人不足3家的，评标委员会可以否决全部投标；未否决全部投标的，评标委员会应当在评标报告中阐明理由，招标人可按照第二章“投标人须知”第5.1款规定的时间和地点对投标文件报价文件进行开标，但评标委员会在进行报价文件评审时仍有权否决全部投标；评标委员会未在报价文件评审时否决全部投标的，应当在评标报告中阐明理由。</w:t>
            </w:r>
          </w:p>
        </w:tc>
      </w:tr>
      <w:tr w14:paraId="549C7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1" w:hRule="atLeast"/>
          <w:jc w:val="center"/>
        </w:trPr>
        <w:tc>
          <w:tcPr>
            <w:tcW w:w="520" w:type="pct"/>
            <w:tcBorders>
              <w:top w:val="single" w:color="auto" w:sz="4" w:space="0"/>
              <w:bottom w:val="single" w:color="auto" w:sz="4" w:space="0"/>
              <w:right w:val="single" w:color="auto" w:sz="4" w:space="0"/>
            </w:tcBorders>
            <w:vAlign w:val="center"/>
          </w:tcPr>
          <w:p w14:paraId="0A317054">
            <w:pPr>
              <w:jc w:val="center"/>
              <w:rPr>
                <w:rFonts w:ascii="宋体" w:hAnsi="宋体" w:cs="宋体"/>
                <w:highlight w:val="none"/>
              </w:rPr>
            </w:pPr>
            <w:r>
              <w:rPr>
                <w:rFonts w:hint="eastAsia" w:ascii="宋体" w:hAnsi="宋体" w:cs="宋体"/>
                <w:highlight w:val="none"/>
              </w:rPr>
              <w:t>2.1.1</w:t>
            </w:r>
          </w:p>
          <w:p w14:paraId="73ACAB5A">
            <w:pPr>
              <w:jc w:val="center"/>
              <w:rPr>
                <w:rFonts w:ascii="宋体" w:hAnsi="宋体" w:cs="宋体"/>
                <w:highlight w:val="none"/>
              </w:rPr>
            </w:pPr>
            <w:r>
              <w:rPr>
                <w:rFonts w:hint="eastAsia" w:ascii="宋体" w:hAnsi="宋体" w:cs="宋体"/>
                <w:highlight w:val="none"/>
              </w:rPr>
              <w:t>2.1.3</w:t>
            </w:r>
          </w:p>
        </w:tc>
        <w:tc>
          <w:tcPr>
            <w:tcW w:w="647" w:type="pct"/>
            <w:tcBorders>
              <w:top w:val="single" w:color="auto" w:sz="4" w:space="0"/>
              <w:bottom w:val="single" w:color="auto" w:sz="4" w:space="0"/>
              <w:right w:val="single" w:color="auto" w:sz="4" w:space="0"/>
            </w:tcBorders>
            <w:vAlign w:val="center"/>
          </w:tcPr>
          <w:p w14:paraId="58B9A822">
            <w:pPr>
              <w:jc w:val="center"/>
              <w:rPr>
                <w:rFonts w:ascii="宋体" w:hAnsi="宋体" w:cs="宋体"/>
                <w:highlight w:val="none"/>
              </w:rPr>
            </w:pPr>
            <w:r>
              <w:rPr>
                <w:rFonts w:hint="eastAsia" w:ascii="宋体" w:hAnsi="宋体" w:cs="宋体"/>
                <w:highlight w:val="none"/>
              </w:rPr>
              <w:t>形式评审与响应性评审标准</w:t>
            </w:r>
          </w:p>
        </w:tc>
        <w:tc>
          <w:tcPr>
            <w:tcW w:w="3832" w:type="pct"/>
            <w:tcBorders>
              <w:top w:val="single" w:color="auto" w:sz="4" w:space="0"/>
              <w:left w:val="single" w:color="auto" w:sz="4" w:space="0"/>
              <w:bottom w:val="single" w:color="auto" w:sz="4" w:space="0"/>
            </w:tcBorders>
            <w:vAlign w:val="center"/>
          </w:tcPr>
          <w:p w14:paraId="1D052102">
            <w:pPr>
              <w:rPr>
                <w:rFonts w:ascii="宋体" w:hAnsi="宋体" w:cs="宋体"/>
                <w:b/>
                <w:highlight w:val="none"/>
              </w:rPr>
            </w:pPr>
            <w:r>
              <w:rPr>
                <w:rFonts w:hint="eastAsia" w:ascii="宋体" w:hAnsi="宋体" w:cs="宋体"/>
                <w:b/>
                <w:highlight w:val="none"/>
              </w:rPr>
              <w:t>资格审查文件评审标准：</w:t>
            </w:r>
          </w:p>
          <w:p w14:paraId="122D3B62">
            <w:pPr>
              <w:rPr>
                <w:rFonts w:ascii="宋体" w:hAnsi="宋体" w:cs="宋体"/>
                <w:highlight w:val="none"/>
              </w:rPr>
            </w:pPr>
            <w:r>
              <w:rPr>
                <w:rFonts w:hint="eastAsia" w:ascii="宋体" w:hAnsi="宋体" w:cs="宋体"/>
                <w:highlight w:val="none"/>
              </w:rPr>
              <w:t>（1）投标文件按照招标文件规定的格式、内容填写，字迹清晰可辨：</w:t>
            </w:r>
          </w:p>
          <w:p w14:paraId="694CEAE9">
            <w:pPr>
              <w:rPr>
                <w:rFonts w:ascii="宋体" w:hAnsi="宋体" w:cs="宋体"/>
                <w:highlight w:val="none"/>
              </w:rPr>
            </w:pPr>
            <w:r>
              <w:rPr>
                <w:rFonts w:hint="eastAsia" w:ascii="宋体" w:hAnsi="宋体" w:cs="宋体"/>
                <w:highlight w:val="none"/>
              </w:rPr>
              <w:t>a.投标函按招标文件规定填报了项目名称、补遗书编号（如有）、工期、工程质量要求及安全目标；</w:t>
            </w:r>
          </w:p>
          <w:p w14:paraId="691259E3">
            <w:pPr>
              <w:rPr>
                <w:rFonts w:ascii="宋体" w:hAnsi="宋体" w:cs="宋体"/>
                <w:highlight w:val="none"/>
              </w:rPr>
            </w:pPr>
            <w:r>
              <w:rPr>
                <w:rFonts w:hint="eastAsia" w:ascii="宋体" w:hAnsi="宋体" w:cs="宋体"/>
                <w:highlight w:val="none"/>
              </w:rPr>
              <w:t>b.投标文件组成齐全完整，内容均按规定填写。</w:t>
            </w:r>
          </w:p>
          <w:p w14:paraId="18BE22E8">
            <w:pPr>
              <w:rPr>
                <w:rFonts w:ascii="宋体" w:hAnsi="宋体" w:cs="宋体"/>
                <w:highlight w:val="none"/>
              </w:rPr>
            </w:pPr>
            <w:r>
              <w:rPr>
                <w:rFonts w:hint="eastAsia" w:ascii="宋体" w:hAnsi="宋体" w:cs="宋体"/>
                <w:highlight w:val="none"/>
              </w:rPr>
              <w:t>（2）投标文件上法定代表人或其委托代理人的签字</w:t>
            </w:r>
            <w:r>
              <w:rPr>
                <w:rFonts w:hint="eastAsia" w:ascii="宋体" w:hAnsi="宋体" w:cs="宋体"/>
                <w:highlight w:val="none"/>
                <w:lang w:eastAsia="zh-CN"/>
              </w:rPr>
              <w:t>（</w:t>
            </w:r>
            <w:r>
              <w:rPr>
                <w:rFonts w:hint="eastAsia" w:ascii="宋体" w:hAnsi="宋体" w:cs="宋体"/>
                <w:highlight w:val="none"/>
                <w:lang w:val="en-US" w:eastAsia="zh-CN"/>
              </w:rPr>
              <w:t>或签章</w:t>
            </w:r>
            <w:r>
              <w:rPr>
                <w:rFonts w:hint="eastAsia" w:ascii="宋体" w:hAnsi="宋体" w:cs="宋体"/>
                <w:highlight w:val="none"/>
                <w:lang w:eastAsia="zh-CN"/>
              </w:rPr>
              <w:t>）</w:t>
            </w:r>
            <w:r>
              <w:rPr>
                <w:rFonts w:hint="eastAsia" w:ascii="宋体" w:hAnsi="宋体" w:cs="宋体"/>
                <w:highlight w:val="none"/>
              </w:rPr>
              <w:t>、投标人的单位章盖章齐全，符合招标文件规定。</w:t>
            </w:r>
          </w:p>
          <w:p w14:paraId="57C13689">
            <w:pPr>
              <w:rPr>
                <w:rFonts w:ascii="宋体" w:hAnsi="宋体" w:cs="宋体"/>
                <w:highlight w:val="none"/>
              </w:rPr>
            </w:pPr>
            <w:r>
              <w:rPr>
                <w:rFonts w:hint="eastAsia" w:ascii="宋体" w:hAnsi="宋体" w:cs="宋体"/>
                <w:highlight w:val="none"/>
              </w:rPr>
              <w:t>（3）投标人法定代表人授权委托代理人签署投标文件的，须提交授权委托书，且授权人和被授权人均在授权委托书上签名</w:t>
            </w:r>
            <w:r>
              <w:rPr>
                <w:rFonts w:hint="eastAsia" w:ascii="宋体" w:hAnsi="宋体" w:cs="宋体"/>
                <w:highlight w:val="none"/>
                <w:lang w:eastAsia="zh-CN"/>
              </w:rPr>
              <w:t>（</w:t>
            </w:r>
            <w:r>
              <w:rPr>
                <w:rFonts w:hint="eastAsia" w:ascii="宋体" w:hAnsi="宋体" w:cs="宋体"/>
                <w:highlight w:val="none"/>
              </w:rPr>
              <w:t>或签章</w:t>
            </w:r>
            <w:r>
              <w:rPr>
                <w:rFonts w:hint="eastAsia" w:ascii="宋体" w:hAnsi="宋体" w:cs="宋体"/>
                <w:highlight w:val="none"/>
                <w:lang w:eastAsia="zh-CN"/>
              </w:rPr>
              <w:t>）</w:t>
            </w:r>
            <w:r>
              <w:rPr>
                <w:rFonts w:hint="eastAsia" w:ascii="宋体" w:hAnsi="宋体" w:cs="宋体"/>
                <w:highlight w:val="none"/>
              </w:rPr>
              <w:t>。</w:t>
            </w:r>
          </w:p>
          <w:p w14:paraId="5C06936C">
            <w:pPr>
              <w:rPr>
                <w:rFonts w:ascii="宋体" w:hAnsi="宋体" w:cs="宋体"/>
                <w:highlight w:val="none"/>
              </w:rPr>
            </w:pPr>
            <w:r>
              <w:rPr>
                <w:rFonts w:hint="eastAsia" w:ascii="宋体" w:hAnsi="宋体" w:cs="宋体"/>
                <w:highlight w:val="none"/>
              </w:rPr>
              <w:t>（4）投标人法定代表人亲自签署投标文件的，提供了法定代表人身份证明，且法定代表人在法定代表人身份证明上签名</w:t>
            </w:r>
            <w:r>
              <w:rPr>
                <w:rFonts w:hint="eastAsia" w:ascii="宋体" w:hAnsi="宋体" w:cs="宋体"/>
                <w:highlight w:val="none"/>
                <w:lang w:eastAsia="zh-CN"/>
              </w:rPr>
              <w:t>（</w:t>
            </w:r>
            <w:r>
              <w:rPr>
                <w:rFonts w:hint="eastAsia" w:ascii="宋体" w:hAnsi="宋体" w:cs="宋体"/>
                <w:highlight w:val="none"/>
              </w:rPr>
              <w:t>或签章</w:t>
            </w:r>
            <w:r>
              <w:rPr>
                <w:rFonts w:hint="eastAsia" w:ascii="宋体" w:hAnsi="宋体" w:cs="宋体"/>
                <w:highlight w:val="none"/>
                <w:lang w:eastAsia="zh-CN"/>
              </w:rPr>
              <w:t>）</w:t>
            </w:r>
            <w:r>
              <w:rPr>
                <w:rFonts w:hint="eastAsia" w:ascii="宋体" w:hAnsi="宋体" w:cs="宋体"/>
                <w:highlight w:val="none"/>
              </w:rPr>
              <w:t>。</w:t>
            </w:r>
          </w:p>
          <w:p w14:paraId="6E791C53">
            <w:pPr>
              <w:rPr>
                <w:rFonts w:ascii="宋体" w:hAnsi="宋体" w:cs="宋体"/>
                <w:highlight w:val="none"/>
              </w:rPr>
            </w:pPr>
            <w:r>
              <w:rPr>
                <w:rFonts w:hint="eastAsia" w:ascii="宋体" w:hAnsi="宋体" w:cs="宋体"/>
                <w:highlight w:val="none"/>
              </w:rPr>
              <w:t>（5）投标人未以联合体形式投标时；</w:t>
            </w:r>
          </w:p>
          <w:p w14:paraId="4622A70D">
            <w:pPr>
              <w:rPr>
                <w:rFonts w:ascii="宋体" w:hAnsi="宋体" w:cs="宋体"/>
                <w:highlight w:val="none"/>
              </w:rPr>
            </w:pPr>
            <w:r>
              <w:rPr>
                <w:rFonts w:hint="eastAsia" w:ascii="宋体" w:hAnsi="宋体" w:cs="宋体"/>
                <w:highlight w:val="none"/>
              </w:rPr>
              <w:t>（6）同一投标人未提交两个以上不同的投标文件，但招标文件要求提交备选投标的除外。</w:t>
            </w:r>
          </w:p>
          <w:p w14:paraId="4C052DB1">
            <w:pPr>
              <w:rPr>
                <w:rFonts w:ascii="宋体" w:hAnsi="宋体" w:cs="宋体"/>
                <w:highlight w:val="none"/>
              </w:rPr>
            </w:pPr>
            <w:r>
              <w:rPr>
                <w:rFonts w:hint="eastAsia" w:ascii="宋体" w:hAnsi="宋体" w:cs="宋体"/>
                <w:highlight w:val="none"/>
              </w:rPr>
              <w:t>（7）投标文件中未出现有关投标报价的内容。</w:t>
            </w:r>
          </w:p>
          <w:p w14:paraId="230C90B4">
            <w:pPr>
              <w:rPr>
                <w:rFonts w:ascii="宋体" w:hAnsi="宋体" w:cs="宋体"/>
                <w:highlight w:val="none"/>
              </w:rPr>
            </w:pPr>
            <w:r>
              <w:rPr>
                <w:rFonts w:hint="eastAsia" w:ascii="宋体" w:hAnsi="宋体" w:cs="宋体"/>
                <w:highlight w:val="none"/>
              </w:rPr>
              <w:t>（8）投标文件载明的招标项目完成期限未超过招标文件规定的时限。</w:t>
            </w:r>
          </w:p>
          <w:p w14:paraId="445965C0">
            <w:pPr>
              <w:rPr>
                <w:rFonts w:ascii="宋体" w:hAnsi="宋体" w:cs="宋体"/>
                <w:highlight w:val="none"/>
              </w:rPr>
            </w:pPr>
            <w:r>
              <w:rPr>
                <w:rFonts w:hint="eastAsia" w:ascii="宋体" w:hAnsi="宋体" w:cs="宋体"/>
                <w:highlight w:val="none"/>
              </w:rPr>
              <w:t>（9）投标文件对招标文件的实质性要求和条件作出响应。</w:t>
            </w:r>
          </w:p>
          <w:p w14:paraId="3701DC7A">
            <w:pPr>
              <w:rPr>
                <w:rFonts w:ascii="宋体" w:hAnsi="宋体" w:cs="宋体"/>
                <w:highlight w:val="none"/>
              </w:rPr>
            </w:pPr>
            <w:r>
              <w:rPr>
                <w:rFonts w:hint="eastAsia" w:ascii="宋体" w:hAnsi="宋体" w:cs="宋体"/>
                <w:highlight w:val="none"/>
              </w:rPr>
              <w:t>（10）权利义务符合招标文件规定：</w:t>
            </w:r>
          </w:p>
          <w:p w14:paraId="46F6CD6C">
            <w:pPr>
              <w:rPr>
                <w:rFonts w:ascii="宋体" w:hAnsi="宋体" w:cs="宋体"/>
                <w:highlight w:val="none"/>
              </w:rPr>
            </w:pPr>
            <w:r>
              <w:rPr>
                <w:rFonts w:hint="eastAsia" w:ascii="宋体" w:hAnsi="宋体" w:cs="宋体"/>
                <w:highlight w:val="none"/>
              </w:rPr>
              <w:t>a.投标人应接受招标文件规定的风险划分原则，未提出新的风险划分办法；</w:t>
            </w:r>
          </w:p>
          <w:p w14:paraId="16E24C33">
            <w:pPr>
              <w:rPr>
                <w:rFonts w:ascii="宋体" w:hAnsi="宋体" w:cs="宋体"/>
                <w:highlight w:val="none"/>
              </w:rPr>
            </w:pPr>
            <w:r>
              <w:rPr>
                <w:rFonts w:hint="eastAsia" w:ascii="宋体" w:hAnsi="宋体" w:cs="宋体"/>
                <w:highlight w:val="none"/>
              </w:rPr>
              <w:t>b.投标人未增加发包人的责任范围，或减少投标人义务；</w:t>
            </w:r>
          </w:p>
          <w:p w14:paraId="45847197">
            <w:pPr>
              <w:rPr>
                <w:rFonts w:ascii="宋体" w:hAnsi="宋体" w:cs="宋体"/>
                <w:highlight w:val="none"/>
              </w:rPr>
            </w:pPr>
            <w:r>
              <w:rPr>
                <w:rFonts w:hint="eastAsia" w:ascii="宋体" w:hAnsi="宋体" w:cs="宋体"/>
                <w:highlight w:val="none"/>
              </w:rPr>
              <w:t>c.投标人未提出不同的工程验收、计量、支付办法；</w:t>
            </w:r>
          </w:p>
          <w:p w14:paraId="323D6D0B">
            <w:pPr>
              <w:rPr>
                <w:rFonts w:ascii="宋体" w:hAnsi="宋体" w:cs="宋体"/>
                <w:highlight w:val="none"/>
              </w:rPr>
            </w:pPr>
            <w:r>
              <w:rPr>
                <w:rFonts w:hint="eastAsia" w:ascii="宋体" w:hAnsi="宋体" w:cs="宋体"/>
                <w:highlight w:val="none"/>
              </w:rPr>
              <w:t>d.投标人对合同纠纷、事故处理办法未提出异议；</w:t>
            </w:r>
          </w:p>
          <w:p w14:paraId="07A7DD54">
            <w:pPr>
              <w:rPr>
                <w:rFonts w:ascii="宋体" w:hAnsi="宋体" w:cs="宋体"/>
                <w:highlight w:val="none"/>
              </w:rPr>
            </w:pPr>
            <w:r>
              <w:rPr>
                <w:rFonts w:hint="eastAsia" w:ascii="宋体" w:hAnsi="宋体" w:cs="宋体"/>
                <w:highlight w:val="none"/>
              </w:rPr>
              <w:t>e.投标人在投标活动中无欺诈行为；</w:t>
            </w:r>
          </w:p>
          <w:p w14:paraId="5D08CCBE">
            <w:pPr>
              <w:rPr>
                <w:rFonts w:ascii="宋体" w:hAnsi="宋体" w:cs="宋体"/>
                <w:highlight w:val="none"/>
              </w:rPr>
            </w:pPr>
            <w:r>
              <w:rPr>
                <w:rFonts w:hint="eastAsia" w:ascii="宋体" w:hAnsi="宋体" w:cs="宋体"/>
                <w:highlight w:val="none"/>
              </w:rPr>
              <w:t>f.投标人未对合同条款有重要保留。</w:t>
            </w:r>
          </w:p>
          <w:p w14:paraId="472A8A70">
            <w:pPr>
              <w:rPr>
                <w:rFonts w:ascii="宋体" w:hAnsi="宋体" w:cs="宋体"/>
                <w:highlight w:val="none"/>
              </w:rPr>
            </w:pPr>
            <w:r>
              <w:rPr>
                <w:rFonts w:hint="eastAsia" w:ascii="宋体" w:hAnsi="宋体" w:cs="宋体"/>
                <w:highlight w:val="none"/>
              </w:rPr>
              <w:t>（11）投标文件正、副本份数符合招标文件第二章“投标人须知”第3.7.4项规定。</w:t>
            </w:r>
          </w:p>
          <w:p w14:paraId="62489483">
            <w:pPr>
              <w:rPr>
                <w:rFonts w:ascii="宋体" w:hAnsi="宋体" w:cs="宋体"/>
                <w:b/>
                <w:bCs/>
                <w:highlight w:val="none"/>
              </w:rPr>
            </w:pPr>
            <w:r>
              <w:rPr>
                <w:rFonts w:hint="eastAsia" w:ascii="宋体" w:hAnsi="宋体" w:cs="宋体"/>
                <w:b/>
                <w:bCs/>
                <w:highlight w:val="none"/>
              </w:rPr>
              <w:t>报价文件评审标准：</w:t>
            </w:r>
          </w:p>
          <w:p w14:paraId="41910E91">
            <w:pPr>
              <w:rPr>
                <w:rFonts w:ascii="宋体" w:hAnsi="宋体" w:cs="宋体"/>
                <w:b/>
                <w:bCs/>
                <w:highlight w:val="none"/>
              </w:rPr>
            </w:pPr>
            <w:r>
              <w:rPr>
                <w:rFonts w:hint="eastAsia" w:ascii="宋体" w:hAnsi="宋体" w:cs="宋体"/>
                <w:highlight w:val="none"/>
              </w:rPr>
              <w:t>（1）投标文件按照招标文件规定的格式、内容填写，字迹清晰可辨：</w:t>
            </w:r>
          </w:p>
          <w:p w14:paraId="5D0BA13E">
            <w:pPr>
              <w:rPr>
                <w:rFonts w:ascii="宋体" w:hAnsi="宋体" w:cs="宋体"/>
                <w:highlight w:val="none"/>
              </w:rPr>
            </w:pPr>
            <w:r>
              <w:rPr>
                <w:rFonts w:hint="eastAsia" w:ascii="宋体" w:hAnsi="宋体" w:cs="宋体"/>
                <w:highlight w:val="none"/>
              </w:rPr>
              <w:t>a.投标函按招标文件规定填报了项目名称、补遗书编号（如有）、投标价（包括大写金额和小写金额）；</w:t>
            </w:r>
          </w:p>
          <w:p w14:paraId="3DD2E1B3">
            <w:pPr>
              <w:rPr>
                <w:rFonts w:ascii="宋体" w:hAnsi="宋体" w:cs="宋体"/>
                <w:highlight w:val="none"/>
              </w:rPr>
            </w:pPr>
            <w:r>
              <w:rPr>
                <w:rFonts w:hint="eastAsia" w:ascii="宋体" w:hAnsi="宋体" w:cs="宋体"/>
                <w:highlight w:val="none"/>
              </w:rPr>
              <w:t>b.已标价工程量清单说明文字</w:t>
            </w:r>
            <w:r>
              <w:rPr>
                <w:rFonts w:hint="eastAsia" w:ascii="宋体" w:hAnsi="宋体" w:cs="宋体"/>
                <w:highlight w:val="none"/>
                <w:lang w:eastAsia="zh-CN"/>
              </w:rPr>
              <w:t>（</w:t>
            </w:r>
            <w:r>
              <w:rPr>
                <w:rFonts w:hint="eastAsia" w:ascii="宋体" w:hAnsi="宋体" w:cs="宋体"/>
                <w:highlight w:val="none"/>
                <w:lang w:val="en-US" w:eastAsia="zh-CN"/>
              </w:rPr>
              <w:t>如有</w:t>
            </w:r>
            <w:r>
              <w:rPr>
                <w:rFonts w:hint="eastAsia" w:ascii="宋体" w:hAnsi="宋体" w:cs="宋体"/>
                <w:highlight w:val="none"/>
                <w:lang w:eastAsia="zh-CN"/>
              </w:rPr>
              <w:t>）</w:t>
            </w:r>
            <w:r>
              <w:rPr>
                <w:rFonts w:hint="eastAsia" w:ascii="宋体" w:hAnsi="宋体" w:cs="宋体"/>
                <w:highlight w:val="none"/>
              </w:rPr>
              <w:t>与招标文件规定一致，未进行实质性修改和删减；</w:t>
            </w:r>
          </w:p>
          <w:p w14:paraId="0FD836B0">
            <w:pPr>
              <w:rPr>
                <w:rFonts w:ascii="宋体" w:hAnsi="宋体" w:cs="宋体"/>
                <w:highlight w:val="none"/>
              </w:rPr>
            </w:pPr>
            <w:r>
              <w:rPr>
                <w:rFonts w:hint="eastAsia" w:ascii="宋体" w:hAnsi="宋体" w:cs="宋体"/>
                <w:highlight w:val="none"/>
              </w:rPr>
              <w:t>c.投标文件组成齐全完整，内容均按规定填写。</w:t>
            </w:r>
          </w:p>
          <w:p w14:paraId="0E434D79">
            <w:pPr>
              <w:rPr>
                <w:rFonts w:ascii="宋体" w:hAnsi="宋体" w:cs="宋体"/>
                <w:highlight w:val="none"/>
              </w:rPr>
            </w:pPr>
            <w:r>
              <w:rPr>
                <w:rFonts w:hint="eastAsia" w:ascii="宋体" w:hAnsi="宋体" w:cs="宋体"/>
                <w:highlight w:val="none"/>
              </w:rPr>
              <w:t>（2）投标文件上法定代表人或其委托代理人的签字</w:t>
            </w:r>
            <w:r>
              <w:rPr>
                <w:rFonts w:hint="eastAsia" w:ascii="宋体" w:hAnsi="宋体" w:cs="宋体"/>
                <w:highlight w:val="none"/>
                <w:lang w:eastAsia="zh-CN"/>
              </w:rPr>
              <w:t>（</w:t>
            </w:r>
            <w:r>
              <w:rPr>
                <w:rFonts w:hint="eastAsia" w:ascii="宋体" w:hAnsi="宋体" w:cs="宋体"/>
                <w:highlight w:val="none"/>
              </w:rPr>
              <w:t>或签章</w:t>
            </w:r>
            <w:r>
              <w:rPr>
                <w:rFonts w:hint="eastAsia" w:ascii="宋体" w:hAnsi="宋体" w:cs="宋体"/>
                <w:highlight w:val="none"/>
                <w:lang w:eastAsia="zh-CN"/>
              </w:rPr>
              <w:t>）</w:t>
            </w:r>
            <w:r>
              <w:rPr>
                <w:rFonts w:hint="eastAsia" w:ascii="宋体" w:hAnsi="宋体" w:cs="宋体"/>
                <w:highlight w:val="none"/>
              </w:rPr>
              <w:t>、投标人的单位章盖章齐全，符合招标文件规定。</w:t>
            </w:r>
          </w:p>
          <w:p w14:paraId="389D081C">
            <w:pPr>
              <w:rPr>
                <w:rFonts w:ascii="宋体" w:hAnsi="宋体" w:cs="宋体"/>
                <w:highlight w:val="none"/>
              </w:rPr>
            </w:pPr>
            <w:r>
              <w:rPr>
                <w:rFonts w:hint="eastAsia" w:ascii="宋体" w:hAnsi="宋体" w:cs="宋体"/>
                <w:highlight w:val="none"/>
              </w:rPr>
              <w:t>（3）投标报价中报价未超过招标文件设定的最高投标限价（如有）。</w:t>
            </w:r>
          </w:p>
          <w:p w14:paraId="7A59F342">
            <w:pPr>
              <w:rPr>
                <w:rFonts w:ascii="宋体" w:hAnsi="宋体" w:cs="宋体"/>
                <w:highlight w:val="none"/>
              </w:rPr>
            </w:pPr>
            <w:r>
              <w:rPr>
                <w:rFonts w:hint="eastAsia" w:ascii="宋体" w:hAnsi="宋体" w:cs="宋体"/>
                <w:highlight w:val="none"/>
              </w:rPr>
              <w:t>（4）投标报价中报价的大写金额能够确定具体数值。</w:t>
            </w:r>
          </w:p>
          <w:p w14:paraId="237479FE">
            <w:pPr>
              <w:rPr>
                <w:rFonts w:ascii="宋体" w:hAnsi="宋体" w:cs="宋体"/>
                <w:highlight w:val="none"/>
              </w:rPr>
            </w:pPr>
            <w:r>
              <w:rPr>
                <w:rFonts w:hint="eastAsia" w:ascii="宋体" w:hAnsi="宋体" w:cs="宋体"/>
                <w:highlight w:val="none"/>
              </w:rPr>
              <w:t>（5）同一投标人未提交两个以上不同的投标报价，但招标文件要求提交备选投标的除外。</w:t>
            </w:r>
          </w:p>
          <w:p w14:paraId="3CC92191">
            <w:pPr>
              <w:rPr>
                <w:rFonts w:ascii="宋体" w:hAnsi="宋体" w:cs="宋体"/>
                <w:highlight w:val="none"/>
              </w:rPr>
            </w:pPr>
            <w:r>
              <w:rPr>
                <w:rFonts w:hint="eastAsia" w:ascii="宋体" w:hAnsi="宋体" w:cs="宋体"/>
                <w:highlight w:val="none"/>
              </w:rPr>
              <w:t>（6）工程量清单中的投标报价和投标函大写金额报价一致。</w:t>
            </w:r>
          </w:p>
          <w:p w14:paraId="0F3A95FE">
            <w:pPr>
              <w:rPr>
                <w:rFonts w:ascii="宋体" w:hAnsi="宋体" w:cs="宋体"/>
                <w:highlight w:val="none"/>
              </w:rPr>
            </w:pPr>
            <w:r>
              <w:rPr>
                <w:rFonts w:hint="eastAsia" w:ascii="宋体" w:hAnsi="宋体" w:cs="宋体"/>
                <w:highlight w:val="none"/>
              </w:rPr>
              <w:t>（7）投标文件正、副本份数符合招标文件第二章“投标人须知”第3.7.4项规定。</w:t>
            </w:r>
          </w:p>
        </w:tc>
      </w:tr>
      <w:tr w14:paraId="6340C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9" w:hRule="atLeast"/>
          <w:jc w:val="center"/>
        </w:trPr>
        <w:tc>
          <w:tcPr>
            <w:tcW w:w="520" w:type="pct"/>
            <w:tcBorders>
              <w:top w:val="single" w:color="auto" w:sz="4" w:space="0"/>
              <w:bottom w:val="single" w:color="auto" w:sz="4" w:space="0"/>
              <w:right w:val="single" w:color="auto" w:sz="4" w:space="0"/>
            </w:tcBorders>
            <w:vAlign w:val="center"/>
          </w:tcPr>
          <w:p w14:paraId="1638AF75">
            <w:pPr>
              <w:jc w:val="center"/>
              <w:rPr>
                <w:rFonts w:ascii="宋体" w:hAnsi="宋体" w:cs="宋体"/>
                <w:highlight w:val="none"/>
              </w:rPr>
            </w:pPr>
            <w:r>
              <w:rPr>
                <w:rFonts w:ascii="宋体" w:hAnsi="宋体"/>
                <w:highlight w:val="none"/>
              </w:rPr>
              <w:t>2.1.2</w:t>
            </w:r>
          </w:p>
        </w:tc>
        <w:tc>
          <w:tcPr>
            <w:tcW w:w="647" w:type="pct"/>
            <w:tcBorders>
              <w:top w:val="single" w:color="auto" w:sz="4" w:space="0"/>
              <w:right w:val="single" w:color="auto" w:sz="4" w:space="0"/>
            </w:tcBorders>
            <w:vAlign w:val="center"/>
          </w:tcPr>
          <w:p w14:paraId="16E354C7">
            <w:pPr>
              <w:jc w:val="center"/>
              <w:rPr>
                <w:rFonts w:ascii="宋体" w:hAnsi="宋体" w:cs="宋体"/>
                <w:highlight w:val="none"/>
              </w:rPr>
            </w:pPr>
            <w:r>
              <w:rPr>
                <w:rFonts w:hint="eastAsia" w:ascii="宋体" w:hAnsi="宋体"/>
                <w:highlight w:val="none"/>
              </w:rPr>
              <w:t>资格评审标准</w:t>
            </w:r>
          </w:p>
        </w:tc>
        <w:tc>
          <w:tcPr>
            <w:tcW w:w="3832" w:type="pct"/>
            <w:tcBorders>
              <w:top w:val="single" w:color="auto" w:sz="4" w:space="0"/>
              <w:left w:val="single" w:color="auto" w:sz="4" w:space="0"/>
            </w:tcBorders>
            <w:vAlign w:val="center"/>
          </w:tcPr>
          <w:p w14:paraId="5B3F519A">
            <w:pPr>
              <w:rPr>
                <w:rFonts w:ascii="宋体" w:hAnsi="宋体"/>
                <w:highlight w:val="none"/>
              </w:rPr>
            </w:pPr>
            <w:r>
              <w:rPr>
                <w:rFonts w:hint="eastAsia" w:ascii="宋体" w:hAnsi="宋体"/>
                <w:highlight w:val="none"/>
              </w:rPr>
              <w:t>（1）资质条件：投标人应具建设行政主管部门颁发的建筑工程施工总承包叁级及以上资质，并具有有效的省级（或以上）建设行政主管部门核发的《安全生产许可证》；</w:t>
            </w:r>
          </w:p>
          <w:p w14:paraId="5D341A44">
            <w:pPr>
              <w:rPr>
                <w:rFonts w:ascii="宋体" w:hAnsi="宋体"/>
                <w:highlight w:val="none"/>
              </w:rPr>
            </w:pPr>
            <w:r>
              <w:rPr>
                <w:rFonts w:hint="eastAsia" w:ascii="宋体" w:hAnsi="宋体"/>
                <w:highlight w:val="none"/>
              </w:rPr>
              <w:t>（2） 项目经理资格要求：项目经理须具有有效的二级或以上建筑工程专业注册建造师资格；具有有效的建设行政主管部门核发的《建筑施工企业项目负责人安全生产考核合格证书》（B证）。</w:t>
            </w:r>
          </w:p>
          <w:p w14:paraId="2885360D">
            <w:pPr>
              <w:rPr>
                <w:rFonts w:ascii="宋体" w:hAnsi="宋体" w:cs="宋体"/>
                <w:highlight w:val="none"/>
              </w:rPr>
            </w:pPr>
            <w:r>
              <w:rPr>
                <w:rFonts w:hint="eastAsia" w:ascii="宋体" w:hAnsi="宋体"/>
                <w:highlight w:val="none"/>
              </w:rPr>
              <w:t>（3） 本次招标不接受联合体投标。</w:t>
            </w:r>
            <w:r>
              <w:rPr>
                <w:rFonts w:ascii="宋体" w:hAnsi="宋体"/>
                <w:highlight w:val="none"/>
              </w:rPr>
              <w:t xml:space="preserve"> </w:t>
            </w:r>
          </w:p>
        </w:tc>
      </w:tr>
    </w:tbl>
    <w:p w14:paraId="45E0B174">
      <w:pPr>
        <w:rPr>
          <w:rFonts w:ascii="宋体" w:hAnsi="宋体" w:cs="宋体"/>
          <w:highlight w:val="none"/>
        </w:rPr>
      </w:pPr>
    </w:p>
    <w:tbl>
      <w:tblPr>
        <w:tblStyle w:val="16"/>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93"/>
        <w:gridCol w:w="1545"/>
        <w:gridCol w:w="5362"/>
      </w:tblGrid>
      <w:tr w14:paraId="65ECE0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163" w:type="pct"/>
            <w:tcBorders>
              <w:top w:val="single" w:color="auto" w:sz="4" w:space="0"/>
              <w:bottom w:val="single" w:color="auto" w:sz="4" w:space="0"/>
              <w:right w:val="single" w:color="auto" w:sz="4" w:space="0"/>
            </w:tcBorders>
            <w:vAlign w:val="center"/>
          </w:tcPr>
          <w:p w14:paraId="33826280">
            <w:pPr>
              <w:jc w:val="center"/>
              <w:rPr>
                <w:rFonts w:ascii="宋体" w:hAnsi="宋体" w:cs="宋体"/>
                <w:b/>
                <w:highlight w:val="none"/>
              </w:rPr>
            </w:pPr>
            <w:r>
              <w:rPr>
                <w:rFonts w:hint="eastAsia" w:ascii="宋体" w:hAnsi="宋体" w:cs="宋体"/>
                <w:b/>
                <w:highlight w:val="none"/>
              </w:rPr>
              <w:t>条款号</w:t>
            </w:r>
          </w:p>
        </w:tc>
        <w:tc>
          <w:tcPr>
            <w:tcW w:w="858" w:type="pct"/>
            <w:tcBorders>
              <w:top w:val="single" w:color="auto" w:sz="4" w:space="0"/>
              <w:left w:val="single" w:color="auto" w:sz="4" w:space="0"/>
              <w:bottom w:val="single" w:color="auto" w:sz="4" w:space="0"/>
              <w:right w:val="single" w:color="auto" w:sz="4" w:space="0"/>
            </w:tcBorders>
            <w:vAlign w:val="center"/>
          </w:tcPr>
          <w:p w14:paraId="1FA097A8">
            <w:pPr>
              <w:jc w:val="center"/>
              <w:rPr>
                <w:rFonts w:ascii="宋体" w:hAnsi="宋体" w:cs="宋体"/>
                <w:b/>
                <w:highlight w:val="none"/>
              </w:rPr>
            </w:pPr>
            <w:r>
              <w:rPr>
                <w:rFonts w:hint="eastAsia" w:ascii="宋体" w:hAnsi="宋体" w:cs="宋体"/>
                <w:b/>
                <w:highlight w:val="none"/>
              </w:rPr>
              <w:t>条款内容</w:t>
            </w:r>
          </w:p>
        </w:tc>
        <w:tc>
          <w:tcPr>
            <w:tcW w:w="2978" w:type="pct"/>
            <w:tcBorders>
              <w:top w:val="single" w:color="auto" w:sz="4" w:space="0"/>
              <w:left w:val="single" w:color="auto" w:sz="4" w:space="0"/>
              <w:bottom w:val="single" w:color="auto" w:sz="4" w:space="0"/>
            </w:tcBorders>
            <w:vAlign w:val="center"/>
          </w:tcPr>
          <w:p w14:paraId="065D8116">
            <w:pPr>
              <w:jc w:val="center"/>
              <w:rPr>
                <w:rFonts w:ascii="宋体" w:hAnsi="宋体" w:cs="宋体"/>
                <w:b/>
                <w:highlight w:val="none"/>
              </w:rPr>
            </w:pPr>
            <w:r>
              <w:rPr>
                <w:rFonts w:hint="eastAsia" w:ascii="宋体" w:hAnsi="宋体" w:cs="宋体"/>
                <w:b/>
                <w:highlight w:val="none"/>
              </w:rPr>
              <w:t>编列内容</w:t>
            </w:r>
          </w:p>
        </w:tc>
      </w:tr>
      <w:tr w14:paraId="671E6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163" w:type="pct"/>
            <w:tcBorders>
              <w:bottom w:val="single" w:color="auto" w:sz="4" w:space="0"/>
              <w:right w:val="single" w:color="auto" w:sz="4" w:space="0"/>
            </w:tcBorders>
            <w:vAlign w:val="center"/>
          </w:tcPr>
          <w:p w14:paraId="33C50F14">
            <w:pPr>
              <w:jc w:val="center"/>
              <w:rPr>
                <w:rFonts w:ascii="宋体" w:hAnsi="宋体" w:cs="宋体"/>
                <w:highlight w:val="none"/>
              </w:rPr>
            </w:pPr>
            <w:r>
              <w:rPr>
                <w:rFonts w:hint="eastAsia" w:ascii="宋体" w:hAnsi="宋体" w:cs="宋体"/>
                <w:highlight w:val="none"/>
              </w:rPr>
              <w:t>2.2.1</w:t>
            </w:r>
          </w:p>
        </w:tc>
        <w:tc>
          <w:tcPr>
            <w:tcW w:w="858" w:type="pct"/>
            <w:tcBorders>
              <w:top w:val="single" w:color="auto" w:sz="4" w:space="0"/>
              <w:left w:val="single" w:color="auto" w:sz="4" w:space="0"/>
              <w:bottom w:val="single" w:color="auto" w:sz="4" w:space="0"/>
              <w:right w:val="single" w:color="auto" w:sz="4" w:space="0"/>
            </w:tcBorders>
            <w:vAlign w:val="center"/>
          </w:tcPr>
          <w:p w14:paraId="24655AD8">
            <w:pPr>
              <w:jc w:val="center"/>
              <w:rPr>
                <w:rFonts w:ascii="宋体" w:hAnsi="宋体" w:cs="宋体"/>
                <w:highlight w:val="none"/>
              </w:rPr>
            </w:pPr>
            <w:r>
              <w:rPr>
                <w:rFonts w:hint="eastAsia" w:ascii="宋体" w:hAnsi="宋体" w:cs="宋体"/>
                <w:highlight w:val="none"/>
              </w:rPr>
              <w:t>分值构成（总分100分）</w:t>
            </w:r>
          </w:p>
        </w:tc>
        <w:tc>
          <w:tcPr>
            <w:tcW w:w="2978" w:type="pct"/>
            <w:tcBorders>
              <w:top w:val="single" w:color="auto" w:sz="4" w:space="0"/>
              <w:left w:val="single" w:color="auto" w:sz="4" w:space="0"/>
              <w:bottom w:val="single" w:color="auto" w:sz="4" w:space="0"/>
            </w:tcBorders>
            <w:vAlign w:val="center"/>
          </w:tcPr>
          <w:p w14:paraId="1C40E4BE">
            <w:pPr>
              <w:rPr>
                <w:rFonts w:ascii="宋体" w:hAnsi="宋体" w:cs="宋体"/>
                <w:highlight w:val="none"/>
              </w:rPr>
            </w:pPr>
            <w:r>
              <w:rPr>
                <w:rFonts w:hint="eastAsia" w:ascii="宋体" w:hAnsi="宋体" w:cs="宋体"/>
                <w:highlight w:val="none"/>
              </w:rPr>
              <w:t>评标价：100分</w:t>
            </w:r>
          </w:p>
        </w:tc>
      </w:tr>
      <w:tr w14:paraId="25FC41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0" w:hRule="atLeast"/>
        </w:trPr>
        <w:tc>
          <w:tcPr>
            <w:tcW w:w="1163" w:type="pct"/>
            <w:tcBorders>
              <w:top w:val="single" w:color="auto" w:sz="4" w:space="0"/>
              <w:right w:val="single" w:color="auto" w:sz="4" w:space="0"/>
            </w:tcBorders>
            <w:vAlign w:val="center"/>
          </w:tcPr>
          <w:p w14:paraId="63714D8E">
            <w:pPr>
              <w:jc w:val="center"/>
              <w:rPr>
                <w:rFonts w:ascii="宋体" w:hAnsi="宋体" w:cs="宋体"/>
                <w:highlight w:val="none"/>
              </w:rPr>
            </w:pPr>
            <w:r>
              <w:rPr>
                <w:rFonts w:hint="eastAsia" w:ascii="宋体" w:hAnsi="宋体" w:cs="宋体"/>
                <w:highlight w:val="none"/>
              </w:rPr>
              <w:t>2.2.2</w:t>
            </w:r>
          </w:p>
        </w:tc>
        <w:tc>
          <w:tcPr>
            <w:tcW w:w="858" w:type="pct"/>
            <w:tcBorders>
              <w:top w:val="single" w:color="auto" w:sz="4" w:space="0"/>
              <w:left w:val="single" w:color="auto" w:sz="4" w:space="0"/>
              <w:right w:val="single" w:color="auto" w:sz="4" w:space="0"/>
            </w:tcBorders>
            <w:vAlign w:val="center"/>
          </w:tcPr>
          <w:p w14:paraId="5D10C549">
            <w:pPr>
              <w:jc w:val="center"/>
              <w:rPr>
                <w:rFonts w:ascii="宋体" w:hAnsi="宋体" w:cs="宋体"/>
                <w:highlight w:val="none"/>
              </w:rPr>
            </w:pPr>
            <w:r>
              <w:rPr>
                <w:rFonts w:hint="eastAsia" w:ascii="宋体" w:hAnsi="宋体" w:cs="宋体"/>
                <w:highlight w:val="none"/>
              </w:rPr>
              <w:t>评标基准价</w:t>
            </w:r>
          </w:p>
          <w:p w14:paraId="6821933F">
            <w:pPr>
              <w:jc w:val="center"/>
              <w:rPr>
                <w:rFonts w:ascii="宋体" w:hAnsi="宋体" w:cs="宋体"/>
                <w:b/>
                <w:highlight w:val="none"/>
              </w:rPr>
            </w:pPr>
            <w:r>
              <w:rPr>
                <w:rFonts w:hint="eastAsia" w:ascii="宋体" w:hAnsi="宋体" w:cs="宋体"/>
                <w:highlight w:val="none"/>
              </w:rPr>
              <w:t>计算方法</w:t>
            </w:r>
          </w:p>
        </w:tc>
        <w:tc>
          <w:tcPr>
            <w:tcW w:w="2978" w:type="pct"/>
            <w:tcBorders>
              <w:top w:val="single" w:color="auto" w:sz="4" w:space="0"/>
              <w:left w:val="single" w:color="auto" w:sz="4" w:space="0"/>
            </w:tcBorders>
            <w:vAlign w:val="center"/>
          </w:tcPr>
          <w:p w14:paraId="636B3D78">
            <w:pPr>
              <w:rPr>
                <w:rFonts w:ascii="宋体" w:hAnsi="宋体" w:cs="宋体"/>
                <w:highlight w:val="none"/>
              </w:rPr>
            </w:pPr>
            <w:r>
              <w:rPr>
                <w:rFonts w:hint="eastAsia" w:ascii="宋体" w:hAnsi="宋体" w:cs="宋体"/>
                <w:highlight w:val="none"/>
              </w:rPr>
              <w:t>评标基准价的计算：</w:t>
            </w:r>
          </w:p>
          <w:p w14:paraId="4221CDC9">
            <w:pPr>
              <w:rPr>
                <w:rFonts w:ascii="宋体" w:hAnsi="宋体" w:cs="宋体"/>
                <w:highlight w:val="none"/>
              </w:rPr>
            </w:pPr>
            <w:r>
              <w:rPr>
                <w:rFonts w:hint="eastAsia" w:ascii="宋体" w:hAnsi="宋体" w:cs="宋体"/>
                <w:highlight w:val="none"/>
              </w:rPr>
              <w:t>在开标现场，招标人将当场计算并宣布评标基准价。</w:t>
            </w:r>
          </w:p>
          <w:p w14:paraId="19A272E5">
            <w:pPr>
              <w:rPr>
                <w:rFonts w:ascii="宋体" w:hAnsi="宋体" w:cs="宋体"/>
                <w:highlight w:val="none"/>
              </w:rPr>
            </w:pPr>
            <w:r>
              <w:rPr>
                <w:rFonts w:hint="eastAsia" w:ascii="宋体" w:hAnsi="宋体" w:cs="宋体"/>
                <w:highlight w:val="none"/>
              </w:rPr>
              <w:t>（1）评标价的确定：</w:t>
            </w:r>
          </w:p>
          <w:p w14:paraId="2C9E3D63">
            <w:pPr>
              <w:rPr>
                <w:rFonts w:ascii="宋体" w:hAnsi="宋体" w:cs="宋体"/>
                <w:highlight w:val="none"/>
              </w:rPr>
            </w:pPr>
            <w:r>
              <w:rPr>
                <w:rFonts w:hint="eastAsia" w:ascii="宋体" w:hAnsi="宋体" w:cs="宋体"/>
                <w:highlight w:val="none"/>
              </w:rPr>
              <w:t>评标价=投标函文字报价</w:t>
            </w:r>
          </w:p>
          <w:p w14:paraId="3CD5B625">
            <w:pPr>
              <w:rPr>
                <w:rFonts w:ascii="宋体" w:hAnsi="宋体" w:cs="宋体"/>
                <w:highlight w:val="none"/>
              </w:rPr>
            </w:pPr>
            <w:r>
              <w:rPr>
                <w:rFonts w:hint="eastAsia" w:ascii="宋体" w:hAnsi="宋体" w:cs="宋体"/>
                <w:highlight w:val="none"/>
              </w:rPr>
              <w:t>（2）评标价平均值的计算：</w:t>
            </w:r>
          </w:p>
          <w:p w14:paraId="5F0B5240">
            <w:pPr>
              <w:rPr>
                <w:rFonts w:ascii="宋体" w:hAnsi="宋体" w:cs="宋体"/>
                <w:highlight w:val="none"/>
              </w:rPr>
            </w:pPr>
            <w:r>
              <w:rPr>
                <w:rFonts w:hint="eastAsia" w:ascii="宋体" w:hAnsi="宋体" w:cs="宋体"/>
                <w:highlight w:val="none"/>
              </w:rPr>
              <w:t>除按第二章“投标人须知”第5.2款规定开标现场被宣布为否决投标的投标报价之外，</w:t>
            </w:r>
            <w:r>
              <w:rPr>
                <w:rFonts w:hint="eastAsia" w:ascii="宋体" w:hAnsi="宋体" w:cs="宋体"/>
                <w:b/>
                <w:bCs/>
                <w:highlight w:val="none"/>
              </w:rPr>
              <w:t>所有投标人的评标价的算术平均值即为评标价平均值</w:t>
            </w:r>
            <w:r>
              <w:rPr>
                <w:rFonts w:hint="eastAsia" w:ascii="宋体" w:hAnsi="宋体" w:cs="宋体"/>
                <w:highlight w:val="none"/>
              </w:rPr>
              <w:t>(五家或五家以上时去掉一个最高值和一个最低值)。</w:t>
            </w:r>
          </w:p>
          <w:p w14:paraId="1D32054C">
            <w:pPr>
              <w:rPr>
                <w:rFonts w:ascii="宋体" w:hAnsi="宋体" w:cs="宋体"/>
                <w:highlight w:val="none"/>
              </w:rPr>
            </w:pPr>
            <w:r>
              <w:rPr>
                <w:rFonts w:hint="eastAsia" w:ascii="宋体" w:hAnsi="宋体" w:cs="宋体"/>
                <w:highlight w:val="none"/>
              </w:rPr>
              <w:t>（3）评标基准价的确定：</w:t>
            </w:r>
          </w:p>
          <w:p w14:paraId="392B030B">
            <w:pPr>
              <w:rPr>
                <w:rFonts w:ascii="宋体" w:hAnsi="宋体" w:cs="宋体"/>
                <w:b/>
                <w:bCs/>
                <w:highlight w:val="none"/>
              </w:rPr>
            </w:pPr>
            <w:r>
              <w:rPr>
                <w:rFonts w:hint="eastAsia" w:ascii="宋体" w:hAnsi="宋体" w:cs="宋体"/>
                <w:b/>
                <w:bCs/>
                <w:highlight w:val="none"/>
              </w:rPr>
              <w:t>评标价平均值作为评标基准价</w:t>
            </w:r>
          </w:p>
          <w:p w14:paraId="404FB53C">
            <w:pPr>
              <w:rPr>
                <w:rFonts w:ascii="宋体" w:hAnsi="宋体" w:cs="宋体"/>
                <w:highlight w:val="none"/>
              </w:rPr>
            </w:pPr>
            <w:r>
              <w:rPr>
                <w:rFonts w:hint="eastAsia" w:ascii="宋体" w:hAnsi="宋体" w:eastAsia="宋体" w:cs="宋体"/>
                <w:b/>
                <w:bCs/>
                <w:spacing w:val="0"/>
                <w:sz w:val="21"/>
                <w:szCs w:val="21"/>
                <w:highlight w:val="none"/>
                <w:lang w:val="zh-CN"/>
              </w:rPr>
              <w:t>在评标过程中，评标委员会应对招标人计算的评标基准价进行复核，存在计算错误的应予以修正并在评标报告中作出说明。除此之外，评标基准价在任何情况下（包括因</w:t>
            </w:r>
            <w:r>
              <w:rPr>
                <w:rFonts w:hint="eastAsia" w:ascii="宋体" w:hAnsi="宋体" w:eastAsia="宋体" w:cs="宋体"/>
                <w:b/>
                <w:bCs/>
                <w:spacing w:val="0"/>
                <w:sz w:val="21"/>
                <w:szCs w:val="21"/>
                <w:highlight w:val="none"/>
                <w:lang w:val="en-US" w:eastAsia="zh-CN"/>
              </w:rPr>
              <w:t>异议或</w:t>
            </w:r>
            <w:r>
              <w:rPr>
                <w:rFonts w:hint="eastAsia" w:ascii="宋体" w:hAnsi="宋体" w:eastAsia="宋体" w:cs="宋体"/>
                <w:b/>
                <w:bCs/>
                <w:spacing w:val="0"/>
                <w:sz w:val="21"/>
                <w:szCs w:val="21"/>
                <w:highlight w:val="none"/>
                <w:lang w:val="zh-CN"/>
              </w:rPr>
              <w:t>投诉或其他原因而进行的评标复议期间）都保持不变。</w:t>
            </w:r>
          </w:p>
        </w:tc>
      </w:tr>
      <w:tr w14:paraId="5AC24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1163" w:type="pct"/>
            <w:tcBorders>
              <w:top w:val="single" w:color="auto" w:sz="4" w:space="0"/>
              <w:bottom w:val="single" w:color="auto" w:sz="4" w:space="0"/>
              <w:right w:val="single" w:color="auto" w:sz="4" w:space="0"/>
            </w:tcBorders>
            <w:vAlign w:val="center"/>
          </w:tcPr>
          <w:p w14:paraId="7CC0BFA3">
            <w:pPr>
              <w:jc w:val="center"/>
              <w:rPr>
                <w:rFonts w:ascii="宋体" w:hAnsi="宋体" w:cs="宋体"/>
                <w:highlight w:val="none"/>
              </w:rPr>
            </w:pPr>
            <w:r>
              <w:rPr>
                <w:rFonts w:hint="eastAsia" w:ascii="宋体" w:hAnsi="宋体" w:cs="宋体"/>
                <w:highlight w:val="none"/>
              </w:rPr>
              <w:t>2.2.3</w:t>
            </w:r>
          </w:p>
        </w:tc>
        <w:tc>
          <w:tcPr>
            <w:tcW w:w="858" w:type="pct"/>
            <w:tcBorders>
              <w:top w:val="single" w:color="auto" w:sz="4" w:space="0"/>
              <w:left w:val="single" w:color="auto" w:sz="4" w:space="0"/>
              <w:bottom w:val="single" w:color="auto" w:sz="4" w:space="0"/>
              <w:right w:val="single" w:color="auto" w:sz="4" w:space="0"/>
            </w:tcBorders>
            <w:vAlign w:val="center"/>
          </w:tcPr>
          <w:p w14:paraId="6F95A05F">
            <w:pPr>
              <w:jc w:val="center"/>
              <w:rPr>
                <w:rFonts w:ascii="宋体" w:hAnsi="宋体" w:cs="宋体"/>
                <w:highlight w:val="none"/>
              </w:rPr>
            </w:pPr>
            <w:r>
              <w:rPr>
                <w:rFonts w:hint="eastAsia" w:ascii="宋体" w:hAnsi="宋体" w:cs="宋体"/>
                <w:highlight w:val="none"/>
              </w:rPr>
              <w:t>评标价的偏差率计算公式</w:t>
            </w:r>
          </w:p>
        </w:tc>
        <w:tc>
          <w:tcPr>
            <w:tcW w:w="2978" w:type="pct"/>
            <w:tcBorders>
              <w:top w:val="single" w:color="auto" w:sz="4" w:space="0"/>
              <w:left w:val="single" w:color="auto" w:sz="4" w:space="0"/>
              <w:bottom w:val="single" w:color="auto" w:sz="4" w:space="0"/>
            </w:tcBorders>
            <w:vAlign w:val="center"/>
          </w:tcPr>
          <w:p w14:paraId="3ABC46DB">
            <w:pPr>
              <w:rPr>
                <w:rFonts w:ascii="宋体" w:hAnsi="宋体" w:cs="宋体"/>
                <w:highlight w:val="none"/>
              </w:rPr>
            </w:pPr>
            <w:r>
              <w:rPr>
                <w:rFonts w:hint="eastAsia" w:ascii="宋体" w:hAnsi="宋体" w:cs="宋体"/>
                <w:highlight w:val="none"/>
              </w:rPr>
              <w:t>偏差率=100% ×（投标人评标价－评标基准价）/评标基准价</w:t>
            </w:r>
          </w:p>
        </w:tc>
      </w:tr>
      <w:tr w14:paraId="13C2F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63" w:type="pct"/>
            <w:tcBorders>
              <w:top w:val="single" w:color="auto" w:sz="4" w:space="0"/>
              <w:bottom w:val="single" w:color="auto" w:sz="4" w:space="0"/>
              <w:right w:val="single" w:color="auto" w:sz="4" w:space="0"/>
            </w:tcBorders>
            <w:vAlign w:val="center"/>
          </w:tcPr>
          <w:p w14:paraId="198D641C">
            <w:pPr>
              <w:jc w:val="center"/>
              <w:rPr>
                <w:rFonts w:ascii="宋体" w:hAnsi="宋体" w:cs="宋体"/>
                <w:highlight w:val="none"/>
              </w:rPr>
            </w:pPr>
            <w:r>
              <w:rPr>
                <w:rFonts w:hint="eastAsia" w:ascii="宋体" w:hAnsi="宋体" w:cs="宋体"/>
                <w:highlight w:val="none"/>
              </w:rPr>
              <w:t>2.2.4</w:t>
            </w:r>
          </w:p>
        </w:tc>
        <w:tc>
          <w:tcPr>
            <w:tcW w:w="858" w:type="pct"/>
            <w:tcBorders>
              <w:top w:val="single" w:color="auto" w:sz="4" w:space="0"/>
              <w:left w:val="single" w:color="auto" w:sz="4" w:space="0"/>
              <w:right w:val="single" w:color="auto" w:sz="4" w:space="0"/>
            </w:tcBorders>
            <w:vAlign w:val="center"/>
          </w:tcPr>
          <w:p w14:paraId="24F82C44">
            <w:pPr>
              <w:jc w:val="center"/>
              <w:rPr>
                <w:rFonts w:ascii="宋体" w:hAnsi="宋体" w:cs="宋体"/>
                <w:highlight w:val="none"/>
              </w:rPr>
            </w:pPr>
            <w:r>
              <w:rPr>
                <w:rFonts w:hint="eastAsia" w:ascii="宋体" w:hAnsi="宋体" w:cs="宋体"/>
                <w:highlight w:val="none"/>
              </w:rPr>
              <w:t>评标价</w:t>
            </w:r>
          </w:p>
        </w:tc>
        <w:tc>
          <w:tcPr>
            <w:tcW w:w="2978" w:type="pct"/>
            <w:tcBorders>
              <w:top w:val="single" w:color="auto" w:sz="4" w:space="0"/>
              <w:left w:val="single" w:color="auto" w:sz="4" w:space="0"/>
            </w:tcBorders>
          </w:tcPr>
          <w:p w14:paraId="0681F59E">
            <w:pPr>
              <w:rPr>
                <w:rFonts w:ascii="宋体" w:hAnsi="宋体" w:cs="宋体"/>
                <w:highlight w:val="none"/>
              </w:rPr>
            </w:pPr>
            <w:r>
              <w:rPr>
                <w:rFonts w:hint="eastAsia" w:ascii="宋体" w:hAnsi="宋体" w:cs="宋体"/>
                <w:highlight w:val="none"/>
              </w:rPr>
              <w:t>满分</w:t>
            </w:r>
            <w:r>
              <w:rPr>
                <w:rFonts w:hint="eastAsia" w:ascii="宋体" w:hAnsi="宋体" w:cs="宋体"/>
                <w:highlight w:val="none"/>
                <w:u w:val="single"/>
              </w:rPr>
              <w:t>100</w:t>
            </w:r>
            <w:r>
              <w:rPr>
                <w:rFonts w:hint="eastAsia" w:ascii="宋体" w:hAnsi="宋体" w:cs="宋体"/>
                <w:highlight w:val="none"/>
              </w:rPr>
              <w:t>分</w:t>
            </w:r>
          </w:p>
          <w:p w14:paraId="35B6F56D">
            <w:pPr>
              <w:rPr>
                <w:rFonts w:ascii="宋体" w:hAnsi="宋体" w:cs="宋体"/>
                <w:highlight w:val="none"/>
              </w:rPr>
            </w:pPr>
            <w:r>
              <w:rPr>
                <w:rFonts w:hint="eastAsia" w:ascii="宋体" w:hAnsi="宋体" w:cs="宋体"/>
                <w:highlight w:val="none"/>
              </w:rPr>
              <w:t>评标价得分计算公式示例：</w:t>
            </w:r>
          </w:p>
          <w:p w14:paraId="286C67E4">
            <w:pPr>
              <w:rPr>
                <w:rFonts w:ascii="宋体" w:hAnsi="宋体" w:cs="宋体"/>
                <w:highlight w:val="none"/>
              </w:rPr>
            </w:pPr>
            <w:r>
              <w:rPr>
                <w:rFonts w:hint="eastAsia" w:ascii="宋体" w:hAnsi="宋体" w:cs="宋体"/>
                <w:highlight w:val="none"/>
              </w:rPr>
              <w:t>（1）如果投标人的评标价&gt;评标基准价，则评标价得分＝</w:t>
            </w:r>
            <w:r>
              <w:rPr>
                <w:rFonts w:hint="eastAsia" w:ascii="宋体" w:hAnsi="宋体" w:cs="宋体"/>
                <w:highlight w:val="none"/>
                <w:u w:val="single"/>
              </w:rPr>
              <w:t>100</w:t>
            </w:r>
            <w:r>
              <w:rPr>
                <w:rFonts w:hint="eastAsia" w:ascii="宋体" w:hAnsi="宋体" w:cs="宋体"/>
                <w:highlight w:val="none"/>
              </w:rPr>
              <w:t>－偏差率×100×E</w:t>
            </w:r>
            <w:r>
              <w:rPr>
                <w:rFonts w:hint="eastAsia" w:ascii="宋体" w:hAnsi="宋体" w:cs="宋体"/>
                <w:highlight w:val="none"/>
                <w:vertAlign w:val="subscript"/>
              </w:rPr>
              <w:t>1</w:t>
            </w:r>
            <w:r>
              <w:rPr>
                <w:rFonts w:hint="eastAsia" w:ascii="宋体" w:hAnsi="宋体" w:cs="宋体"/>
                <w:highlight w:val="none"/>
              </w:rPr>
              <w:t>；</w:t>
            </w:r>
          </w:p>
          <w:p w14:paraId="72589FB1">
            <w:pPr>
              <w:rPr>
                <w:rFonts w:ascii="宋体" w:hAnsi="宋体" w:cs="宋体"/>
                <w:highlight w:val="none"/>
              </w:rPr>
            </w:pPr>
            <w:r>
              <w:rPr>
                <w:rFonts w:hint="eastAsia" w:ascii="宋体" w:hAnsi="宋体" w:cs="宋体"/>
                <w:highlight w:val="none"/>
              </w:rPr>
              <w:t>（2）如果投标人的评标价≤评标基准价，则评标价得分＝</w:t>
            </w:r>
            <w:r>
              <w:rPr>
                <w:rFonts w:hint="eastAsia" w:ascii="宋体" w:hAnsi="宋体" w:cs="宋体"/>
                <w:highlight w:val="none"/>
                <w:u w:val="single"/>
              </w:rPr>
              <w:t>100</w:t>
            </w:r>
            <w:r>
              <w:rPr>
                <w:rFonts w:hint="eastAsia" w:ascii="宋体" w:hAnsi="宋体" w:cs="宋体"/>
                <w:highlight w:val="none"/>
              </w:rPr>
              <w:t>＋偏差率×100×E</w:t>
            </w:r>
            <w:r>
              <w:rPr>
                <w:rFonts w:hint="eastAsia" w:ascii="宋体" w:hAnsi="宋体" w:cs="宋体"/>
                <w:highlight w:val="none"/>
                <w:vertAlign w:val="subscript"/>
              </w:rPr>
              <w:t>2</w:t>
            </w:r>
            <w:r>
              <w:rPr>
                <w:rFonts w:hint="eastAsia" w:ascii="宋体" w:hAnsi="宋体" w:cs="宋体"/>
                <w:highlight w:val="none"/>
              </w:rPr>
              <w:t>。</w:t>
            </w:r>
          </w:p>
          <w:p w14:paraId="52303C51">
            <w:pPr>
              <w:rPr>
                <w:rFonts w:ascii="宋体" w:hAnsi="宋体" w:cs="宋体"/>
                <w:highlight w:val="none"/>
              </w:rPr>
            </w:pPr>
            <w:r>
              <w:rPr>
                <w:rFonts w:hint="eastAsia" w:ascii="宋体" w:hAnsi="宋体" w:cs="宋体"/>
                <w:highlight w:val="none"/>
              </w:rPr>
              <w:t>其中：E</w:t>
            </w:r>
            <w:r>
              <w:rPr>
                <w:rFonts w:hint="eastAsia" w:ascii="宋体" w:hAnsi="宋体" w:cs="宋体"/>
                <w:highlight w:val="none"/>
                <w:vertAlign w:val="subscript"/>
              </w:rPr>
              <w:t>1</w:t>
            </w:r>
            <w:r>
              <w:rPr>
                <w:rFonts w:hint="eastAsia" w:ascii="宋体" w:hAnsi="宋体" w:cs="宋体"/>
                <w:highlight w:val="none"/>
              </w:rPr>
              <w:t>是评标价每高于评标基准价一个百分点的扣分值，E</w:t>
            </w:r>
            <w:r>
              <w:rPr>
                <w:rFonts w:hint="eastAsia" w:ascii="宋体" w:hAnsi="宋体" w:cs="宋体"/>
                <w:highlight w:val="none"/>
                <w:vertAlign w:val="subscript"/>
              </w:rPr>
              <w:t>1</w:t>
            </w:r>
            <w:r>
              <w:rPr>
                <w:rFonts w:hint="eastAsia" w:ascii="宋体" w:hAnsi="宋体" w:cs="宋体"/>
                <w:highlight w:val="none"/>
              </w:rPr>
              <w:t>=2；</w:t>
            </w:r>
          </w:p>
          <w:p w14:paraId="7D3D438C">
            <w:pPr>
              <w:rPr>
                <w:rFonts w:ascii="宋体" w:hAnsi="宋体" w:cs="宋体"/>
                <w:highlight w:val="none"/>
              </w:rPr>
            </w:pPr>
            <w:r>
              <w:rPr>
                <w:rFonts w:hint="eastAsia" w:ascii="宋体" w:hAnsi="宋体" w:cs="宋体"/>
                <w:highlight w:val="none"/>
              </w:rPr>
              <w:t>E</w:t>
            </w:r>
            <w:r>
              <w:rPr>
                <w:rFonts w:hint="eastAsia" w:ascii="宋体" w:hAnsi="宋体" w:cs="宋体"/>
                <w:highlight w:val="none"/>
                <w:vertAlign w:val="subscript"/>
              </w:rPr>
              <w:t>2</w:t>
            </w:r>
            <w:r>
              <w:rPr>
                <w:rFonts w:hint="eastAsia" w:ascii="宋体" w:hAnsi="宋体" w:cs="宋体"/>
                <w:highlight w:val="none"/>
              </w:rPr>
              <w:t>是评标价每低于标基准价一个百分点的扣分值，E</w:t>
            </w:r>
            <w:r>
              <w:rPr>
                <w:rFonts w:hint="eastAsia" w:ascii="宋体" w:hAnsi="宋体" w:cs="宋体"/>
                <w:highlight w:val="none"/>
                <w:vertAlign w:val="subscript"/>
              </w:rPr>
              <w:t>2</w:t>
            </w:r>
            <w:r>
              <w:rPr>
                <w:rFonts w:hint="eastAsia" w:ascii="宋体" w:hAnsi="宋体" w:cs="宋体"/>
                <w:highlight w:val="none"/>
              </w:rPr>
              <w:t>=1。</w:t>
            </w:r>
          </w:p>
        </w:tc>
      </w:tr>
    </w:tbl>
    <w:p w14:paraId="5E444603">
      <w:pPr>
        <w:widowControl/>
        <w:jc w:val="left"/>
        <w:rPr>
          <w:rFonts w:ascii="宋体"/>
          <w:highlight w:val="none"/>
        </w:rPr>
        <w:sectPr>
          <w:footerReference r:id="rId3" w:type="default"/>
          <w:pgSz w:w="11906" w:h="16838"/>
          <w:pgMar w:top="1389" w:right="1474" w:bottom="1389" w:left="1644" w:header="851" w:footer="992" w:gutter="0"/>
          <w:cols w:space="720" w:num="1"/>
        </w:sectPr>
      </w:pPr>
    </w:p>
    <w:p w14:paraId="7DE1C70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评标方法</w:t>
      </w:r>
    </w:p>
    <w:p w14:paraId="654709B6">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次评标采用合理低价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7345B851">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评审标准</w:t>
      </w:r>
    </w:p>
    <w:p w14:paraId="5976B291">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 初步评审标准</w:t>
      </w:r>
    </w:p>
    <w:p w14:paraId="6108184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2.1.1 形式评审标准：见评标办法前附表。</w:t>
      </w:r>
    </w:p>
    <w:p w14:paraId="5E66BBF1">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2.1.2 资格评审标准：见评标办法前附表。</w:t>
      </w:r>
    </w:p>
    <w:p w14:paraId="7AF1EE5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2.1.3 响应性评审标准：见评标办法前附表。</w:t>
      </w:r>
    </w:p>
    <w:p w14:paraId="4A18F08D">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 分值构成与评分标准</w:t>
      </w:r>
    </w:p>
    <w:p w14:paraId="5FC88673">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2.2.1 分值构成</w:t>
      </w:r>
    </w:p>
    <w:p w14:paraId="5FABF5BB">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评标价：见评标办法前附表。</w:t>
      </w:r>
    </w:p>
    <w:p w14:paraId="2DA392D1">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2.2.2 评标基准价计算</w:t>
      </w:r>
    </w:p>
    <w:p w14:paraId="5F7B3357">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评标基准价计算方法：见评标办法前附表。计算结果保留小数点后两位，小数点后第三位“四舍五入”。</w:t>
      </w:r>
    </w:p>
    <w:p w14:paraId="425E9A39">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2.2.3 评标价的偏差率计算</w:t>
      </w:r>
    </w:p>
    <w:p w14:paraId="1784B2A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评标价的偏差率计算公式：见评标办法前附表。</w:t>
      </w:r>
    </w:p>
    <w:p w14:paraId="51744E20">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2.2.4 评分标准</w:t>
      </w:r>
    </w:p>
    <w:p w14:paraId="18CD09D4">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评标价评分标准：见评标办法前附表。</w:t>
      </w:r>
    </w:p>
    <w:p w14:paraId="7E6F5FB9">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 评标程序</w:t>
      </w:r>
    </w:p>
    <w:p w14:paraId="613682B0">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 第一个信封初步评审</w:t>
      </w:r>
    </w:p>
    <w:p w14:paraId="114315BB">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3.1.1 评标委员会依据本章第2.1款规定的标准对投标文件第一个信封（</w:t>
      </w:r>
      <w:r>
        <w:rPr>
          <w:rFonts w:hint="eastAsia" w:ascii="宋体" w:hAnsi="宋体" w:cs="宋体"/>
          <w:color w:val="000000" w:themeColor="text1"/>
          <w:highlight w:val="none"/>
          <w:lang w:eastAsia="zh-CN"/>
          <w14:textFill>
            <w14:solidFill>
              <w14:schemeClr w14:val="tx1"/>
            </w14:solidFill>
          </w14:textFill>
        </w:rPr>
        <w:t>资格审查文件</w:t>
      </w:r>
      <w:r>
        <w:rPr>
          <w:rFonts w:hint="eastAsia" w:ascii="宋体" w:hAnsi="宋体" w:cs="宋体"/>
          <w:color w:val="000000" w:themeColor="text1"/>
          <w:highlight w:val="none"/>
          <w14:textFill>
            <w14:solidFill>
              <w14:schemeClr w14:val="tx1"/>
            </w14:solidFill>
          </w14:textFill>
        </w:rPr>
        <w:t>）进行初步评审。有一项不符合评审标准的，评标委员会应否决其投标。</w:t>
      </w:r>
    </w:p>
    <w:p w14:paraId="57311785">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 第二个信封开标</w:t>
      </w:r>
    </w:p>
    <w:p w14:paraId="1872EFA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第一个信封（</w:t>
      </w:r>
      <w:r>
        <w:rPr>
          <w:rFonts w:hint="eastAsia" w:ascii="宋体" w:hAnsi="宋体" w:cs="宋体"/>
          <w:color w:val="000000" w:themeColor="text1"/>
          <w:highlight w:val="none"/>
          <w:lang w:eastAsia="zh-CN"/>
          <w14:textFill>
            <w14:solidFill>
              <w14:schemeClr w14:val="tx1"/>
            </w14:solidFill>
          </w14:textFill>
        </w:rPr>
        <w:t>资格审查文件</w:t>
      </w:r>
      <w:r>
        <w:rPr>
          <w:rFonts w:hint="eastAsia" w:ascii="宋体" w:hAnsi="宋体" w:cs="宋体"/>
          <w:color w:val="000000" w:themeColor="text1"/>
          <w:highlight w:val="none"/>
          <w14:textFill>
            <w14:solidFill>
              <w14:schemeClr w14:val="tx1"/>
            </w14:solidFill>
          </w14:textFill>
        </w:rPr>
        <w:t>）评审结束后，招标人将按照第二章“投标人须知”第5.1款规定的时间和地点对通过投标文件第一个信封（</w:t>
      </w:r>
      <w:r>
        <w:rPr>
          <w:rFonts w:hint="eastAsia" w:ascii="宋体" w:hAnsi="宋体" w:cs="宋体"/>
          <w:color w:val="000000" w:themeColor="text1"/>
          <w:highlight w:val="none"/>
          <w:lang w:eastAsia="zh-CN"/>
          <w14:textFill>
            <w14:solidFill>
              <w14:schemeClr w14:val="tx1"/>
            </w14:solidFill>
          </w14:textFill>
        </w:rPr>
        <w:t>资格审查文件</w:t>
      </w:r>
      <w:r>
        <w:rPr>
          <w:rFonts w:hint="eastAsia" w:ascii="宋体" w:hAnsi="宋体" w:cs="宋体"/>
          <w:color w:val="000000" w:themeColor="text1"/>
          <w:highlight w:val="none"/>
          <w14:textFill>
            <w14:solidFill>
              <w14:schemeClr w14:val="tx1"/>
            </w14:solidFill>
          </w14:textFill>
        </w:rPr>
        <w:t>）评审的所有投标文件第二个信封（报价文件）进行开标。</w:t>
      </w:r>
    </w:p>
    <w:p w14:paraId="2803C4D9">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 第二个信封初步评审</w:t>
      </w:r>
    </w:p>
    <w:p w14:paraId="7410FA91">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3.3.1 评标委员会依据本章第2.1.1项、第2.1.3项规定的评审标准对投标文件第二个信封（报价文件）进行初步评审。有一项不符合评审标准的，评标委员会应否决其投标。</w:t>
      </w:r>
    </w:p>
    <w:p w14:paraId="4B50F1CA">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 第二个信封详细评审</w:t>
      </w:r>
    </w:p>
    <w:p w14:paraId="77C2B12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3.4.1 评标委员会按本章第2.2款规定的量化因素和分值进行打分，并计算出综合评估得分。</w:t>
      </w:r>
    </w:p>
    <w:p w14:paraId="559E8962">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3.4.2 投标人得分分值计算保留小数点后两位，小数点后第三位“四舍五入”。</w:t>
      </w:r>
    </w:p>
    <w:p w14:paraId="29476D1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40E65055">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3.5 投标文件相关信息的核查</w:t>
      </w:r>
    </w:p>
    <w:p w14:paraId="4872DF41">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3.5.1 在评标过程中，评标委员会应按照招标文件第二章“投标人须知”第3.5款的规定对投标人的资质、业绩、主要人员资历和目前在岗情况等信息进行核实。若投标文件载明的信息与核实的信息不符，使得投标人的资格条件不符合招标文件规定的，评标委员会应否决其投标。</w:t>
      </w:r>
    </w:p>
    <w:p w14:paraId="2E5E0C13">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3.5.2 评标委员会应对在评标过程中发现的投标人与投标人之间、投标人与招标人之间存在的串通投标的情形进行评审和认定。投标人存在串通投标、弄虚作假、行贿等违法行为的，评标委员会应否决其投标。</w:t>
      </w:r>
    </w:p>
    <w:p w14:paraId="06664D4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（1）有下列情形之一的，属于投标人相互串通投标：</w:t>
      </w:r>
    </w:p>
    <w:p w14:paraId="24A3554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a.投标人之间协商投标报价等投标文件的实质性内容，含按照相互约定不实质性响应招标文件的、按照相互约定制定投标方案的；</w:t>
      </w:r>
    </w:p>
    <w:p w14:paraId="78D63F5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b.投标人之间约定中标人，含相互约定给予未中标的投标人费用补偿的；</w:t>
      </w:r>
    </w:p>
    <w:p w14:paraId="5F2B7580">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c.投标人之间约定部分投标人放弃投标或中标；</w:t>
      </w:r>
    </w:p>
    <w:p w14:paraId="0B39CD6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d.属于同一集团、协会、商会等组织成员的投标人按照该组织要求协同投标；</w:t>
      </w:r>
    </w:p>
    <w:p w14:paraId="472A67CA">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e.投标人之间为谋取中标或排斥特定投标人而采取的其他联合行动；</w:t>
      </w:r>
    </w:p>
    <w:p w14:paraId="1525B147">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f.法律、法规、规章规定的其他相互串通投标行为。</w:t>
      </w:r>
    </w:p>
    <w:p w14:paraId="364DE9D0">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（2）有下列情形之一的，视为投标人相互串通投标：</w:t>
      </w:r>
    </w:p>
    <w:p w14:paraId="4B411CF2">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a.不同投标人的投标文件由同一单位或个人编制，含不同投标人的电子投标文件出自同一台电脑的、不同投标人的投标文件由同一投标人的附属设备打印复印的、不同投标人的投标报价出自同一电子文档的；</w:t>
      </w:r>
    </w:p>
    <w:p w14:paraId="0EB5D2B6">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b.不同投标人委托同一单位或个人办理投标事宜；</w:t>
      </w:r>
    </w:p>
    <w:p w14:paraId="6FC9697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c.不同投标人的投标文件载明的项目管理成员为同一人；</w:t>
      </w:r>
    </w:p>
    <w:p w14:paraId="545BB8F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d.不同投标人的投标文件异常一致或投标报价呈规律性差异，含不同投标人编制的投标文件存在两处以上一致性错误的；</w:t>
      </w:r>
    </w:p>
    <w:p w14:paraId="371618E7">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e.不同投标人的投标文件相互混装；</w:t>
      </w:r>
    </w:p>
    <w:p w14:paraId="3CE26E10">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f.不同投标人的投标保证金从同一单位或个人的账户转出，或虽然经由投标人自己的基本账户转出，但所需资金均是来自同一单位或者个人的账户的；</w:t>
      </w:r>
    </w:p>
    <w:p w14:paraId="59EBB24A">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g.法律、法规、规章规定的其他视为相互串通投标的行为。</w:t>
      </w:r>
    </w:p>
    <w:p w14:paraId="2413E365">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（3）有下列情形之一的，属于招标人与投标人串通投标：</w:t>
      </w:r>
    </w:p>
    <w:p w14:paraId="14E6856D">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a.招标人在开标前开启投标文件并将有关信息泄露给其他投标人，含直接或者间接向投标人泄露已经获取招标文件的潜在投标人的名称、数量的;</w:t>
      </w:r>
    </w:p>
    <w:p w14:paraId="61F64DE7">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b.招标人直接或间接向投标人泄露标底、评标委员会成员等信息，含直接或者间接向投标利害关系人泄露评标情况的；</w:t>
      </w:r>
    </w:p>
    <w:p w14:paraId="612BD75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c.招标人明示或暗示投标人压低或抬高投标报价；</w:t>
      </w:r>
    </w:p>
    <w:p w14:paraId="6C4E9781">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d.招标人授意投标人撤换、修改投标文件，含故意损毁、篡改特定投标文件内容；</w:t>
      </w:r>
    </w:p>
    <w:p w14:paraId="56BE37C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e.招标人明示或暗示投标人为特定投标人中标提供方便；</w:t>
      </w:r>
    </w:p>
    <w:p w14:paraId="6651B80C">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f.招标人与投标人为谋求特定投标人中标而采取的其他串通行为；</w:t>
      </w:r>
    </w:p>
    <w:p w14:paraId="585CFE1D">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g.法律、法规、规章规定的其他串通投标行为。</w:t>
      </w:r>
    </w:p>
    <w:p w14:paraId="3430A55D">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（4）投标人有下列情形之一的，属于弄虚作假的行为：</w:t>
      </w:r>
    </w:p>
    <w:p w14:paraId="0FB347FE">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a.使用通过受让或租借等方式获取的资格、资质证书投标，含由其他单位或者其他单位负责人在自己编制的投标文件上加盖印章或者签字的；</w:t>
      </w:r>
    </w:p>
    <w:p w14:paraId="00EDFF3A">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b.使用伪造、变造的许可证件；</w:t>
      </w:r>
    </w:p>
    <w:p w14:paraId="212FDB84">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c.提供虚假的财务状况或业绩；</w:t>
      </w:r>
    </w:p>
    <w:p w14:paraId="3F76CBB7">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d.项目负责人或者主要技术人员不是本单位人员，提供虚假的项目负责人或主要技术人员简历、劳动关系证明；</w:t>
      </w:r>
    </w:p>
    <w:p w14:paraId="0DD1BF0A">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e.提供虚假的信用状况；</w:t>
      </w:r>
    </w:p>
    <w:p w14:paraId="4FFCE79D">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f.投标保证金不是从投标人的账户缴纳的；</w:t>
      </w:r>
    </w:p>
    <w:p w14:paraId="7B60E2ED">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g.投标文件中有与事实不符的承诺材料的；</w:t>
      </w:r>
    </w:p>
    <w:p w14:paraId="55E0B4C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h.隐瞒招标文件要求提供的信息，或者提供虚假、引人误解的其他信息的；</w:t>
      </w:r>
    </w:p>
    <w:p w14:paraId="2BC12C90">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i.法律、法规、规章规定的其他弄虚作假的行为。</w:t>
      </w:r>
    </w:p>
    <w:p w14:paraId="14A80F0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3.6 投标文件的澄清和说明</w:t>
      </w:r>
    </w:p>
    <w:p w14:paraId="349A0DB8">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3.6.1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62D3B551">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3.6.2 澄清和说明不得超出投标文件的范围或改变投标文件的实质性内容。投标人的书面澄清、说明属于投标文件的组成部分。</w:t>
      </w:r>
    </w:p>
    <w:p w14:paraId="26B37FFD">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3.6.3 评标委员会不得暗示或诱导投标人作出澄清、说明，对投标人提交的澄清、说明有疑问的，可以要求投标人进一步澄清或说明，直至满足评标委员会的要求。</w:t>
      </w:r>
    </w:p>
    <w:p w14:paraId="72F8F396">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3.6.4 凡超出招标文件规定的或给发包人带来未曾要求的利益的变化、偏差或其他因素在评标时不予考虑。</w:t>
      </w:r>
    </w:p>
    <w:p w14:paraId="5875023F">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3.7 不得否决投标的情形</w:t>
      </w:r>
    </w:p>
    <w:p w14:paraId="57EB0644">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投标文件存在第二章“投标人须知”第1.12.3项所列情形的，均视为细微偏差，评标委员会不得否决投标人的投标，应按照第二章“投标人须知”第1.12.4项规定的原则处理。</w:t>
      </w:r>
    </w:p>
    <w:p w14:paraId="54679E15">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3.8 评标结果</w:t>
      </w:r>
    </w:p>
    <w:p w14:paraId="3C0A4FC6">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3.8.1 除第二章“投标人须知”前附表授权直接确定中标人外，评标委员会按照得分由高到低的顺序推荐中标候选人，并标明排序。</w:t>
      </w:r>
    </w:p>
    <w:p w14:paraId="7B38B147">
      <w:pPr>
        <w:spacing w:line="36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3.8.2 评标委员会完成评标后，应向招标人提交书面评标报告。</w:t>
      </w:r>
    </w:p>
    <w:p w14:paraId="05CC4F3D">
      <w:pPr>
        <w:pStyle w:val="11"/>
        <w:spacing w:line="360" w:lineRule="atLeast"/>
        <w:ind w:firstLine="480"/>
        <w:rPr>
          <w:rFonts w:ascii="隶书" w:hAnsi="黑体" w:eastAsia="隶书"/>
          <w:color w:val="000000" w:themeColor="text1"/>
          <w:highlight w:val="none"/>
          <w14:textFill>
            <w14:solidFill>
              <w14:schemeClr w14:val="tx1"/>
            </w14:solidFill>
          </w14:textFill>
        </w:rPr>
      </w:pPr>
    </w:p>
    <w:p w14:paraId="45B06146">
      <w:pPr>
        <w:widowControl/>
        <w:jc w:val="left"/>
        <w:rPr>
          <w:bCs/>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br w:type="page"/>
      </w:r>
    </w:p>
    <w:p w14:paraId="16AD181B">
      <w:pPr>
        <w:pStyle w:val="21"/>
        <w:spacing w:line="240" w:lineRule="auto"/>
        <w:outlineLvl w:val="9"/>
        <w:rPr>
          <w:rFonts w:eastAsia="宋体"/>
          <w:color w:val="000000" w:themeColor="text1"/>
          <w:sz w:val="48"/>
          <w:szCs w:val="48"/>
          <w:highlight w:val="none"/>
          <w14:textFill>
            <w14:solidFill>
              <w14:schemeClr w14:val="tx1"/>
            </w14:solidFill>
          </w14:textFill>
        </w:rPr>
      </w:pPr>
    </w:p>
    <w:p w14:paraId="69382B4A">
      <w:pPr>
        <w:rPr>
          <w:color w:val="000000" w:themeColor="text1"/>
          <w:sz w:val="48"/>
          <w:szCs w:val="48"/>
          <w:highlight w:val="none"/>
          <w14:textFill>
            <w14:solidFill>
              <w14:schemeClr w14:val="tx1"/>
            </w14:solidFill>
          </w14:textFill>
        </w:rPr>
      </w:pPr>
    </w:p>
    <w:p w14:paraId="0F3C5672">
      <w:pPr>
        <w:pStyle w:val="2"/>
        <w:rPr>
          <w:color w:val="000000" w:themeColor="text1"/>
          <w:sz w:val="48"/>
          <w:szCs w:val="48"/>
          <w:highlight w:val="none"/>
          <w14:textFill>
            <w14:solidFill>
              <w14:schemeClr w14:val="tx1"/>
            </w14:solidFill>
          </w14:textFill>
        </w:rPr>
      </w:pPr>
    </w:p>
    <w:p w14:paraId="66A5DD1D">
      <w:pPr>
        <w:rPr>
          <w:color w:val="000000" w:themeColor="text1"/>
          <w:sz w:val="48"/>
          <w:szCs w:val="48"/>
          <w:highlight w:val="none"/>
          <w14:textFill>
            <w14:solidFill>
              <w14:schemeClr w14:val="tx1"/>
            </w14:solidFill>
          </w14:textFill>
        </w:rPr>
      </w:pPr>
    </w:p>
    <w:p w14:paraId="32A45784">
      <w:pPr>
        <w:pStyle w:val="2"/>
        <w:rPr>
          <w:color w:val="000000" w:themeColor="text1"/>
          <w:sz w:val="48"/>
          <w:szCs w:val="48"/>
          <w:highlight w:val="none"/>
          <w14:textFill>
            <w14:solidFill>
              <w14:schemeClr w14:val="tx1"/>
            </w14:solidFill>
          </w14:textFill>
        </w:rPr>
      </w:pPr>
    </w:p>
    <w:p w14:paraId="216BCE48">
      <w:pPr>
        <w:rPr>
          <w:color w:val="000000" w:themeColor="text1"/>
          <w:sz w:val="48"/>
          <w:szCs w:val="48"/>
          <w:highlight w:val="none"/>
          <w14:textFill>
            <w14:solidFill>
              <w14:schemeClr w14:val="tx1"/>
            </w14:solidFill>
          </w14:textFill>
        </w:rPr>
      </w:pPr>
    </w:p>
    <w:p w14:paraId="6ED67ED8">
      <w:pPr>
        <w:pStyle w:val="2"/>
        <w:rPr>
          <w:color w:val="000000" w:themeColor="text1"/>
          <w:sz w:val="48"/>
          <w:szCs w:val="48"/>
          <w:highlight w:val="none"/>
          <w14:textFill>
            <w14:solidFill>
              <w14:schemeClr w14:val="tx1"/>
            </w14:solidFill>
          </w14:textFill>
        </w:rPr>
      </w:pPr>
    </w:p>
    <w:p w14:paraId="530FD5D1">
      <w:pPr>
        <w:rPr>
          <w:color w:val="000000" w:themeColor="text1"/>
          <w:sz w:val="48"/>
          <w:szCs w:val="48"/>
          <w:highlight w:val="none"/>
          <w14:textFill>
            <w14:solidFill>
              <w14:schemeClr w14:val="tx1"/>
            </w14:solidFill>
          </w14:textFill>
        </w:rPr>
      </w:pPr>
    </w:p>
    <w:p w14:paraId="0A7338A0">
      <w:pPr>
        <w:pStyle w:val="2"/>
        <w:rPr>
          <w:color w:val="000000" w:themeColor="text1"/>
          <w:sz w:val="48"/>
          <w:szCs w:val="48"/>
          <w:highlight w:val="none"/>
          <w14:textFill>
            <w14:solidFill>
              <w14:schemeClr w14:val="tx1"/>
            </w14:solidFill>
          </w14:textFill>
        </w:rPr>
      </w:pPr>
    </w:p>
    <w:p w14:paraId="6B501CE9">
      <w:pPr>
        <w:rPr>
          <w:highlight w:val="none"/>
        </w:rPr>
      </w:pPr>
    </w:p>
    <w:p w14:paraId="3695EA12">
      <w:pPr>
        <w:widowControl/>
        <w:jc w:val="left"/>
        <w:rPr>
          <w:color w:val="000000" w:themeColor="text1"/>
          <w:kern w:val="44"/>
          <w:sz w:val="52"/>
          <w:szCs w:val="52"/>
          <w:highlight w:val="none"/>
          <w14:textFill>
            <w14:solidFill>
              <w14:schemeClr w14:val="tx1"/>
            </w14:solidFill>
          </w14:textFill>
        </w:rPr>
      </w:pPr>
      <w:bookmarkStart w:id="224" w:name="_Toc152045609"/>
      <w:bookmarkStart w:id="225" w:name="_Toc144974577"/>
      <w:bookmarkStart w:id="226" w:name="_Toc179632627"/>
      <w:bookmarkStart w:id="227" w:name="_Toc152042387"/>
    </w:p>
    <w:p w14:paraId="1225A3C3">
      <w:pPr>
        <w:pStyle w:val="3"/>
        <w:spacing w:before="0" w:after="0" w:line="240" w:lineRule="auto"/>
        <w:jc w:val="center"/>
        <w:rPr>
          <w:b w:val="0"/>
          <w:bCs w:val="0"/>
          <w:color w:val="000000" w:themeColor="text1"/>
          <w:sz w:val="52"/>
          <w:szCs w:val="52"/>
          <w:highlight w:val="none"/>
          <w14:textFill>
            <w14:solidFill>
              <w14:schemeClr w14:val="tx1"/>
            </w14:solidFill>
          </w14:textFill>
        </w:rPr>
      </w:pPr>
      <w:bookmarkStart w:id="228" w:name="_Toc2486"/>
      <w:bookmarkStart w:id="229" w:name="_Toc15846"/>
      <w:r>
        <w:rPr>
          <w:rFonts w:hint="eastAsia" w:cs="黑体"/>
          <w:b w:val="0"/>
          <w:bCs w:val="0"/>
          <w:color w:val="000000" w:themeColor="text1"/>
          <w:sz w:val="52"/>
          <w:szCs w:val="52"/>
          <w:highlight w:val="none"/>
          <w14:textFill>
            <w14:solidFill>
              <w14:schemeClr w14:val="tx1"/>
            </w14:solidFill>
          </w14:textFill>
        </w:rPr>
        <w:t>第</w:t>
      </w:r>
      <w:r>
        <w:rPr>
          <w:rFonts w:hint="eastAsia" w:cs="黑体"/>
          <w:b w:val="0"/>
          <w:bCs w:val="0"/>
          <w:color w:val="000000" w:themeColor="text1"/>
          <w:sz w:val="52"/>
          <w:szCs w:val="52"/>
          <w:highlight w:val="none"/>
          <w:lang w:val="en-US" w:eastAsia="zh-CN"/>
          <w14:textFill>
            <w14:solidFill>
              <w14:schemeClr w14:val="tx1"/>
            </w14:solidFill>
          </w14:textFill>
        </w:rPr>
        <w:t>四</w:t>
      </w:r>
      <w:r>
        <w:rPr>
          <w:rFonts w:hint="eastAsia" w:cs="黑体"/>
          <w:b w:val="0"/>
          <w:bCs w:val="0"/>
          <w:color w:val="000000" w:themeColor="text1"/>
          <w:sz w:val="52"/>
          <w:szCs w:val="52"/>
          <w:highlight w:val="none"/>
          <w14:textFill>
            <w14:solidFill>
              <w14:schemeClr w14:val="tx1"/>
            </w14:solidFill>
          </w14:textFill>
        </w:rPr>
        <w:t>章合同条款及格式</w:t>
      </w:r>
      <w:bookmarkEnd w:id="224"/>
      <w:bookmarkEnd w:id="225"/>
      <w:bookmarkEnd w:id="226"/>
      <w:bookmarkEnd w:id="227"/>
      <w:bookmarkEnd w:id="228"/>
      <w:bookmarkEnd w:id="229"/>
    </w:p>
    <w:p w14:paraId="25A4EACF">
      <w:pPr>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9605489">
      <w:pPr>
        <w:keepNext/>
        <w:keepLines/>
        <w:adjustRightInd w:val="0"/>
        <w:snapToGrid w:val="0"/>
        <w:spacing w:line="360" w:lineRule="auto"/>
        <w:jc w:val="center"/>
        <w:outlineLvl w:val="0"/>
        <w:rPr>
          <w:rFonts w:ascii="宋体" w:hAnsi="宋体" w:cs="宋体"/>
          <w:b/>
          <w:bCs/>
          <w:kern w:val="44"/>
          <w:sz w:val="30"/>
          <w:szCs w:val="30"/>
          <w:highlight w:val="none"/>
        </w:rPr>
      </w:pPr>
      <w:bookmarkStart w:id="230" w:name="_Toc10494"/>
      <w:r>
        <w:rPr>
          <w:rFonts w:hint="eastAsia" w:ascii="宋体" w:hAnsi="宋体" w:cs="宋体"/>
          <w:b/>
          <w:bCs/>
          <w:kern w:val="44"/>
          <w:sz w:val="30"/>
          <w:szCs w:val="30"/>
          <w:highlight w:val="none"/>
        </w:rPr>
        <w:t>合同条款</w:t>
      </w:r>
      <w:bookmarkEnd w:id="230"/>
    </w:p>
    <w:p w14:paraId="79803D47">
      <w:pPr>
        <w:keepNext/>
        <w:adjustRightInd w:val="0"/>
        <w:snapToGrid w:val="0"/>
        <w:spacing w:line="360" w:lineRule="auto"/>
        <w:ind w:firstLine="422" w:firstLineChars="200"/>
        <w:jc w:val="left"/>
        <w:outlineLvl w:val="3"/>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一、名词解释</w:t>
      </w:r>
    </w:p>
    <w:p w14:paraId="024201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除另有说明外，下列名词的含义如下：</w:t>
      </w:r>
    </w:p>
    <w:p w14:paraId="59869C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1、“发包人”是指投资建设的单位，本工程是</w:t>
      </w:r>
      <w:r>
        <w:rPr>
          <w:rFonts w:hint="eastAsia" w:asciiTheme="minorEastAsia" w:hAnsiTheme="minorEastAsia" w:eastAsiaTheme="minorEastAsia" w:cstheme="minorEastAsia"/>
          <w:bCs/>
          <w:kern w:val="44"/>
          <w:highlight w:val="none"/>
        </w:rPr>
        <w:t>南通市交通公共事业发展中心</w:t>
      </w:r>
      <w:r>
        <w:rPr>
          <w:rFonts w:hint="eastAsia" w:asciiTheme="minorEastAsia" w:hAnsiTheme="minorEastAsia" w:eastAsiaTheme="minorEastAsia" w:cstheme="minorEastAsia"/>
          <w:kern w:val="0"/>
          <w:highlight w:val="none"/>
        </w:rPr>
        <w:t>（又称为“甲方”）</w:t>
      </w:r>
      <w:r>
        <w:rPr>
          <w:rFonts w:hint="eastAsia" w:asciiTheme="minorEastAsia" w:hAnsiTheme="minorEastAsia" w:eastAsiaTheme="minorEastAsia" w:cstheme="minorEastAsia"/>
          <w:highlight w:val="none"/>
        </w:rPr>
        <w:t>。</w:t>
      </w:r>
    </w:p>
    <w:p w14:paraId="428E5C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bookmarkStart w:id="231" w:name="_Toc31262060"/>
      <w:r>
        <w:rPr>
          <w:rFonts w:hint="eastAsia" w:asciiTheme="minorEastAsia" w:hAnsiTheme="minorEastAsia" w:eastAsiaTheme="minorEastAsia" w:cstheme="minorEastAsia"/>
          <w:kern w:val="0"/>
          <w:highlight w:val="none"/>
        </w:rPr>
        <w:t>2、承包单位</w:t>
      </w:r>
    </w:p>
    <w:p w14:paraId="51C13A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是指接到建设(业主)单位中标通知，并与业主签订了承包协议书的竞标单位。“乙方”的定义和“承包单位”的定义相同。</w:t>
      </w:r>
    </w:p>
    <w:p w14:paraId="3B88C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3、项目经理</w:t>
      </w:r>
    </w:p>
    <w:p w14:paraId="002D89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是指由承包单位委派、全面负责其承包工程按合同规定施工的经济和技术的代理人。乙方应将对项目经理的委任以书面形式通知甲方。</w:t>
      </w:r>
    </w:p>
    <w:p w14:paraId="454731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4、工程</w:t>
      </w:r>
    </w:p>
    <w:p w14:paraId="7BFC47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是指列入本合同必须完成的全部工程（包括临时工程以及由符合程序而签署变更通知和额外工程项目）。</w:t>
      </w:r>
    </w:p>
    <w:p w14:paraId="246D56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5、施工设备</w:t>
      </w:r>
    </w:p>
    <w:p w14:paraId="2CC376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是指乙方为实施完成本合同工程所必须的全部机械、器具等。</w:t>
      </w:r>
    </w:p>
    <w:p w14:paraId="0F11E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6、合同价款</w:t>
      </w:r>
    </w:p>
    <w:p w14:paraId="012FC3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bCs/>
          <w:kern w:val="0"/>
          <w:highlight w:val="none"/>
        </w:rPr>
        <w:t>指合同规定甲方全面正确地履行合同义务应支付给乙方的价格</w:t>
      </w:r>
      <w:r>
        <w:rPr>
          <w:rFonts w:hint="eastAsia" w:asciiTheme="minorEastAsia" w:hAnsiTheme="minorEastAsia" w:eastAsiaTheme="minorEastAsia" w:cstheme="minorEastAsia"/>
          <w:kern w:val="0"/>
          <w:highlight w:val="none"/>
        </w:rPr>
        <w:t>。</w:t>
      </w:r>
    </w:p>
    <w:p w14:paraId="349391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7、技术规范</w:t>
      </w:r>
    </w:p>
    <w:p w14:paraId="511BDF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是指招标文件中的技术要求，是对本合同工程施工的技术要求。</w:t>
      </w:r>
    </w:p>
    <w:p w14:paraId="3482F2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8、合同</w:t>
      </w:r>
    </w:p>
    <w:p w14:paraId="16E83C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是甲方和乙方法定代表人或其授权代表之间正式签订的相互明确权利和义务关系的协议。</w:t>
      </w:r>
    </w:p>
    <w:p w14:paraId="41E08E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9、“年”、“月”和“日”</w:t>
      </w:r>
    </w:p>
    <w:p w14:paraId="595108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都应按公历计算。“天”：是指日历天。</w:t>
      </w:r>
    </w:p>
    <w:p w14:paraId="11938E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10、“元”</w:t>
      </w:r>
    </w:p>
    <w:p w14:paraId="51FDB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是指人民币元，是本合同中的货币单位。</w:t>
      </w:r>
    </w:p>
    <w:bookmarkEnd w:id="231"/>
    <w:p w14:paraId="4EA7A2F7">
      <w:pPr>
        <w:keepNext/>
        <w:keepLines/>
        <w:adjustRightInd w:val="0"/>
        <w:snapToGrid w:val="0"/>
        <w:spacing w:line="360" w:lineRule="auto"/>
        <w:ind w:firstLine="422" w:firstLineChars="200"/>
        <w:outlineLvl w:val="3"/>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二、双方的权利与义务</w:t>
      </w:r>
    </w:p>
    <w:p w14:paraId="63C406B3">
      <w:pPr>
        <w:widowControl/>
        <w:adjustRightInd w:val="0"/>
        <w:snapToGrid w:val="0"/>
        <w:spacing w:line="360" w:lineRule="auto"/>
        <w:ind w:firstLine="422" w:firstLineChars="200"/>
        <w:rPr>
          <w:rFonts w:asciiTheme="minorEastAsia" w:hAnsiTheme="minorEastAsia" w:eastAsiaTheme="minorEastAsia" w:cstheme="minorEastAsia"/>
          <w:b/>
          <w:kern w:val="0"/>
          <w:highlight w:val="none"/>
        </w:rPr>
      </w:pPr>
      <w:r>
        <w:rPr>
          <w:rFonts w:hint="eastAsia" w:asciiTheme="minorEastAsia" w:hAnsiTheme="minorEastAsia" w:eastAsiaTheme="minorEastAsia" w:cstheme="minorEastAsia"/>
          <w:b/>
          <w:kern w:val="0"/>
          <w:highlight w:val="none"/>
        </w:rPr>
        <w:t>甲方主要义务</w:t>
      </w:r>
    </w:p>
    <w:p w14:paraId="482D5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1、提供本工程相关资料。</w:t>
      </w:r>
    </w:p>
    <w:p w14:paraId="3B92A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2、检查和监督乙方的施工工艺、施工质量、施工进度以及安全生产和环境保护工作。</w:t>
      </w:r>
    </w:p>
    <w:p w14:paraId="472E678D">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rPr>
        <w:t>3、</w:t>
      </w:r>
      <w:r>
        <w:rPr>
          <w:rFonts w:hint="eastAsia" w:asciiTheme="minorEastAsia" w:hAnsiTheme="minorEastAsia" w:eastAsiaTheme="minorEastAsia" w:cstheme="minorEastAsia"/>
          <w:highlight w:val="none"/>
        </w:rPr>
        <w:t>审查乙方上报的工程计量支付申请，按工程计量及考核结果及时支付工程款。</w:t>
      </w:r>
    </w:p>
    <w:p w14:paraId="5E14923C">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rPr>
        <w:t>4、</w:t>
      </w:r>
      <w:r>
        <w:rPr>
          <w:rFonts w:hint="eastAsia" w:asciiTheme="minorEastAsia" w:hAnsiTheme="minorEastAsia" w:eastAsiaTheme="minorEastAsia" w:cstheme="minorEastAsia"/>
          <w:highlight w:val="none"/>
        </w:rPr>
        <w:t>甲方应加强对乙方安全和科学生产的教育、指导、监督。</w:t>
      </w:r>
    </w:p>
    <w:p w14:paraId="6B2CBE52">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rPr>
        <w:t>5、</w:t>
      </w:r>
      <w:r>
        <w:rPr>
          <w:rFonts w:hint="eastAsia" w:asciiTheme="minorEastAsia" w:hAnsiTheme="minorEastAsia" w:eastAsiaTheme="minorEastAsia" w:cstheme="minorEastAsia"/>
          <w:highlight w:val="none"/>
        </w:rPr>
        <w:t>甲方应及时派员检查乙方工作情况。</w:t>
      </w:r>
    </w:p>
    <w:p w14:paraId="026A2FD1">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rPr>
        <w:t>6、</w:t>
      </w:r>
      <w:r>
        <w:rPr>
          <w:rFonts w:hint="eastAsia" w:asciiTheme="minorEastAsia" w:hAnsiTheme="minorEastAsia" w:eastAsiaTheme="minorEastAsia" w:cstheme="minorEastAsia"/>
          <w:highlight w:val="none"/>
        </w:rPr>
        <w:t>双方约定甲方应做的其他工作。</w:t>
      </w:r>
    </w:p>
    <w:p w14:paraId="319F550C">
      <w:pPr>
        <w:widowControl/>
        <w:adjustRightInd w:val="0"/>
        <w:snapToGrid w:val="0"/>
        <w:spacing w:line="360" w:lineRule="auto"/>
        <w:ind w:firstLine="422" w:firstLineChars="200"/>
        <w:rPr>
          <w:rFonts w:asciiTheme="minorEastAsia" w:hAnsiTheme="minorEastAsia" w:eastAsiaTheme="minorEastAsia" w:cstheme="minorEastAsia"/>
          <w:b/>
          <w:kern w:val="0"/>
          <w:highlight w:val="none"/>
        </w:rPr>
      </w:pPr>
      <w:r>
        <w:rPr>
          <w:rFonts w:hint="eastAsia" w:asciiTheme="minorEastAsia" w:hAnsiTheme="minorEastAsia" w:eastAsiaTheme="minorEastAsia" w:cstheme="minorEastAsia"/>
          <w:b/>
          <w:kern w:val="0"/>
          <w:highlight w:val="none"/>
        </w:rPr>
        <w:t>乙方主要义务</w:t>
      </w:r>
    </w:p>
    <w:p w14:paraId="67A45DD7">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rPr>
        <w:t>1、</w:t>
      </w:r>
      <w:r>
        <w:rPr>
          <w:rFonts w:hint="eastAsia" w:asciiTheme="minorEastAsia" w:hAnsiTheme="minorEastAsia" w:eastAsiaTheme="minorEastAsia" w:cstheme="minorEastAsia"/>
          <w:highlight w:val="none"/>
        </w:rPr>
        <w:t>应严格按照有关规范及招标文件所规定的技术要求，认真进行施工工作，全过程接受甲方监督，施工质量按同一标准进行验收。由乙方填报“工程报验及计量单”，由甲方审核。</w:t>
      </w:r>
    </w:p>
    <w:p w14:paraId="4554DCCA">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为确保施工质量，应及时向甲方或其代表提供工程进度计划及相应的进度统计报表和报告。乙方进入施工现场前，首先与相关部门协调后，取得相关手续后方可进入施工现场，所有的协调工作由乙方自行完成。</w:t>
      </w:r>
    </w:p>
    <w:p w14:paraId="06D56BEA">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3、施工中用水、用电、机具、材料等皆由乙方负责，乙方应妥善处理施工中留下的杂物，不得造成二次污染，影响路容路貌。</w:t>
      </w:r>
    </w:p>
    <w:p w14:paraId="2C64A41B">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4、如甲方认为必要，乙方应为甲方有关人员提供必要之交通工具，用于质量检查与验收。</w:t>
      </w:r>
    </w:p>
    <w:p w14:paraId="5D13EF31">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5、甲方在合同执行期间发出的任何书面通知，若在五天内乙方未以书面形式提出反对意见，则该通知被视为本合同的一部分。</w:t>
      </w:r>
    </w:p>
    <w:p w14:paraId="3A927DDA">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6、施工期间服从甲方或其代表的现场管理，并接受甲方的监督、检查和验收，采取切实可行的措施，确保按期完成甲方委托的施工任务，并保证达到甲方要求的工程质量等级。</w:t>
      </w:r>
    </w:p>
    <w:p w14:paraId="246591FE">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7、乙方应按照甲方的管理要求，做好内部管理工作。</w:t>
      </w:r>
    </w:p>
    <w:p w14:paraId="04FC7BFD">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8、应有完备的原材料及施工自检资料，报验资料和计量资料及时报甲方审核。工程结束后按甲方要求提交相关资料和决算（一式两份）及其相应的电子文档、照片一份，并配合甲方进行工程验收。</w:t>
      </w:r>
    </w:p>
    <w:p w14:paraId="4BD41247">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严格遵守工程建设安全生产的有关规定，严格按照安全标准施工，采取必要的安全防护措施并对施工人员进行安全生产教育和管理；健全组织制度，指定主要领导负责安全工作，确保作业人员和车辆、设备的安全。</w:t>
      </w:r>
    </w:p>
    <w:p w14:paraId="6D73E387">
      <w:pPr>
        <w:widowControl/>
        <w:adjustRightInd w:val="0"/>
        <w:snapToGrid w:val="0"/>
        <w:spacing w:line="360" w:lineRule="auto"/>
        <w:ind w:firstLine="420" w:firstLineChars="200"/>
        <w:rPr>
          <w:rFonts w:asciiTheme="minorEastAsia" w:hAnsiTheme="minorEastAsia" w:eastAsiaTheme="minorEastAsia" w:cstheme="minorEastAsia"/>
          <w:b/>
          <w:highlight w:val="none"/>
        </w:rPr>
      </w:pPr>
      <w:r>
        <w:rPr>
          <w:rFonts w:hint="eastAsia" w:asciiTheme="minorEastAsia" w:hAnsiTheme="minorEastAsia" w:eastAsiaTheme="minorEastAsia" w:cstheme="minorEastAsia"/>
          <w:highlight w:val="none"/>
        </w:rPr>
        <w:t>乙方施工作业应按规定办理相关手续，并服从相关部门的管理。</w:t>
      </w:r>
    </w:p>
    <w:p w14:paraId="54C6D85B">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乙方在施工过程中发生的任何交通、生产事故造成财产损失或人员伤亡的，以及与其他第三方发生的任何纠纷或事故，甲方概不承担任何责任和费用。</w:t>
      </w:r>
    </w:p>
    <w:p w14:paraId="5FE6798D">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10、乙方应在整个施工期间（包括缺陷责任期）对其为本合同工程工作的乙方人员投保意外伤害险；乙方还应为其为完成本合同工程的设备、车辆购买财产保险，其投保金额应足以现场重置。办理保险的一切费用均由乙方承担，并已包括在本合同工程量清单价及总额价中。甲方不单独支付。</w:t>
      </w:r>
    </w:p>
    <w:p w14:paraId="048C711D">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11、竣工验收前认真做好已完工程的保护工作，竣工验收后应做好工程质量缺陷期内工程缺陷的修复工作，所发生的费用由乙方承担。</w:t>
      </w:r>
    </w:p>
    <w:p w14:paraId="001A74CD">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12、双方约定乙方应做的其他工作。</w:t>
      </w:r>
    </w:p>
    <w:p w14:paraId="528C89C2">
      <w:pPr>
        <w:keepNext/>
        <w:keepLines/>
        <w:adjustRightInd w:val="0"/>
        <w:snapToGrid w:val="0"/>
        <w:spacing w:line="360" w:lineRule="auto"/>
        <w:ind w:firstLine="422" w:firstLineChars="200"/>
        <w:outlineLvl w:val="3"/>
        <w:rPr>
          <w:rFonts w:asciiTheme="minorEastAsia" w:hAnsiTheme="minorEastAsia" w:eastAsiaTheme="minorEastAsia" w:cstheme="minorEastAsia"/>
          <w:b/>
          <w:bCs/>
          <w:highlight w:val="none"/>
        </w:rPr>
      </w:pPr>
      <w:bookmarkStart w:id="232" w:name="_Toc31262061"/>
      <w:r>
        <w:rPr>
          <w:rFonts w:hint="eastAsia" w:asciiTheme="minorEastAsia" w:hAnsiTheme="minorEastAsia" w:eastAsiaTheme="minorEastAsia" w:cstheme="minorEastAsia"/>
          <w:b/>
          <w:bCs/>
          <w:highlight w:val="none"/>
        </w:rPr>
        <w:t>三、合同形式</w:t>
      </w:r>
      <w:bookmarkEnd w:id="232"/>
      <w:r>
        <w:rPr>
          <w:rFonts w:hint="eastAsia" w:asciiTheme="minorEastAsia" w:hAnsiTheme="minorEastAsia" w:eastAsiaTheme="minorEastAsia" w:cstheme="minorEastAsia"/>
          <w:b/>
          <w:bCs/>
          <w:highlight w:val="none"/>
        </w:rPr>
        <w:t>、金额</w:t>
      </w:r>
    </w:p>
    <w:p w14:paraId="5E3FFF85">
      <w:pPr>
        <w:widowControl/>
        <w:adjustRightInd w:val="0"/>
        <w:snapToGrid w:val="0"/>
        <w:spacing w:line="360" w:lineRule="auto"/>
        <w:ind w:firstLine="420" w:firstLineChars="20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lang w:val="zh-CN"/>
        </w:rPr>
        <w:t>1、本项目采用</w:t>
      </w:r>
      <w:r>
        <w:rPr>
          <w:rFonts w:hint="eastAsia" w:asciiTheme="minorEastAsia" w:hAnsiTheme="minorEastAsia" w:eastAsiaTheme="minorEastAsia" w:cstheme="minorEastAsia"/>
          <w:highlight w:val="none"/>
        </w:rPr>
        <w:t>综合单价合同</w:t>
      </w:r>
      <w:r>
        <w:rPr>
          <w:rFonts w:hint="eastAsia" w:asciiTheme="minorEastAsia" w:hAnsiTheme="minorEastAsia" w:eastAsiaTheme="minorEastAsia" w:cstheme="minorEastAsia"/>
          <w:highlight w:val="none"/>
          <w:lang w:val="zh-CN"/>
        </w:rPr>
        <w:t>。</w:t>
      </w:r>
    </w:p>
    <w:p w14:paraId="3421B98C">
      <w:pPr>
        <w:widowControl/>
        <w:adjustRightInd w:val="0"/>
        <w:snapToGrid w:val="0"/>
        <w:spacing w:line="360" w:lineRule="auto"/>
        <w:ind w:firstLine="420" w:firstLineChars="200"/>
        <w:rPr>
          <w:rFonts w:asciiTheme="minorEastAsia" w:hAnsiTheme="minorEastAsia" w:eastAsiaTheme="minorEastAsia" w:cstheme="minorEastAsia"/>
          <w:highlight w:val="none"/>
          <w:lang w:val="zh-CN"/>
        </w:rPr>
      </w:pPr>
      <w:r>
        <w:rPr>
          <w:rFonts w:hint="eastAsia" w:asciiTheme="minorEastAsia" w:hAnsiTheme="minorEastAsia" w:eastAsiaTheme="minorEastAsia" w:cstheme="minorEastAsia"/>
          <w:highlight w:val="none"/>
        </w:rPr>
        <w:t>2、</w:t>
      </w:r>
      <w:r>
        <w:rPr>
          <w:rFonts w:hint="eastAsia" w:asciiTheme="minorEastAsia" w:hAnsiTheme="minorEastAsia" w:eastAsiaTheme="minorEastAsia" w:cstheme="minorEastAsia"/>
          <w:bCs/>
          <w:highlight w:val="none"/>
        </w:rPr>
        <w:t>合同价应包括合同范围内相应工程量清单及相关资料及规范、规定等全部内容，包含但不限于投标人承担本合同项目全部工程的实施、材料费（含运输及二次搬运费）、人工费、交通费、机械/设备费、劳务费、管理费、维护费、安全生产费、保险费、利润、规费、税金等以及合同明示或暗示的所有一般风险责任和义务费用，以及为完成上述内容所必须的附属工程、临时工程、材料、劳务、机械、成品保护、垂直运输、脚手架搭设使用、与各工种间的协调配合工作、清洗、养护、验收、安全措施、技术措施，作为一名有经验的投标人所应考虑到的各种因素、风险及所需的全部费用。</w:t>
      </w:r>
    </w:p>
    <w:p w14:paraId="18D5BADF">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3、签约合同价格：人民币</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元（¥</w:t>
      </w:r>
      <w:r>
        <w:rPr>
          <w:rFonts w:hint="eastAsia" w:asciiTheme="minorEastAsia" w:hAnsiTheme="minorEastAsia" w:eastAsiaTheme="minorEastAsia" w:cstheme="minorEastAsia"/>
          <w:highlight w:val="none"/>
          <w:u w:val="single"/>
        </w:rPr>
        <w:t xml:space="preserve">       </w:t>
      </w:r>
      <w:r>
        <w:rPr>
          <w:rFonts w:hint="eastAsia" w:asciiTheme="minorEastAsia" w:hAnsiTheme="minorEastAsia" w:eastAsiaTheme="minorEastAsia" w:cstheme="minorEastAsia"/>
          <w:highlight w:val="none"/>
        </w:rPr>
        <w:t>）。</w:t>
      </w:r>
    </w:p>
    <w:p w14:paraId="6928AD49">
      <w:pPr>
        <w:keepNext/>
        <w:keepLines/>
        <w:adjustRightInd w:val="0"/>
        <w:snapToGrid w:val="0"/>
        <w:spacing w:line="360" w:lineRule="auto"/>
        <w:ind w:firstLine="422" w:firstLineChars="200"/>
        <w:outlineLvl w:val="3"/>
        <w:rPr>
          <w:rFonts w:asciiTheme="minorEastAsia" w:hAnsiTheme="minorEastAsia" w:eastAsiaTheme="minorEastAsia" w:cstheme="minorEastAsia"/>
          <w:b/>
          <w:bCs/>
          <w:highlight w:val="none"/>
        </w:rPr>
      </w:pPr>
      <w:bookmarkStart w:id="233" w:name="_Toc31262062"/>
      <w:r>
        <w:rPr>
          <w:rFonts w:hint="eastAsia" w:asciiTheme="minorEastAsia" w:hAnsiTheme="minorEastAsia" w:eastAsiaTheme="minorEastAsia" w:cstheme="minorEastAsia"/>
          <w:b/>
          <w:bCs/>
          <w:highlight w:val="none"/>
        </w:rPr>
        <w:t>四、转让和分包</w:t>
      </w:r>
      <w:bookmarkEnd w:id="233"/>
    </w:p>
    <w:p w14:paraId="482E4EE1">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未经甲方同意，乙方不得将本合同转让。</w:t>
      </w:r>
    </w:p>
    <w:p w14:paraId="00827087">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分包：不允许分包。</w:t>
      </w:r>
    </w:p>
    <w:p w14:paraId="02316060">
      <w:pPr>
        <w:keepNext/>
        <w:keepLines/>
        <w:adjustRightInd w:val="0"/>
        <w:snapToGrid w:val="0"/>
        <w:spacing w:line="360" w:lineRule="auto"/>
        <w:ind w:firstLine="422" w:firstLineChars="200"/>
        <w:outlineLvl w:val="3"/>
        <w:rPr>
          <w:rFonts w:asciiTheme="minorEastAsia" w:hAnsiTheme="minorEastAsia" w:eastAsiaTheme="minorEastAsia" w:cstheme="minorEastAsia"/>
          <w:b/>
          <w:bCs/>
          <w:highlight w:val="none"/>
        </w:rPr>
      </w:pPr>
      <w:bookmarkStart w:id="234" w:name="_Toc31262063"/>
      <w:r>
        <w:rPr>
          <w:rFonts w:hint="eastAsia" w:asciiTheme="minorEastAsia" w:hAnsiTheme="minorEastAsia" w:eastAsiaTheme="minorEastAsia" w:cstheme="minorEastAsia"/>
          <w:b/>
          <w:bCs/>
          <w:highlight w:val="none"/>
        </w:rPr>
        <w:t>五、合同范围</w:t>
      </w:r>
      <w:bookmarkEnd w:id="234"/>
    </w:p>
    <w:p w14:paraId="292B48C1">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l、除另有规定外，合同工程包括乙方承包的全部工程施工中需要的人力、材料、工程设备和一切施工设施(无论是临时性的或永久性的)等，均由乙方负责。</w:t>
      </w:r>
    </w:p>
    <w:p w14:paraId="502BB912">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2、本工程所用的全部材料，均由乙方，按照就近、运输合理的原则，自行招标、运输和保管，并计列到工价，由乙方在合同工期内一次包定。</w:t>
      </w:r>
    </w:p>
    <w:p w14:paraId="2E23EBE3">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3、施工用电</w:t>
      </w:r>
    </w:p>
    <w:p w14:paraId="6074FCD0">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本工程的施工用电和照明用电，均由乙方自行解决。</w:t>
      </w:r>
    </w:p>
    <w:p w14:paraId="6E27C091">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4、施工、生活用水</w:t>
      </w:r>
    </w:p>
    <w:p w14:paraId="059B9C33">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本工程的施工和生活用水，均由乙方自行解决。</w:t>
      </w:r>
    </w:p>
    <w:p w14:paraId="66D58FE9">
      <w:pPr>
        <w:keepNext/>
        <w:keepLines/>
        <w:adjustRightInd w:val="0"/>
        <w:snapToGrid w:val="0"/>
        <w:spacing w:line="360" w:lineRule="auto"/>
        <w:ind w:firstLine="422" w:firstLineChars="200"/>
        <w:outlineLvl w:val="3"/>
        <w:rPr>
          <w:rFonts w:asciiTheme="minorEastAsia" w:hAnsiTheme="minorEastAsia" w:eastAsiaTheme="minorEastAsia" w:cstheme="minorEastAsia"/>
          <w:b/>
          <w:kern w:val="0"/>
          <w:highlight w:val="none"/>
          <w:lang w:val="zh-CN"/>
        </w:rPr>
      </w:pPr>
      <w:bookmarkStart w:id="235" w:name="_Toc31262065"/>
      <w:r>
        <w:rPr>
          <w:rFonts w:hint="eastAsia" w:asciiTheme="minorEastAsia" w:hAnsiTheme="minorEastAsia" w:eastAsiaTheme="minorEastAsia" w:cstheme="minorEastAsia"/>
          <w:b/>
          <w:kern w:val="0"/>
          <w:highlight w:val="none"/>
        </w:rPr>
        <w:t>六</w:t>
      </w:r>
      <w:r>
        <w:rPr>
          <w:rFonts w:hint="eastAsia" w:asciiTheme="minorEastAsia" w:hAnsiTheme="minorEastAsia" w:eastAsiaTheme="minorEastAsia" w:cstheme="minorEastAsia"/>
          <w:b/>
          <w:kern w:val="0"/>
          <w:highlight w:val="none"/>
          <w:lang w:val="zh-CN"/>
        </w:rPr>
        <w:t>、书面通知</w:t>
      </w:r>
      <w:bookmarkEnd w:id="235"/>
    </w:p>
    <w:p w14:paraId="19AE25E6">
      <w:pPr>
        <w:tabs>
          <w:tab w:val="left" w:pos="1710"/>
        </w:tabs>
        <w:adjustRightInd w:val="0"/>
        <w:snapToGrid w:val="0"/>
        <w:spacing w:line="360" w:lineRule="auto"/>
        <w:ind w:firstLine="420" w:firstLineChars="200"/>
        <w:rPr>
          <w:rFonts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凡根据合同规定，由甲方、乙方发出的或送达的任何通知、指示、建议、意见、决定及申请等均应是书面的，并应作出相应解释，任何这类书面通知都不应被无故扣发或贻误。</w:t>
      </w:r>
      <w:bookmarkStart w:id="236" w:name="_Toc31262066"/>
    </w:p>
    <w:bookmarkEnd w:id="236"/>
    <w:p w14:paraId="403CC7C0">
      <w:pPr>
        <w:tabs>
          <w:tab w:val="left" w:pos="1710"/>
        </w:tabs>
        <w:adjustRightInd w:val="0"/>
        <w:snapToGrid w:val="0"/>
        <w:spacing w:line="360" w:lineRule="auto"/>
        <w:ind w:firstLine="422" w:firstLineChars="200"/>
        <w:rPr>
          <w:rFonts w:asciiTheme="minorEastAsia" w:hAnsiTheme="minorEastAsia" w:eastAsiaTheme="minorEastAsia" w:cstheme="minorEastAsia"/>
          <w:b/>
          <w:kern w:val="0"/>
          <w:highlight w:val="none"/>
          <w:lang w:val="zh-CN"/>
        </w:rPr>
      </w:pPr>
      <w:bookmarkStart w:id="237" w:name="_Toc31262070"/>
      <w:r>
        <w:rPr>
          <w:rFonts w:hint="eastAsia" w:asciiTheme="minorEastAsia" w:hAnsiTheme="minorEastAsia" w:eastAsiaTheme="minorEastAsia" w:cstheme="minorEastAsia"/>
          <w:b/>
          <w:kern w:val="0"/>
          <w:highlight w:val="none"/>
        </w:rPr>
        <w:t>七</w:t>
      </w:r>
      <w:r>
        <w:rPr>
          <w:rFonts w:hint="eastAsia" w:asciiTheme="minorEastAsia" w:hAnsiTheme="minorEastAsia" w:eastAsiaTheme="minorEastAsia" w:cstheme="minorEastAsia"/>
          <w:b/>
          <w:kern w:val="0"/>
          <w:highlight w:val="none"/>
          <w:lang w:val="zh-CN"/>
        </w:rPr>
        <w:t>、施工和管理</w:t>
      </w:r>
      <w:bookmarkEnd w:id="237"/>
    </w:p>
    <w:p w14:paraId="51FC00A5">
      <w:pPr>
        <w:tabs>
          <w:tab w:val="left" w:pos="1710"/>
        </w:tabs>
        <w:adjustRightInd w:val="0"/>
        <w:snapToGrid w:val="0"/>
        <w:spacing w:line="360" w:lineRule="auto"/>
        <w:ind w:firstLine="420" w:firstLineChars="200"/>
        <w:rPr>
          <w:rFonts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1、乙方的施工机械和车辆应服从当地有关部门的管理，并按照有关要求安全行驶，服从检验和交纳各种相应费用等。乙方应交纳的各项规费、附加费用均由乙方自行负担。</w:t>
      </w:r>
    </w:p>
    <w:p w14:paraId="62E98097">
      <w:pPr>
        <w:tabs>
          <w:tab w:val="left" w:pos="1710"/>
        </w:tabs>
        <w:adjustRightInd w:val="0"/>
        <w:snapToGrid w:val="0"/>
        <w:spacing w:line="360" w:lineRule="auto"/>
        <w:ind w:firstLine="420" w:firstLineChars="200"/>
        <w:rPr>
          <w:rFonts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2、项目经理现场管理</w:t>
      </w:r>
    </w:p>
    <w:p w14:paraId="65C777ED">
      <w:pPr>
        <w:tabs>
          <w:tab w:val="left" w:pos="1710"/>
        </w:tabs>
        <w:adjustRightInd w:val="0"/>
        <w:snapToGrid w:val="0"/>
        <w:spacing w:line="360" w:lineRule="auto"/>
        <w:ind w:firstLine="420" w:firstLineChars="200"/>
        <w:rPr>
          <w:rFonts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项目经理离开施工现场必须向发包人请假，项目经理未经批准，擅自离开施工现场的违约责任：甲方将不定期进行考核检查，检查时，发现未经甲方同意，项目经理擅自离开现场，甲方向乙方收取违约金，详见违约条款。</w:t>
      </w:r>
    </w:p>
    <w:p w14:paraId="2EFB4465">
      <w:pPr>
        <w:tabs>
          <w:tab w:val="left" w:pos="1710"/>
        </w:tabs>
        <w:adjustRightInd w:val="0"/>
        <w:snapToGrid w:val="0"/>
        <w:spacing w:line="360" w:lineRule="auto"/>
        <w:ind w:firstLine="420" w:firstLineChars="200"/>
        <w:rPr>
          <w:rFonts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乙方擅自更换项目经理的违约责任：派驻现场的项目经理应与</w:t>
      </w:r>
      <w:r>
        <w:rPr>
          <w:rFonts w:hint="eastAsia" w:asciiTheme="minorEastAsia" w:hAnsiTheme="minorEastAsia" w:eastAsiaTheme="minorEastAsia" w:cstheme="minorEastAsia"/>
          <w:kern w:val="0"/>
          <w:highlight w:val="none"/>
        </w:rPr>
        <w:t>投标</w:t>
      </w:r>
      <w:r>
        <w:rPr>
          <w:rFonts w:hint="eastAsia" w:asciiTheme="minorEastAsia" w:hAnsiTheme="minorEastAsia" w:eastAsiaTheme="minorEastAsia" w:cstheme="minorEastAsia"/>
          <w:kern w:val="0"/>
          <w:highlight w:val="none"/>
          <w:lang w:val="zh-CN"/>
        </w:rPr>
        <w:t>文件一致，必须保证施工全过程在本项目工地工作，更换项目经理必须得到甲方书面认可，同时须向甲方支付违约金。项目经理必须坚守岗位，不得兼职本工程以外的工作。</w:t>
      </w:r>
    </w:p>
    <w:p w14:paraId="0BBA1EC5">
      <w:pPr>
        <w:tabs>
          <w:tab w:val="left" w:pos="1710"/>
        </w:tabs>
        <w:adjustRightInd w:val="0"/>
        <w:snapToGrid w:val="0"/>
        <w:spacing w:line="360" w:lineRule="auto"/>
        <w:ind w:firstLine="420" w:firstLineChars="200"/>
        <w:rPr>
          <w:rFonts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乙方无正当理由拒绝更换项目经理的违约责任：</w:t>
      </w:r>
      <w:r>
        <w:rPr>
          <w:rFonts w:hint="eastAsia" w:asciiTheme="minorEastAsia" w:hAnsiTheme="minorEastAsia" w:eastAsiaTheme="minorEastAsia" w:cstheme="minorEastAsia"/>
          <w:kern w:val="0"/>
          <w:highlight w:val="none"/>
        </w:rPr>
        <w:t>投标</w:t>
      </w:r>
      <w:r>
        <w:rPr>
          <w:rFonts w:hint="eastAsia" w:asciiTheme="minorEastAsia" w:hAnsiTheme="minorEastAsia" w:eastAsiaTheme="minorEastAsia" w:cstheme="minorEastAsia"/>
          <w:kern w:val="0"/>
          <w:highlight w:val="none"/>
          <w:lang w:val="zh-CN"/>
        </w:rPr>
        <w:t>文件中承诺的项目经理经甲方考核不合格者，乙方必须在一周内无条件更换。</w:t>
      </w:r>
    </w:p>
    <w:p w14:paraId="4AFF5E9C">
      <w:pPr>
        <w:keepNext/>
        <w:keepLines/>
        <w:adjustRightInd w:val="0"/>
        <w:snapToGrid w:val="0"/>
        <w:spacing w:line="360" w:lineRule="auto"/>
        <w:ind w:firstLine="422" w:firstLineChars="200"/>
        <w:outlineLvl w:val="3"/>
        <w:rPr>
          <w:rFonts w:asciiTheme="minorEastAsia" w:hAnsiTheme="minorEastAsia" w:eastAsiaTheme="minorEastAsia" w:cstheme="minorEastAsia"/>
          <w:b/>
          <w:bCs/>
          <w:highlight w:val="none"/>
        </w:rPr>
      </w:pPr>
      <w:bookmarkStart w:id="238" w:name="_Toc31262072"/>
      <w:r>
        <w:rPr>
          <w:rFonts w:hint="eastAsia" w:asciiTheme="minorEastAsia" w:hAnsiTheme="minorEastAsia" w:eastAsiaTheme="minorEastAsia" w:cstheme="minorEastAsia"/>
          <w:b/>
          <w:bCs/>
          <w:highlight w:val="none"/>
        </w:rPr>
        <w:t>八、施工设备、器材、材料供应</w:t>
      </w:r>
      <w:bookmarkEnd w:id="238"/>
    </w:p>
    <w:p w14:paraId="21CC2043">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为完成本合同工程施工所需的全部施工设备（含试验和自检测量等设备）、器材、材料均由乙方负责提供、包括招标、验收、运输和保管，并按合同计划及时运到现场，费用由乙方自理。</w:t>
      </w:r>
    </w:p>
    <w:p w14:paraId="316714C7">
      <w:pPr>
        <w:keepNext/>
        <w:keepLines/>
        <w:adjustRightInd w:val="0"/>
        <w:snapToGrid w:val="0"/>
        <w:spacing w:line="360" w:lineRule="auto"/>
        <w:ind w:firstLine="422" w:firstLineChars="200"/>
        <w:outlineLvl w:val="3"/>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九、工程质量及验收标准和依据</w:t>
      </w:r>
    </w:p>
    <w:p w14:paraId="1E5F7DCD">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1、以甲方或其代表以书面形式批准的变更通知或施工指导意见、国家颁发的施工技术或验收规范和质量检验标准及有关规定为依据。工程质量等级为合格。</w:t>
      </w:r>
    </w:p>
    <w:p w14:paraId="5301EBE5">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2、甲方要求乙方确保工程合格率达到100％。验收不合格的工程造成的一切损失由乙方负责。</w:t>
      </w:r>
    </w:p>
    <w:p w14:paraId="3CF76011">
      <w:pPr>
        <w:widowControl/>
        <w:adjustRightInd w:val="0"/>
        <w:snapToGrid w:val="0"/>
        <w:spacing w:line="360" w:lineRule="auto"/>
        <w:ind w:firstLine="422" w:firstLineChars="200"/>
        <w:rPr>
          <w:rFonts w:asciiTheme="minorEastAsia" w:hAnsiTheme="minorEastAsia" w:eastAsiaTheme="minorEastAsia" w:cstheme="minorEastAsia"/>
          <w:b/>
          <w:highlight w:val="none"/>
        </w:rPr>
      </w:pPr>
      <w:bookmarkStart w:id="239" w:name="_Toc31262082"/>
      <w:r>
        <w:rPr>
          <w:rFonts w:hint="eastAsia" w:asciiTheme="minorEastAsia" w:hAnsiTheme="minorEastAsia" w:eastAsiaTheme="minorEastAsia" w:cstheme="minorEastAsia"/>
          <w:b/>
          <w:highlight w:val="none"/>
        </w:rPr>
        <w:t>十、付款办法</w:t>
      </w:r>
      <w:bookmarkEnd w:id="239"/>
    </w:p>
    <w:p w14:paraId="33F569A4">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1、付款方式</w:t>
      </w:r>
    </w:p>
    <w:p w14:paraId="736D8CEA">
      <w:pPr>
        <w:widowControl/>
        <w:adjustRightInd w:val="0"/>
        <w:snapToGrid w:val="0"/>
        <w:spacing w:line="360" w:lineRule="auto"/>
        <w:ind w:firstLine="420" w:firstLineChars="200"/>
        <w:rPr>
          <w:rFonts w:asciiTheme="minorEastAsia" w:hAnsiTheme="minorEastAsia" w:eastAsiaTheme="minorEastAsia" w:cstheme="minorEastAsia"/>
          <w:kern w:val="0"/>
          <w:highlight w:val="none"/>
          <w:lang w:val="zh-CN"/>
        </w:rPr>
      </w:pPr>
      <w:bookmarkStart w:id="240" w:name="_Toc31262084"/>
      <w:r>
        <w:rPr>
          <w:rFonts w:hint="eastAsia" w:asciiTheme="minorEastAsia" w:hAnsiTheme="minorEastAsia" w:eastAsiaTheme="minorEastAsia" w:cstheme="minorEastAsia"/>
          <w:kern w:val="0"/>
          <w:highlight w:val="none"/>
          <w:lang w:val="zh-CN"/>
        </w:rPr>
        <w:t>本项目为</w:t>
      </w:r>
      <w:r>
        <w:rPr>
          <w:rFonts w:hint="eastAsia" w:asciiTheme="minorEastAsia" w:hAnsiTheme="minorEastAsia" w:eastAsiaTheme="minorEastAsia" w:cstheme="minorEastAsia"/>
          <w:bCs/>
          <w:highlight w:val="none"/>
        </w:rPr>
        <w:t>综合单价合同；工程量按实结算；除合同另有明确规定外，合同综合单价一概不予调整。最终结算价不得超过签约合同价</w:t>
      </w:r>
      <w:r>
        <w:rPr>
          <w:rFonts w:hint="eastAsia" w:asciiTheme="minorEastAsia" w:hAnsiTheme="minorEastAsia" w:eastAsiaTheme="minorEastAsia" w:cstheme="minorEastAsia"/>
          <w:kern w:val="0"/>
          <w:highlight w:val="none"/>
          <w:lang w:val="zh-CN"/>
        </w:rPr>
        <w:t>。</w:t>
      </w:r>
    </w:p>
    <w:p w14:paraId="3BD80AC4">
      <w:pPr>
        <w:adjustRightInd w:val="0"/>
        <w:snapToGrid w:val="0"/>
        <w:spacing w:line="360" w:lineRule="auto"/>
        <w:ind w:firstLine="420" w:firstLineChars="200"/>
        <w:rPr>
          <w:rFonts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项目完工验收合格且结算审核审定后一次性支付至审定价的9</w:t>
      </w:r>
      <w:r>
        <w:rPr>
          <w:rFonts w:hint="eastAsia" w:asciiTheme="minorEastAsia" w:hAnsiTheme="minorEastAsia" w:eastAsiaTheme="minorEastAsia" w:cstheme="minorEastAsia"/>
          <w:kern w:val="0"/>
          <w:highlight w:val="none"/>
        </w:rPr>
        <w:t>7</w:t>
      </w:r>
      <w:r>
        <w:rPr>
          <w:rFonts w:hint="eastAsia" w:asciiTheme="minorEastAsia" w:hAnsiTheme="minorEastAsia" w:eastAsiaTheme="minorEastAsia" w:cstheme="minorEastAsia"/>
          <w:kern w:val="0"/>
          <w:highlight w:val="none"/>
          <w:lang w:val="zh-CN"/>
        </w:rPr>
        <w:t>%，余款在缺陷责任期满后付清。以上付款均不计利息。</w:t>
      </w:r>
    </w:p>
    <w:p w14:paraId="2E258F14">
      <w:pPr>
        <w:adjustRightInd w:val="0"/>
        <w:snapToGrid w:val="0"/>
        <w:spacing w:line="360" w:lineRule="auto"/>
        <w:ind w:firstLine="420" w:firstLineChars="200"/>
        <w:rPr>
          <w:rFonts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每次支付前，承包人均应出具由税务部门开具的相应金额的发票。</w:t>
      </w:r>
    </w:p>
    <w:p w14:paraId="1F05CBE3">
      <w:pPr>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rPr>
        <w:t>2、</w:t>
      </w:r>
      <w:r>
        <w:rPr>
          <w:rFonts w:hint="eastAsia" w:asciiTheme="minorEastAsia" w:hAnsiTheme="minorEastAsia" w:eastAsiaTheme="minorEastAsia" w:cstheme="minorEastAsia"/>
          <w:kern w:val="0"/>
          <w:highlight w:val="none"/>
          <w:lang w:val="zh-CN"/>
        </w:rPr>
        <w:t>质量保证金：工程价款结算金额</w:t>
      </w:r>
      <w:r>
        <w:rPr>
          <w:rFonts w:hint="eastAsia" w:asciiTheme="minorEastAsia" w:hAnsiTheme="minorEastAsia" w:eastAsiaTheme="minorEastAsia" w:cstheme="minorEastAsia"/>
          <w:kern w:val="0"/>
          <w:highlight w:val="none"/>
        </w:rPr>
        <w:t>3</w:t>
      </w:r>
      <w:r>
        <w:rPr>
          <w:rFonts w:hint="eastAsia" w:asciiTheme="minorEastAsia" w:hAnsiTheme="minorEastAsia" w:eastAsiaTheme="minorEastAsia" w:cstheme="minorEastAsia"/>
          <w:kern w:val="0"/>
          <w:highlight w:val="none"/>
          <w:lang w:val="zh-CN"/>
        </w:rPr>
        <w:t>%，</w:t>
      </w:r>
      <w:r>
        <w:rPr>
          <w:rFonts w:hint="eastAsia" w:asciiTheme="minorEastAsia" w:hAnsiTheme="minorEastAsia" w:eastAsiaTheme="minorEastAsia" w:cstheme="minorEastAsia"/>
          <w:kern w:val="0"/>
          <w:highlight w:val="none"/>
        </w:rPr>
        <w:t>包含在合同未付款中。</w:t>
      </w:r>
    </w:p>
    <w:p w14:paraId="5770461E">
      <w:pPr>
        <w:adjustRightInd w:val="0"/>
        <w:snapToGrid w:val="0"/>
        <w:spacing w:line="360" w:lineRule="auto"/>
        <w:ind w:firstLine="422" w:firstLineChars="200"/>
        <w:rPr>
          <w:rFonts w:asciiTheme="minorEastAsia" w:hAnsiTheme="minorEastAsia" w:eastAsiaTheme="minorEastAsia" w:cstheme="minorEastAsia"/>
          <w:b/>
          <w:kern w:val="0"/>
          <w:highlight w:val="none"/>
          <w:lang w:val="zh-CN"/>
        </w:rPr>
      </w:pPr>
      <w:r>
        <w:rPr>
          <w:rFonts w:hint="eastAsia" w:asciiTheme="minorEastAsia" w:hAnsiTheme="minorEastAsia" w:eastAsiaTheme="minorEastAsia" w:cstheme="minorEastAsia"/>
          <w:b/>
          <w:kern w:val="0"/>
          <w:highlight w:val="none"/>
          <w:lang w:val="zh-CN"/>
        </w:rPr>
        <w:t>十</w:t>
      </w:r>
      <w:r>
        <w:rPr>
          <w:rFonts w:hint="eastAsia" w:asciiTheme="minorEastAsia" w:hAnsiTheme="minorEastAsia" w:eastAsiaTheme="minorEastAsia" w:cstheme="minorEastAsia"/>
          <w:b/>
          <w:kern w:val="0"/>
          <w:highlight w:val="none"/>
        </w:rPr>
        <w:t>一</w:t>
      </w:r>
      <w:r>
        <w:rPr>
          <w:rFonts w:hint="eastAsia" w:asciiTheme="minorEastAsia" w:hAnsiTheme="minorEastAsia" w:eastAsiaTheme="minorEastAsia" w:cstheme="minorEastAsia"/>
          <w:b/>
          <w:kern w:val="0"/>
          <w:highlight w:val="none"/>
          <w:lang w:val="zh-CN"/>
        </w:rPr>
        <w:t>、不合格的材料和工艺</w:t>
      </w:r>
      <w:bookmarkEnd w:id="240"/>
    </w:p>
    <w:p w14:paraId="47B2A3C2">
      <w:pPr>
        <w:adjustRightInd w:val="0"/>
        <w:snapToGrid w:val="0"/>
        <w:spacing w:line="360" w:lineRule="auto"/>
        <w:ind w:firstLine="420" w:firstLineChars="200"/>
        <w:rPr>
          <w:rFonts w:asciiTheme="minorEastAsia" w:hAnsiTheme="minorEastAsia" w:eastAsiaTheme="minorEastAsia" w:cstheme="minorEastAsia"/>
          <w:kern w:val="0"/>
          <w:highlight w:val="none"/>
          <w:lang w:val="zh-CN"/>
        </w:rPr>
      </w:pPr>
      <w:r>
        <w:rPr>
          <w:rFonts w:hint="eastAsia" w:asciiTheme="minorEastAsia" w:hAnsiTheme="minorEastAsia" w:eastAsiaTheme="minorEastAsia" w:cstheme="minorEastAsia"/>
          <w:kern w:val="0"/>
          <w:highlight w:val="none"/>
          <w:lang w:val="zh-CN"/>
        </w:rPr>
        <w:t>乙方在本工程中不得使用不合格的材料和不能保证工程质量的工艺。甲方一旦发现上述情况，并出具通知，乙方应按照甲方的指令立即更换、更改，对由此造成的损失应由乙方自行负责。</w:t>
      </w:r>
    </w:p>
    <w:p w14:paraId="7EDDB3CB">
      <w:pPr>
        <w:keepNext/>
        <w:keepLines/>
        <w:adjustRightInd w:val="0"/>
        <w:snapToGrid w:val="0"/>
        <w:spacing w:line="360" w:lineRule="auto"/>
        <w:ind w:firstLine="422" w:firstLineChars="200"/>
        <w:outlineLvl w:val="3"/>
        <w:rPr>
          <w:rFonts w:asciiTheme="minorEastAsia" w:hAnsiTheme="minorEastAsia" w:eastAsiaTheme="minorEastAsia" w:cstheme="minorEastAsia"/>
          <w:b/>
          <w:bCs/>
          <w:highlight w:val="none"/>
        </w:rPr>
      </w:pPr>
      <w:bookmarkStart w:id="241" w:name="_Toc31262085"/>
      <w:r>
        <w:rPr>
          <w:rFonts w:hint="eastAsia" w:asciiTheme="minorEastAsia" w:hAnsiTheme="minorEastAsia" w:eastAsiaTheme="minorEastAsia" w:cstheme="minorEastAsia"/>
          <w:b/>
          <w:bCs/>
          <w:highlight w:val="none"/>
        </w:rPr>
        <w:t>十二、变更</w:t>
      </w:r>
      <w:bookmarkEnd w:id="241"/>
    </w:p>
    <w:p w14:paraId="74C23F47">
      <w:pPr>
        <w:widowControl/>
        <w:adjustRightInd w:val="0"/>
        <w:snapToGrid w:val="0"/>
        <w:spacing w:line="360" w:lineRule="auto"/>
        <w:ind w:firstLine="420" w:firstLineChars="200"/>
        <w:rPr>
          <w:rFonts w:asciiTheme="minorEastAsia" w:hAnsiTheme="minorEastAsia" w:eastAsiaTheme="minorEastAsia" w:cstheme="minorEastAsia"/>
          <w:b/>
          <w:highlight w:val="none"/>
          <w:u w:val="single"/>
        </w:rPr>
      </w:pPr>
      <w:r>
        <w:rPr>
          <w:rFonts w:hint="eastAsia" w:asciiTheme="minorEastAsia" w:hAnsiTheme="minorEastAsia" w:eastAsiaTheme="minorEastAsia" w:cstheme="minorEastAsia"/>
          <w:highlight w:val="none"/>
        </w:rPr>
        <w:t>已标价工程量清单中无适用或类似子目的单价，由甲方委托具有工程造价咨询资质的中介机构根据招标时的最高限价编制水平编制出变更工作子目的预算单价，将预算单价按中标价与最高限价相比的下浮率同等下浮后得出变更工作项目的变更单价，并据此单价进行期中计量支付，最终以审计结果为准。在此单价确定之前，招标人可以确定暂时的单价或总额价，作为暂付账款列入按规定签发的中期支付证书中。</w:t>
      </w:r>
    </w:p>
    <w:p w14:paraId="0CC7152A">
      <w:pPr>
        <w:keepNext/>
        <w:keepLines/>
        <w:adjustRightInd w:val="0"/>
        <w:snapToGrid w:val="0"/>
        <w:spacing w:line="360" w:lineRule="auto"/>
        <w:ind w:firstLine="422" w:firstLineChars="200"/>
        <w:outlineLvl w:val="3"/>
        <w:rPr>
          <w:rFonts w:asciiTheme="minorEastAsia" w:hAnsiTheme="minorEastAsia" w:eastAsiaTheme="minorEastAsia" w:cstheme="minorEastAsia"/>
          <w:b/>
          <w:bCs/>
          <w:highlight w:val="none"/>
        </w:rPr>
      </w:pPr>
      <w:bookmarkStart w:id="242" w:name="_Toc31262089"/>
      <w:r>
        <w:rPr>
          <w:rFonts w:hint="eastAsia" w:asciiTheme="minorEastAsia" w:hAnsiTheme="minorEastAsia" w:eastAsiaTheme="minorEastAsia" w:cstheme="minorEastAsia"/>
          <w:b/>
          <w:bCs/>
          <w:highlight w:val="none"/>
        </w:rPr>
        <w:t>十三、安全生产</w:t>
      </w:r>
      <w:bookmarkEnd w:id="242"/>
      <w:r>
        <w:rPr>
          <w:rFonts w:hint="eastAsia" w:asciiTheme="minorEastAsia" w:hAnsiTheme="minorEastAsia" w:eastAsiaTheme="minorEastAsia" w:cstheme="minorEastAsia"/>
          <w:b/>
          <w:bCs/>
          <w:highlight w:val="none"/>
        </w:rPr>
        <w:t>和环保要求</w:t>
      </w:r>
    </w:p>
    <w:p w14:paraId="4EF74B49">
      <w:pPr>
        <w:keepNext/>
        <w:keepLines/>
        <w:adjustRightInd w:val="0"/>
        <w:snapToGrid w:val="0"/>
        <w:spacing w:line="360" w:lineRule="auto"/>
        <w:ind w:firstLine="422" w:firstLineChars="200"/>
        <w:outlineLvl w:val="3"/>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（一）安全生产</w:t>
      </w:r>
    </w:p>
    <w:p w14:paraId="65A024A7">
      <w:pPr>
        <w:autoSpaceDE w:val="0"/>
        <w:autoSpaceDN w:val="0"/>
        <w:adjustRightInd w:val="0"/>
        <w:snapToGrid w:val="0"/>
        <w:spacing w:line="360" w:lineRule="auto"/>
        <w:ind w:firstLine="420" w:firstLineChars="200"/>
        <w:contextualSpacing/>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1、乙方应遵守招标人以及建设工程有关法律法规，加强施工的管理，健全组织制度，指定主要领导负责安全工作，确保作业人员和车辆行车的安全，安全生产无责任事故。</w:t>
      </w:r>
    </w:p>
    <w:p w14:paraId="3A12C61E">
      <w:pPr>
        <w:widowControl/>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2、乙方在施工过程中产生的任何交通、生产事故与其他第三方发生的任何纠纷，概由乙方负责，与甲方无涉。</w:t>
      </w:r>
    </w:p>
    <w:p w14:paraId="36A5F328">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3、甲方应加强对乙方安全生产的教育、指导、监督。甲方发现乙方有违反安全作业的行为，将以书面形式通知乙方并进行相应的考核扣分，最终将在乙方工程款中扣除。</w:t>
      </w:r>
    </w:p>
    <w:p w14:paraId="772F65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4、乙方应按国家有关规定在整个施工期间为其雇佣的任何人员进行人身意外伤害保险，该项保险的一切费用应由乙方承担并支付。</w:t>
      </w:r>
    </w:p>
    <w:p w14:paraId="26A848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5、乙方应给已运抵现场的乙方装备办理保险，其保险金额足以现场重置。该项保险的一切费用应由乙方承担并支付。</w:t>
      </w:r>
    </w:p>
    <w:p w14:paraId="2F664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6、所有保险费用均应包含在所报清单的单价及总额价中。</w:t>
      </w:r>
    </w:p>
    <w:p w14:paraId="464CF1D3">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7、在施工和缺陷修复过程中，</w:t>
      </w:r>
      <w:r>
        <w:rPr>
          <w:rFonts w:hint="eastAsia" w:asciiTheme="minorEastAsia" w:hAnsiTheme="minorEastAsia" w:eastAsiaTheme="minorEastAsia" w:cstheme="minorEastAsia"/>
          <w:kern w:val="0"/>
          <w:highlight w:val="none"/>
        </w:rPr>
        <w:t>乙方</w:t>
      </w:r>
      <w:r>
        <w:rPr>
          <w:rFonts w:hint="eastAsia" w:asciiTheme="minorEastAsia" w:hAnsiTheme="minorEastAsia" w:eastAsiaTheme="minorEastAsia" w:cstheme="minorEastAsia"/>
          <w:highlight w:val="none"/>
        </w:rPr>
        <w:t>应按本合同规定，认真抓好安全教育，加强安全技术管理，保证工程现场施工安全(包括人员等安全)，由于</w:t>
      </w:r>
      <w:r>
        <w:rPr>
          <w:rFonts w:hint="eastAsia" w:asciiTheme="minorEastAsia" w:hAnsiTheme="minorEastAsia" w:eastAsiaTheme="minorEastAsia" w:cstheme="minorEastAsia"/>
          <w:kern w:val="0"/>
          <w:highlight w:val="none"/>
        </w:rPr>
        <w:t>乙方</w:t>
      </w:r>
      <w:r>
        <w:rPr>
          <w:rFonts w:hint="eastAsia" w:asciiTheme="minorEastAsia" w:hAnsiTheme="minorEastAsia" w:eastAsiaTheme="minorEastAsia" w:cstheme="minorEastAsia"/>
          <w:highlight w:val="none"/>
        </w:rPr>
        <w:t>管理不善，或因</w:t>
      </w:r>
      <w:r>
        <w:rPr>
          <w:rFonts w:hint="eastAsia" w:asciiTheme="minorEastAsia" w:hAnsiTheme="minorEastAsia" w:eastAsiaTheme="minorEastAsia" w:cstheme="minorEastAsia"/>
          <w:kern w:val="0"/>
          <w:highlight w:val="none"/>
        </w:rPr>
        <w:t>乙方</w:t>
      </w:r>
      <w:r>
        <w:rPr>
          <w:rFonts w:hint="eastAsia" w:asciiTheme="minorEastAsia" w:hAnsiTheme="minorEastAsia" w:eastAsiaTheme="minorEastAsia" w:cstheme="minorEastAsia"/>
          <w:highlight w:val="none"/>
        </w:rPr>
        <w:t>职工的过失，或因第三者原因造成的人身、设备、工程质量事故以及其他人为事故，从而造成的工期延误和经济损失的全部责任均应由承包单位自负，业主不承担任何责任。</w:t>
      </w:r>
    </w:p>
    <w:p w14:paraId="398C1860">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（二）环保要求：落实环保及节能减排主体责任和相关要求，不发生县级及以上相关部门关于环保问题的通报。</w:t>
      </w:r>
    </w:p>
    <w:p w14:paraId="4A13F65D">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（三）安全文明施工</w:t>
      </w:r>
    </w:p>
    <w:p w14:paraId="62D49C73">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 项目安全生产的达标目标及相应事项的约定：</w:t>
      </w:r>
    </w:p>
    <w:p w14:paraId="2ABEEDD1">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乙方须对本合同范围内所有施工范围和施工人员负全部安全施工责任。乙方应严格按《建设工程安全生产管理条例》等法律、工程建设安全生产地有关管理规定，采取安全措施组织施工。若发生安全事故，一切责任由乙方承担，并视情节严重向乙方收取违约金，详见违约条款。</w:t>
      </w:r>
    </w:p>
    <w:p w14:paraId="04759F00">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（2）乙方对施工现场安全生产负总责，现场必须按要求配备安全员，安全员及特种作业人员应持证上岗，如甲方检查到乙方人员不到位的，则甲方有权收取违约金，详见违约条款。</w:t>
      </w:r>
    </w:p>
    <w:p w14:paraId="18DC40A4">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工程施工前和施工中，乙方项目经理或技术负责人应当对有关安全施工技术进行交底；乙方必须编制安全施工措施和施工现场临时用电、施工现场周边及主要通道的安全防护措施及其他有关法规要求的专项施工方案，专项施工方案必须经乙方技术负责人批准后，报甲方代表批准后实施。</w:t>
      </w:r>
    </w:p>
    <w:p w14:paraId="6B5D0B8D">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工程施工前，乙方应根据法律、法规、规范、标准等要求，制定安全施工标准及要求，负责向施工作业班组、作业人员作出详细的说明，并由双方签字确认。</w:t>
      </w:r>
    </w:p>
    <w:p w14:paraId="07C2A27D">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工程施工前，乙方使用的安全防护用具、机械设备、施工机具及配件，应当具有生产（制造）许可证、产品合格证，并在进入施工现场前进行查验，经甲方签字确认后方可使用。</w:t>
      </w:r>
    </w:p>
    <w:p w14:paraId="543C6B00">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特种作业人员，必须按照国家有关规定经过专门的安全作业培训，并取得特种作业操作资格证书后，方可上岗作业。</w:t>
      </w:r>
    </w:p>
    <w:p w14:paraId="524F77BD">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（4）乙方应严格按《建设工程安全生产管理条例》等法律、法规采取安全措施、组织施工，如发生事故，所造成的一切责任与后果均由承包人承担。</w:t>
      </w:r>
    </w:p>
    <w:p w14:paraId="01542389">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（5）满足江苏省、南通市等安监部门安全文明生产的要求，做好安全技术教育及交底，落实所有安全技术措施和人身防护用品。</w:t>
      </w:r>
    </w:p>
    <w:p w14:paraId="6974467A">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（6）凡在施工期间，由于乙方原因造成的事故，乙方需承担全部责任及由此引起的一切费用，甲方不承担任何责任，并视情节严重收取乙方违约金，详见违约条款。</w:t>
      </w:r>
    </w:p>
    <w:p w14:paraId="3F72E5CE">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2、文明施工</w:t>
      </w:r>
    </w:p>
    <w:p w14:paraId="62909441">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合同当事人对文明施工的要求：施工现场的材料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做好场地清理及相关工作。上述费用包含在合同价中。</w:t>
      </w:r>
    </w:p>
    <w:p w14:paraId="1454918A">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3、安全生产责任</w:t>
      </w:r>
    </w:p>
    <w:p w14:paraId="78D4BF4E">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乙方应严格按《建设工程安全生产管理条例》等法律、法规采取安全措施、组织施工，乙方须对本合同范围内所有施工范围和施工人员负全部安全施工责任。乙方应严格按工程建设安全生产地有关管理规定，采取安全措施组织施工。若发生安全事故，一切责任由乙方承担，详见违约条款。</w:t>
      </w:r>
    </w:p>
    <w:p w14:paraId="071C6070">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乙方对因工程施工可能造成损害的毗邻建筑物、构筑物等，应当采取专项防护措施。乙方应当遵守有关环境保护法律、法规的规定，在施工现场采取措施，防止或减少粉尘、废气、废水、固体废物、噪声、振动和施工照明对人和环境的危害和污染。若因乙方原因产生不良后果的，由乙方承担一切责任，详见违约条款。</w:t>
      </w:r>
    </w:p>
    <w:p w14:paraId="0C991D0A">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乙方必须建立完善的消防管理制度，并有专人负责现场的消防管理，施工现场须配备足够的消防器材，满足消防要求。乙方应当在施工现场建立消防安全责任制，确定消防安全责任人，制定用火、用电，使用易燃易爆材料等各项消防安全管理制度和操作规程，设置消防通道、消防水源，配备消防设施和灭火器材，并在施工现场设置明显标志。</w:t>
      </w:r>
    </w:p>
    <w:p w14:paraId="0469CAC1">
      <w:pPr>
        <w:keepNext/>
        <w:keepLines/>
        <w:adjustRightInd w:val="0"/>
        <w:snapToGrid w:val="0"/>
        <w:spacing w:line="360" w:lineRule="auto"/>
        <w:ind w:firstLine="422" w:firstLineChars="200"/>
        <w:outlineLvl w:val="3"/>
        <w:rPr>
          <w:rFonts w:asciiTheme="minorEastAsia" w:hAnsiTheme="minorEastAsia" w:eastAsiaTheme="minorEastAsia" w:cstheme="minorEastAsia"/>
          <w:b/>
          <w:bCs/>
          <w:highlight w:val="none"/>
        </w:rPr>
      </w:pPr>
      <w:bookmarkStart w:id="243" w:name="_Toc31262092"/>
      <w:r>
        <w:rPr>
          <w:rFonts w:hint="eastAsia" w:asciiTheme="minorEastAsia" w:hAnsiTheme="minorEastAsia" w:eastAsiaTheme="minorEastAsia" w:cstheme="minorEastAsia"/>
          <w:b/>
          <w:bCs/>
          <w:highlight w:val="none"/>
        </w:rPr>
        <w:t>十四、完工资料</w:t>
      </w:r>
      <w:bookmarkEnd w:id="243"/>
    </w:p>
    <w:p w14:paraId="175D276D">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w:t>
      </w:r>
      <w:r>
        <w:rPr>
          <w:rFonts w:hint="eastAsia" w:asciiTheme="minorEastAsia" w:hAnsiTheme="minorEastAsia" w:eastAsiaTheme="minorEastAsia" w:cstheme="minorEastAsia"/>
          <w:b/>
          <w:bCs/>
          <w:highlight w:val="none"/>
        </w:rPr>
        <w:t>完</w:t>
      </w:r>
      <w:r>
        <w:rPr>
          <w:rFonts w:hint="eastAsia" w:asciiTheme="minorEastAsia" w:hAnsiTheme="minorEastAsia" w:eastAsiaTheme="minorEastAsia" w:cstheme="minorEastAsia"/>
          <w:highlight w:val="none"/>
        </w:rPr>
        <w:t>工前，</w:t>
      </w:r>
      <w:r>
        <w:rPr>
          <w:rFonts w:hint="eastAsia" w:asciiTheme="minorEastAsia" w:hAnsiTheme="minorEastAsia" w:eastAsiaTheme="minorEastAsia" w:cstheme="minorEastAsia"/>
          <w:kern w:val="0"/>
          <w:highlight w:val="none"/>
        </w:rPr>
        <w:t>乙方</w:t>
      </w:r>
      <w:r>
        <w:rPr>
          <w:rFonts w:hint="eastAsia" w:asciiTheme="minorEastAsia" w:hAnsiTheme="minorEastAsia" w:eastAsiaTheme="minorEastAsia" w:cstheme="minorEastAsia"/>
          <w:highlight w:val="none"/>
        </w:rPr>
        <w:t>应按甲方规定或要求提交相关资料。</w:t>
      </w:r>
      <w:bookmarkStart w:id="244" w:name="_Toc31262093"/>
    </w:p>
    <w:p w14:paraId="39DB62B9">
      <w:pPr>
        <w:keepNext/>
        <w:keepLines/>
        <w:adjustRightInd w:val="0"/>
        <w:snapToGrid w:val="0"/>
        <w:spacing w:line="360" w:lineRule="auto"/>
        <w:ind w:firstLine="422" w:firstLineChars="200"/>
        <w:outlineLvl w:val="3"/>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十五、完工清场</w:t>
      </w:r>
      <w:bookmarkEnd w:id="244"/>
    </w:p>
    <w:p w14:paraId="080A27F4">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工程初步验收交付使用前，</w:t>
      </w:r>
      <w:r>
        <w:rPr>
          <w:rFonts w:hint="eastAsia" w:asciiTheme="minorEastAsia" w:hAnsiTheme="minorEastAsia" w:eastAsiaTheme="minorEastAsia" w:cstheme="minorEastAsia"/>
          <w:kern w:val="0"/>
          <w:highlight w:val="none"/>
        </w:rPr>
        <w:t>乙方</w:t>
      </w:r>
      <w:r>
        <w:rPr>
          <w:rFonts w:hint="eastAsia" w:asciiTheme="minorEastAsia" w:hAnsiTheme="minorEastAsia" w:eastAsiaTheme="minorEastAsia" w:cstheme="minorEastAsia"/>
          <w:highlight w:val="none"/>
        </w:rPr>
        <w:t>应按合同规定，对不必要的施工临时设施、施工机械设备、临时施工用地，进行拆除、撤离与清理并恢复耕作条件(或原貌)，以及处理好有关遗留事项。</w:t>
      </w:r>
    </w:p>
    <w:p w14:paraId="5A5FB34E">
      <w:pPr>
        <w:keepNext/>
        <w:keepLines/>
        <w:adjustRightInd w:val="0"/>
        <w:snapToGrid w:val="0"/>
        <w:spacing w:line="360" w:lineRule="auto"/>
        <w:ind w:firstLine="422" w:firstLineChars="200"/>
        <w:outlineLvl w:val="3"/>
        <w:rPr>
          <w:rFonts w:asciiTheme="minorEastAsia" w:hAnsiTheme="minorEastAsia" w:eastAsiaTheme="minorEastAsia" w:cstheme="minorEastAsia"/>
          <w:b/>
          <w:bCs/>
          <w:highlight w:val="none"/>
        </w:rPr>
      </w:pPr>
      <w:bookmarkStart w:id="245" w:name="_Toc31262095"/>
      <w:r>
        <w:rPr>
          <w:rFonts w:hint="eastAsia" w:asciiTheme="minorEastAsia" w:hAnsiTheme="minorEastAsia" w:eastAsiaTheme="minorEastAsia" w:cstheme="minorEastAsia"/>
          <w:b/>
          <w:bCs/>
          <w:highlight w:val="none"/>
        </w:rPr>
        <w:t>十六、缺陷责任期</w:t>
      </w:r>
      <w:bookmarkEnd w:id="245"/>
    </w:p>
    <w:p w14:paraId="4632BC4C">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本工程的施工完毕验收合格后，从完验收合格之日起，为期24个月，在缺陷责任期内，工程如发生损坏，除不可抗拒的原因之外，</w:t>
      </w:r>
      <w:r>
        <w:rPr>
          <w:rFonts w:hint="eastAsia" w:asciiTheme="minorEastAsia" w:hAnsiTheme="minorEastAsia" w:eastAsiaTheme="minorEastAsia" w:cstheme="minorEastAsia"/>
          <w:kern w:val="0"/>
          <w:highlight w:val="none"/>
        </w:rPr>
        <w:t>乙方</w:t>
      </w:r>
      <w:r>
        <w:rPr>
          <w:rFonts w:hint="eastAsia" w:asciiTheme="minorEastAsia" w:hAnsiTheme="minorEastAsia" w:eastAsiaTheme="minorEastAsia" w:cstheme="minorEastAsia"/>
          <w:highlight w:val="none"/>
        </w:rPr>
        <w:t>应认真采取修复措施，承担全部修复费用。</w:t>
      </w:r>
      <w:bookmarkStart w:id="246" w:name="_Toc31262097"/>
    </w:p>
    <w:p w14:paraId="4F573928">
      <w:pPr>
        <w:keepNext/>
        <w:keepLines/>
        <w:adjustRightInd w:val="0"/>
        <w:snapToGrid w:val="0"/>
        <w:spacing w:line="360" w:lineRule="auto"/>
        <w:ind w:firstLine="422" w:firstLineChars="200"/>
        <w:outlineLvl w:val="3"/>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十七、违约</w:t>
      </w:r>
      <w:bookmarkEnd w:id="246"/>
    </w:p>
    <w:p w14:paraId="68969277">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1、甲方将按照有关技术规范及所规定的要求对乙方施工工程的质量验收，并对其质量进行不定期的检验鉴定，如不符要求乙方应立即重修。</w:t>
      </w:r>
    </w:p>
    <w:p w14:paraId="4DBB08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highlight w:val="none"/>
        </w:rPr>
        <w:t>2、在施工过程中，因乙方施工管理不善而造成的任何形式的纠纷或事故，甲方概不承担任何责任。</w:t>
      </w:r>
    </w:p>
    <w:p w14:paraId="06CF88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20" w:firstLineChars="200"/>
        <w:jc w:val="left"/>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3、因乙方原因致使工程施工质量不符合国家有关规范标准或不符合双方约定标准，而造成人身和财产损害的，乙方应当承担损害赔偿责任。</w:t>
      </w:r>
    </w:p>
    <w:p w14:paraId="6172A837">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4、对于因乙方原因造成工期滞后事实或可能，甲方根据总体工期要求有权强制分割合同，并指定第三方完成。</w:t>
      </w:r>
    </w:p>
    <w:p w14:paraId="1678E99A">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5、乙方现场主要管理人员违约的责任</w:t>
      </w:r>
    </w:p>
    <w:p w14:paraId="31F54BA5">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5.1项目经理</w:t>
      </w:r>
    </w:p>
    <w:p w14:paraId="2ABFE794">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乙方必须指派投标文件中承诺的项目经理到施工现场负责施工管理，不得更换，工程施工期间必须保证施工全过程在本项目工地工作，不得兼职本工程以外的工作，除不可抗力因素外，确实需要更换的，必须经甲方批准。</w:t>
      </w:r>
    </w:p>
    <w:p w14:paraId="0FB36E79">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（2）本合同中的项目经理经甲方考核不合格者，乙方必须在一周内无条件更换。</w:t>
      </w:r>
    </w:p>
    <w:p w14:paraId="7D90ADD5">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6、乙方安全文明施工及质量违约的责任</w:t>
      </w:r>
    </w:p>
    <w:p w14:paraId="3795FCDD">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6.1安全文明施工</w:t>
      </w:r>
    </w:p>
    <w:p w14:paraId="096ED009">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6.1.1乙方须对本合同范围内所有施工范围和施工人员负全部安全施工责任。乙方应严格按《建设工程安全生产管理条例》等法律、工程建设安全生产地有关管理规定，采取安全措施组织施工。若发生安全事故，一切责任由乙方承担，视情节严重向乙方收取1000-2000元违约金。</w:t>
      </w:r>
    </w:p>
    <w:p w14:paraId="7361347C">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6.1.2乙方人员资格的特别规定：所有特殊工种人员均应符合有关规定，获得上岗资格，持有有关部门颁发的资质证书或上岗证，并在施工上岗之前提供给甲方审查，施工中持证上岗。在特殊工种的施工中，若发现未持有资格证书施工，则按每发现一次，收取1000元/人·次的违约金，累计3次则停工整顿，由此造成的损失由乙方承担。</w:t>
      </w:r>
    </w:p>
    <w:p w14:paraId="2FC68E0F">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6.1.3乙方出现严重安全事故，甲方有权要求乙方退场，并按验收合格的工程量的60%款项结算。</w:t>
      </w:r>
    </w:p>
    <w:p w14:paraId="225A4969">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6.2质量</w:t>
      </w:r>
    </w:p>
    <w:p w14:paraId="2A7CE256">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6.2.1乙方的施工质量不符合要求时，甲方有权要求乙方进行整改，乙方若无正当理由拒不整改的，甲方根据严重程度有权对乙方收取1000～2000元的违约金；如因乙方拒不整改导致施工出现严重质量问题的，甲方有权根据严重程度对乙方收取5000～10000元的违约金。</w:t>
      </w:r>
    </w:p>
    <w:p w14:paraId="27AAFA2D">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6.2.2若乙方在施工过程中出现严重质量问题，则根据质量问题的严重程度甲方按每起1～2万元向乙方收取违约金。若存在严重缺陷，则甲方有权终止合同，勒令退场，验收合格的工程量按60%结算款项。</w:t>
      </w:r>
    </w:p>
    <w:p w14:paraId="1CEB182D">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6.2.3本工程严禁使用不合格或不符合要求的材料，一经发现，限期退场，不按要求退场的，造成的损失由乙方负责。如购进的材料设备与提供的样品不一致时，由乙方无条件退货，造成的损失由乙方负责，并处以1000-2000元罚款。</w:t>
      </w:r>
    </w:p>
    <w:p w14:paraId="0AF9C264">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6.2.4不论何种形式的检查被发现偷工减料、以次充好的情形，按单项工程造价的10%收取违约金。</w:t>
      </w:r>
    </w:p>
    <w:p w14:paraId="5783F338">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7、乙方工期违约的责任</w:t>
      </w:r>
    </w:p>
    <w:p w14:paraId="2759EEEC">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因承包人原因造成工期延误，逾期竣工违约金的计算方法为：因乙方原因延误工期，在规定的工期或阶段工期前未能完成，按500元/天的违约金进行处罚。</w:t>
      </w:r>
    </w:p>
    <w:p w14:paraId="7645ECDB">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8、乙方其他违约的责任</w:t>
      </w:r>
    </w:p>
    <w:p w14:paraId="1530AF43">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8.1中标后乙方保证不实质或形式转包，否则甲方有权取消中标资格。</w:t>
      </w:r>
    </w:p>
    <w:p w14:paraId="6D29C7DB">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8.2施工过程中，因乙方施工原因造成公共设施受到破坏的，除乙方须按规定承担修复及相关损失的所有费用外。</w:t>
      </w:r>
    </w:p>
    <w:p w14:paraId="45DD63E8">
      <w:pPr>
        <w:keepNext/>
        <w:keepLines/>
        <w:adjustRightInd w:val="0"/>
        <w:snapToGrid w:val="0"/>
        <w:spacing w:line="360" w:lineRule="auto"/>
        <w:ind w:firstLine="422" w:firstLineChars="200"/>
        <w:outlineLvl w:val="3"/>
        <w:rPr>
          <w:rFonts w:asciiTheme="minorEastAsia" w:hAnsiTheme="minorEastAsia" w:eastAsiaTheme="minorEastAsia" w:cstheme="minorEastAsia"/>
          <w:b/>
          <w:bCs/>
          <w:highlight w:val="none"/>
        </w:rPr>
      </w:pPr>
      <w:bookmarkStart w:id="247" w:name="_Toc31262099"/>
      <w:r>
        <w:rPr>
          <w:rFonts w:hint="eastAsia" w:asciiTheme="minorEastAsia" w:hAnsiTheme="minorEastAsia" w:eastAsiaTheme="minorEastAsia" w:cstheme="minorEastAsia"/>
          <w:b/>
          <w:bCs/>
          <w:highlight w:val="none"/>
        </w:rPr>
        <w:t>十八、不可抗</w:t>
      </w:r>
      <w:bookmarkEnd w:id="247"/>
      <w:r>
        <w:rPr>
          <w:rFonts w:hint="eastAsia" w:asciiTheme="minorEastAsia" w:hAnsiTheme="minorEastAsia" w:eastAsiaTheme="minorEastAsia" w:cstheme="minorEastAsia"/>
          <w:b/>
          <w:bCs/>
          <w:highlight w:val="none"/>
        </w:rPr>
        <w:t>力</w:t>
      </w:r>
    </w:p>
    <w:p w14:paraId="30CDA017">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当事人一方因不可抗力不能履行合同的，应当及时通知对方，并应当积极采取措施以减轻或消除可能给对方造成的损失，并应当在事件结束后7天内提供有力证明。</w:t>
      </w:r>
    </w:p>
    <w:p w14:paraId="712962B8">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因不可抗力不能履行合同的，根据不可抗力的影响，部分或者全部（由双方协商确定）免除责任，但法律另有规定的除外。当事人迟延履行后发生不可抗力的，不能免除责任。</w:t>
      </w:r>
    </w:p>
    <w:p w14:paraId="2D531791">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因不可抗力使合同不能如期履行时，由双方协商确定是否延期履行或终止本合同。</w:t>
      </w:r>
    </w:p>
    <w:p w14:paraId="15A1EEF6">
      <w:pPr>
        <w:keepNext/>
        <w:keepLines/>
        <w:adjustRightInd w:val="0"/>
        <w:snapToGrid w:val="0"/>
        <w:spacing w:line="360" w:lineRule="auto"/>
        <w:ind w:firstLine="422" w:firstLineChars="200"/>
        <w:outlineLvl w:val="3"/>
        <w:rPr>
          <w:rFonts w:asciiTheme="minorEastAsia" w:hAnsiTheme="minorEastAsia" w:eastAsiaTheme="minorEastAsia" w:cstheme="minorEastAsia"/>
          <w:b/>
          <w:bCs/>
          <w:highlight w:val="none"/>
        </w:rPr>
      </w:pPr>
      <w:bookmarkStart w:id="248" w:name="_Toc31262100"/>
      <w:r>
        <w:rPr>
          <w:rFonts w:hint="eastAsia" w:asciiTheme="minorEastAsia" w:hAnsiTheme="minorEastAsia" w:eastAsiaTheme="minorEastAsia" w:cstheme="minorEastAsia"/>
          <w:b/>
          <w:bCs/>
          <w:highlight w:val="none"/>
        </w:rPr>
        <w:t>十九、税金和保险</w:t>
      </w:r>
      <w:bookmarkEnd w:id="248"/>
    </w:p>
    <w:p w14:paraId="2BF08464">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政府根据现行税法和有关部门现行规定就本合同项下向</w:t>
      </w:r>
      <w:r>
        <w:rPr>
          <w:rFonts w:hint="eastAsia" w:asciiTheme="minorEastAsia" w:hAnsiTheme="minorEastAsia" w:eastAsiaTheme="minorEastAsia" w:cstheme="minorEastAsia"/>
          <w:kern w:val="0"/>
          <w:highlight w:val="none"/>
        </w:rPr>
        <w:t>乙方</w:t>
      </w:r>
      <w:r>
        <w:rPr>
          <w:rFonts w:hint="eastAsia" w:asciiTheme="minorEastAsia" w:hAnsiTheme="minorEastAsia" w:eastAsiaTheme="minorEastAsia" w:cstheme="minorEastAsia"/>
          <w:highlight w:val="none"/>
        </w:rPr>
        <w:t>征收的所有税金及其它应交纳的所有费用，均由</w:t>
      </w:r>
      <w:r>
        <w:rPr>
          <w:rFonts w:hint="eastAsia" w:asciiTheme="minorEastAsia" w:hAnsiTheme="minorEastAsia" w:eastAsiaTheme="minorEastAsia" w:cstheme="minorEastAsia"/>
          <w:kern w:val="0"/>
          <w:highlight w:val="none"/>
        </w:rPr>
        <w:t>乙方</w:t>
      </w:r>
      <w:r>
        <w:rPr>
          <w:rFonts w:hint="eastAsia" w:asciiTheme="minorEastAsia" w:hAnsiTheme="minorEastAsia" w:eastAsiaTheme="minorEastAsia" w:cstheme="minorEastAsia"/>
          <w:highlight w:val="none"/>
        </w:rPr>
        <w:t>承担，并已包括在本合同总价中，甲方不单独支付。</w:t>
      </w:r>
    </w:p>
    <w:p w14:paraId="2445281E">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根据国家规定，甲方要求</w:t>
      </w:r>
      <w:r>
        <w:rPr>
          <w:rFonts w:hint="eastAsia" w:asciiTheme="minorEastAsia" w:hAnsiTheme="minorEastAsia" w:eastAsiaTheme="minorEastAsia" w:cstheme="minorEastAsia"/>
          <w:kern w:val="0"/>
          <w:highlight w:val="none"/>
        </w:rPr>
        <w:t>乙方</w:t>
      </w:r>
      <w:r>
        <w:rPr>
          <w:rFonts w:hint="eastAsia" w:asciiTheme="minorEastAsia" w:hAnsiTheme="minorEastAsia" w:eastAsiaTheme="minorEastAsia" w:cstheme="minorEastAsia"/>
          <w:highlight w:val="none"/>
        </w:rPr>
        <w:t>参加工程保险和人身意外伤害及装备保险，所有保险费用均应包含在合同总价中。</w:t>
      </w:r>
    </w:p>
    <w:p w14:paraId="53E9730F">
      <w:pPr>
        <w:keepNext/>
        <w:keepLines/>
        <w:adjustRightInd w:val="0"/>
        <w:snapToGrid w:val="0"/>
        <w:spacing w:line="360" w:lineRule="auto"/>
        <w:ind w:firstLine="422" w:firstLineChars="200"/>
        <w:outlineLvl w:val="3"/>
        <w:rPr>
          <w:rFonts w:asciiTheme="minorEastAsia" w:hAnsiTheme="minorEastAsia" w:eastAsiaTheme="minorEastAsia" w:cstheme="minorEastAsia"/>
          <w:b/>
          <w:bCs/>
          <w:highlight w:val="none"/>
        </w:rPr>
      </w:pPr>
      <w:bookmarkStart w:id="249" w:name="_Toc31262102"/>
      <w:r>
        <w:rPr>
          <w:rFonts w:hint="eastAsia" w:asciiTheme="minorEastAsia" w:hAnsiTheme="minorEastAsia" w:eastAsiaTheme="minorEastAsia" w:cstheme="minorEastAsia"/>
          <w:b/>
          <w:bCs/>
          <w:highlight w:val="none"/>
        </w:rPr>
        <w:t>二十、仲裁和法律</w:t>
      </w:r>
      <w:bookmarkEnd w:id="249"/>
    </w:p>
    <w:p w14:paraId="7805DED6">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rPr>
        <w:t>乙方</w:t>
      </w:r>
      <w:r>
        <w:rPr>
          <w:rFonts w:hint="eastAsia" w:asciiTheme="minorEastAsia" w:hAnsiTheme="minorEastAsia" w:eastAsiaTheme="minorEastAsia" w:cstheme="minorEastAsia"/>
          <w:highlight w:val="none"/>
        </w:rPr>
        <w:t>与甲方发生合同纠纷时，双方应尽量通过协商解决，协商不成时，申诉方可提请南通仲裁委员会仲裁。</w:t>
      </w:r>
    </w:p>
    <w:p w14:paraId="2038B527">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本合同条款未尽事宜，合同双方应参照“中华人民共和国民法典”执行。</w:t>
      </w:r>
    </w:p>
    <w:p w14:paraId="710DBAF7">
      <w:pPr>
        <w:keepNext/>
        <w:keepLines/>
        <w:adjustRightInd w:val="0"/>
        <w:snapToGrid w:val="0"/>
        <w:spacing w:line="360" w:lineRule="auto"/>
        <w:ind w:firstLine="422" w:firstLineChars="200"/>
        <w:outlineLvl w:val="3"/>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二十一、合同生效</w:t>
      </w:r>
    </w:p>
    <w:p w14:paraId="35388B99">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本合同经双方法定代表人或授权人签字并加盖公章后生效，至全部工程完工后经验收合格以及缺陷责任期满由甲方认可后失效。</w:t>
      </w:r>
    </w:p>
    <w:p w14:paraId="14C8F7A6">
      <w:pPr>
        <w:keepNext/>
        <w:keepLines/>
        <w:adjustRightInd w:val="0"/>
        <w:snapToGrid w:val="0"/>
        <w:spacing w:line="360" w:lineRule="auto"/>
        <w:ind w:firstLine="422" w:firstLineChars="200"/>
        <w:outlineLvl w:val="3"/>
        <w:rPr>
          <w:rFonts w:asciiTheme="minorEastAsia" w:hAnsiTheme="minorEastAsia" w:eastAsiaTheme="minorEastAsia" w:cstheme="minorEastAsia"/>
          <w:b/>
          <w:spacing w:val="20"/>
          <w:highlight w:val="none"/>
        </w:rPr>
      </w:pPr>
      <w:r>
        <w:rPr>
          <w:rFonts w:hint="eastAsia" w:asciiTheme="minorEastAsia" w:hAnsiTheme="minorEastAsia" w:eastAsiaTheme="minorEastAsia" w:cstheme="minorEastAsia"/>
          <w:b/>
          <w:bCs/>
          <w:highlight w:val="none"/>
        </w:rPr>
        <w:t>二十二、廉政建设</w:t>
      </w:r>
    </w:p>
    <w:p w14:paraId="22D07045">
      <w:pPr>
        <w:adjustRightInd w:val="0"/>
        <w:snapToGrid w:val="0"/>
        <w:spacing w:line="360" w:lineRule="auto"/>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本合同双方应根据交通部《关于在交通基础设施建设中加强廉政建设的若干意见》以及有关工程建设、廉政建设的规定，做好工程建设中的党风廉政建设，保证工程建设高效优质、保证建设资金的安全和有效使用。</w:t>
      </w:r>
    </w:p>
    <w:p w14:paraId="6B855892">
      <w:pPr>
        <w:wordWrap w:val="0"/>
        <w:spacing w:line="400" w:lineRule="atLeast"/>
        <w:ind w:firstLine="3689" w:firstLineChars="1757"/>
        <w:jc w:val="right"/>
        <w:rPr>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br w:type="page"/>
      </w:r>
    </w:p>
    <w:p w14:paraId="2E303138">
      <w:pPr>
        <w:keepNext/>
        <w:keepLines/>
        <w:adjustRightInd w:val="0"/>
        <w:snapToGrid w:val="0"/>
        <w:spacing w:line="360" w:lineRule="auto"/>
        <w:jc w:val="center"/>
        <w:outlineLvl w:val="0"/>
        <w:rPr>
          <w:rFonts w:ascii="宋体" w:hAnsi="宋体" w:cs="宋体"/>
          <w:b/>
          <w:bCs/>
          <w:kern w:val="44"/>
          <w:sz w:val="30"/>
          <w:szCs w:val="30"/>
          <w:highlight w:val="none"/>
        </w:rPr>
      </w:pPr>
      <w:r>
        <w:rPr>
          <w:rFonts w:hint="eastAsia" w:ascii="宋体" w:hAnsi="宋体" w:cs="宋体"/>
          <w:b/>
          <w:bCs/>
          <w:kern w:val="44"/>
          <w:sz w:val="30"/>
          <w:szCs w:val="30"/>
          <w:highlight w:val="none"/>
        </w:rPr>
        <w:t>合同协议书</w:t>
      </w:r>
    </w:p>
    <w:p w14:paraId="6DDD9F6E">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（发包人名称，以下简称“甲方”）为实施</w:t>
      </w:r>
      <w:r>
        <w:rPr>
          <w:rFonts w:hint="eastAsia" w:ascii="宋体" w:hAnsi="宋体" w:cs="宋体"/>
          <w:highlight w:val="none"/>
          <w:u w:val="single"/>
        </w:rPr>
        <w:t xml:space="preserve">             项目</w:t>
      </w:r>
      <w:r>
        <w:rPr>
          <w:rFonts w:hint="eastAsia" w:ascii="宋体" w:hAnsi="宋体" w:cs="宋体"/>
          <w:highlight w:val="none"/>
        </w:rPr>
        <w:t>，甲方已接受</w:t>
      </w:r>
      <w:r>
        <w:rPr>
          <w:rFonts w:hint="eastAsia" w:ascii="宋体" w:hAnsi="宋体" w:cs="宋体"/>
          <w:highlight w:val="none"/>
          <w:u w:val="single"/>
        </w:rPr>
        <w:t xml:space="preserve">               </w:t>
      </w:r>
      <w:r>
        <w:rPr>
          <w:rFonts w:hint="eastAsia" w:ascii="宋体" w:hAnsi="宋体" w:cs="宋体"/>
          <w:highlight w:val="none"/>
        </w:rPr>
        <w:t>（承包人名称，以下简称“乙方”）对该项目的投标。甲方和乙方共同达成如下协议：</w:t>
      </w:r>
    </w:p>
    <w:p w14:paraId="291051B0">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1、项目概况</w:t>
      </w:r>
    </w:p>
    <w:p w14:paraId="6E30FD9D">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本项目位于南通市港闸区永和路1133号，由于屋顶彩钢瓦老化、锈蚀、变形，防水层破损渗漏，排水系统堵塞积水，附属设施（如采光板、天沟）损坏，现对彩钢瓦屋顶进行修缮，涉及屋顶面积约3000平方米，屋顶结构为轻钢结构框架+彩钢瓦，屋顶高度约10米。</w:t>
      </w:r>
    </w:p>
    <w:p w14:paraId="30736ABE">
      <w:pPr>
        <w:numPr>
          <w:ilvl w:val="0"/>
          <w:numId w:val="1"/>
        </w:num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内容与范围</w:t>
      </w:r>
    </w:p>
    <w:p w14:paraId="58B247D8">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对上述彩钢瓦屋顶进行修缮，工作内容包括但不限于屋顶彩钢瓦表面锈蚀打磨、屋顶彩钢瓦表面清洁、屋顶彩钢瓦防锈底漆及面漆涂装、屋顶彩钢瓦修补、漏水点防水补漏、疏通排水系统堵塞积水、清理现场及垃圾清运等，具体内容详见工程量清单。。</w:t>
      </w:r>
    </w:p>
    <w:p w14:paraId="5581CC33">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3、本合同所附下列文件是构成本合同不可分割的部分</w:t>
      </w:r>
    </w:p>
    <w:p w14:paraId="33800C5B">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（1）本合同协议书及附件（含合同谈判中澄清文件，如果有）；</w:t>
      </w:r>
    </w:p>
    <w:p w14:paraId="710BE5AF">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（2）中标通知书；</w:t>
      </w:r>
    </w:p>
    <w:p w14:paraId="79584E76">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（3）投标文件（含承包人在评审期间递交和确认并经业主同意的对有关问题的补充资料和澄清文件等，如果有）；</w:t>
      </w:r>
    </w:p>
    <w:p w14:paraId="2F8CA337">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（4）招标文件（含补遗书中与此有关部分，如果有）；</w:t>
      </w:r>
    </w:p>
    <w:p w14:paraId="65346DD5">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（5）技术要求(含补遗书中与此有关的部分，如果有)；</w:t>
      </w:r>
    </w:p>
    <w:p w14:paraId="5A40AC2D">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（6）投标报价；</w:t>
      </w:r>
    </w:p>
    <w:p w14:paraId="2CB5EDF6">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（7）招标文件其他组成部分；</w:t>
      </w:r>
    </w:p>
    <w:p w14:paraId="5AD77BBF">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（8）构成本合同组成部分的其他文件。</w:t>
      </w:r>
    </w:p>
    <w:p w14:paraId="71A9646F">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4、上述文件将相互补充，若有不明确或不一致之处，以上述顺序在先者为准。</w:t>
      </w:r>
    </w:p>
    <w:p w14:paraId="2361B376">
      <w:pPr>
        <w:tabs>
          <w:tab w:val="left" w:pos="1800"/>
        </w:tabs>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5、合同价格</w:t>
      </w:r>
    </w:p>
    <w:p w14:paraId="4AE766FE">
      <w:pPr>
        <w:tabs>
          <w:tab w:val="left" w:pos="1800"/>
        </w:tabs>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本合同为综合单价合同，实际结算以中标综合单价和实际实施工程量数量为准，但最终结算价不得超过签约合同价。</w:t>
      </w:r>
    </w:p>
    <w:p w14:paraId="100C808C">
      <w:pPr>
        <w:tabs>
          <w:tab w:val="left" w:pos="1800"/>
        </w:tabs>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注：如实际发生的工程量超过清单中工程量，必须在施工前报甲方批准，否则超出部分的工程量甲方不予认可。</w:t>
      </w:r>
    </w:p>
    <w:p w14:paraId="2EE14A3F">
      <w:pPr>
        <w:tabs>
          <w:tab w:val="left" w:pos="1800"/>
        </w:tabs>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根据工程量清单所列的预计数量计算的签约合同价为人民币（大写）</w:t>
      </w:r>
      <w:r>
        <w:rPr>
          <w:rFonts w:hint="eastAsia" w:ascii="宋体" w:hAnsi="宋体" w:cs="宋体"/>
          <w:highlight w:val="none"/>
          <w:u w:val="single"/>
        </w:rPr>
        <w:t xml:space="preserve">          </w:t>
      </w:r>
      <w:r>
        <w:rPr>
          <w:rFonts w:hint="eastAsia" w:ascii="宋体" w:hAnsi="宋体" w:cs="宋体"/>
          <w:highlight w:val="none"/>
        </w:rPr>
        <w:t>元（</w:t>
      </w:r>
      <w:r>
        <w:rPr>
          <w:rFonts w:hint="eastAsia" w:ascii="宋体" w:hAnsi="宋体" w:cs="宋体"/>
          <w:b/>
          <w:highlight w:val="none"/>
        </w:rPr>
        <w:t>¥</w:t>
      </w:r>
      <w:r>
        <w:rPr>
          <w:rFonts w:hint="eastAsia" w:ascii="宋体" w:hAnsi="宋体" w:cs="宋体"/>
          <w:highlight w:val="none"/>
        </w:rPr>
        <w:t xml:space="preserve"> </w:t>
      </w:r>
      <w:r>
        <w:rPr>
          <w:rFonts w:hint="eastAsia" w:ascii="宋体" w:hAnsi="宋体" w:cs="宋体"/>
          <w:highlight w:val="none"/>
          <w:u w:val="single"/>
        </w:rPr>
        <w:t xml:space="preserve">         </w:t>
      </w:r>
      <w:r>
        <w:rPr>
          <w:rFonts w:hint="eastAsia" w:ascii="宋体" w:hAnsi="宋体" w:cs="宋体"/>
          <w:highlight w:val="none"/>
        </w:rPr>
        <w:t>）。</w:t>
      </w:r>
    </w:p>
    <w:p w14:paraId="7EBFA4E3">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6.项目经理：</w:t>
      </w:r>
      <w:r>
        <w:rPr>
          <w:rFonts w:hint="eastAsia" w:ascii="宋体" w:hAnsi="宋体" w:cs="宋体"/>
          <w:highlight w:val="none"/>
          <w:u w:val="single"/>
        </w:rPr>
        <w:t xml:space="preserve">             </w:t>
      </w:r>
      <w:r>
        <w:rPr>
          <w:rFonts w:hint="eastAsia" w:ascii="宋体" w:hAnsi="宋体" w:cs="宋体"/>
          <w:highlight w:val="none"/>
        </w:rPr>
        <w:t>，联系电话：</w:t>
      </w:r>
      <w:r>
        <w:rPr>
          <w:rFonts w:hint="eastAsia" w:ascii="宋体" w:hAnsi="宋体" w:cs="宋体"/>
          <w:highlight w:val="none"/>
          <w:u w:val="single"/>
        </w:rPr>
        <w:t xml:space="preserve">             </w:t>
      </w:r>
      <w:r>
        <w:rPr>
          <w:rFonts w:hint="eastAsia" w:ascii="宋体" w:hAnsi="宋体" w:cs="宋体"/>
          <w:highlight w:val="none"/>
        </w:rPr>
        <w:t>，投入本项目人员见本合同协议书附件。</w:t>
      </w:r>
    </w:p>
    <w:p w14:paraId="133E7D3F">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7.工期：自开工令签发之日起25日历日内完成。</w:t>
      </w:r>
    </w:p>
    <w:p w14:paraId="400C48B2">
      <w:pPr>
        <w:widowControl/>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8.缺陷责任期：本工程缺陷责任期为24个月（自完工验收合格之日起计算）。</w:t>
      </w:r>
    </w:p>
    <w:p w14:paraId="09111927">
      <w:pPr>
        <w:widowControl/>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9.质量目标：合格。安全目标：安全生产无责任事故。</w:t>
      </w:r>
    </w:p>
    <w:p w14:paraId="1DD6D318">
      <w:pPr>
        <w:widowControl/>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10.由于发包人按本合同第5条所述给承包人支付合同价款，承包人在此立约：保证在各方面按照合同文件的规定承担本合同工程的实施和完成及其缺陷的修复。</w:t>
      </w:r>
    </w:p>
    <w:p w14:paraId="0728EC62">
      <w:pPr>
        <w:widowControl/>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11.作为本合同工程的实施和完成及其缺陷修复的报酬，发包人在此立约：保证按照合同文件规定的时间和方式向承包人支付合同价款。</w:t>
      </w:r>
    </w:p>
    <w:p w14:paraId="1557E33A">
      <w:pPr>
        <w:widowControl/>
        <w:adjustRightInd w:val="0"/>
        <w:snapToGrid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本项目为</w:t>
      </w:r>
      <w:r>
        <w:rPr>
          <w:rFonts w:hint="eastAsia" w:ascii="宋体" w:hAnsi="宋体" w:cs="宋体"/>
          <w:bCs/>
          <w:highlight w:val="none"/>
        </w:rPr>
        <w:t>综合单价合同；工程量按实结算；除合同另有明确规定外，合同综合单价一概不予调整。最终结算价不得超过签约合同价</w:t>
      </w:r>
      <w:r>
        <w:rPr>
          <w:rFonts w:hint="eastAsia" w:ascii="宋体" w:hAnsi="宋体" w:cs="宋体"/>
          <w:kern w:val="0"/>
          <w:highlight w:val="none"/>
          <w:lang w:val="zh-CN"/>
        </w:rPr>
        <w:t>。</w:t>
      </w:r>
    </w:p>
    <w:p w14:paraId="5D7039CA">
      <w:pPr>
        <w:tabs>
          <w:tab w:val="left" w:pos="1710"/>
        </w:tabs>
        <w:adjustRightInd w:val="0"/>
        <w:snapToGrid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支付方式为项目完工验收合格且结算审核审定后一次性支付</w:t>
      </w:r>
      <w:r>
        <w:rPr>
          <w:rFonts w:hint="eastAsia" w:ascii="宋体" w:hAnsi="宋体" w:cs="宋体"/>
          <w:kern w:val="0"/>
          <w:highlight w:val="none"/>
        </w:rPr>
        <w:t>至</w:t>
      </w:r>
      <w:r>
        <w:rPr>
          <w:rFonts w:hint="eastAsia" w:ascii="宋体" w:hAnsi="宋体" w:cs="宋体"/>
          <w:kern w:val="0"/>
          <w:highlight w:val="none"/>
          <w:lang w:val="zh-CN"/>
        </w:rPr>
        <w:t>审定价的</w:t>
      </w:r>
      <w:r>
        <w:rPr>
          <w:rFonts w:hint="eastAsia" w:ascii="宋体" w:hAnsi="宋体" w:cs="宋体"/>
          <w:kern w:val="0"/>
          <w:highlight w:val="none"/>
        </w:rPr>
        <w:t>97</w:t>
      </w:r>
      <w:r>
        <w:rPr>
          <w:rFonts w:hint="eastAsia" w:ascii="宋体" w:hAnsi="宋体" w:cs="宋体"/>
          <w:kern w:val="0"/>
          <w:highlight w:val="none"/>
          <w:lang w:val="zh-CN"/>
        </w:rPr>
        <w:t>%，</w:t>
      </w:r>
      <w:r>
        <w:rPr>
          <w:rFonts w:hint="eastAsia" w:ascii="宋体" w:hAnsi="宋体" w:cs="宋体"/>
          <w:kern w:val="0"/>
          <w:highlight w:val="none"/>
        </w:rPr>
        <w:t>余款在缺陷责任期满后付清。</w:t>
      </w:r>
      <w:r>
        <w:rPr>
          <w:rFonts w:hint="eastAsia" w:ascii="宋体" w:hAnsi="宋体" w:cs="宋体"/>
          <w:kern w:val="0"/>
          <w:highlight w:val="none"/>
          <w:lang w:val="zh-CN"/>
        </w:rPr>
        <w:t>以上付款均不计利息。</w:t>
      </w:r>
    </w:p>
    <w:p w14:paraId="064C0647">
      <w:pPr>
        <w:tabs>
          <w:tab w:val="left" w:pos="1710"/>
        </w:tabs>
        <w:adjustRightInd w:val="0"/>
        <w:snapToGrid w:val="0"/>
        <w:spacing w:line="360" w:lineRule="auto"/>
        <w:ind w:firstLine="420" w:firstLineChars="200"/>
        <w:rPr>
          <w:rFonts w:ascii="宋体" w:hAnsi="宋体" w:cs="宋体"/>
          <w:kern w:val="0"/>
          <w:highlight w:val="none"/>
          <w:lang w:val="zh-CN"/>
        </w:rPr>
      </w:pPr>
      <w:r>
        <w:rPr>
          <w:rFonts w:hint="eastAsia" w:ascii="宋体" w:hAnsi="宋体" w:cs="宋体"/>
          <w:kern w:val="0"/>
          <w:highlight w:val="none"/>
          <w:lang w:val="zh-CN"/>
        </w:rPr>
        <w:t>每次支付前，承包人均应出具由税务部门开具的相应金额的发票。</w:t>
      </w:r>
    </w:p>
    <w:p w14:paraId="0CB767C1">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12.本合同在乙方提供履约保证金后，</w:t>
      </w:r>
      <w:r>
        <w:rPr>
          <w:rFonts w:hint="eastAsia" w:ascii="宋体" w:hAnsi="宋体" w:cs="宋体"/>
          <w:kern w:val="0"/>
          <w:highlight w:val="none"/>
          <w:lang w:val="zh-CN"/>
        </w:rPr>
        <w:t>由双方法定代表人或其授权的代理人签署并加盖公章后生效。全部工程</w:t>
      </w:r>
      <w:r>
        <w:rPr>
          <w:rFonts w:hint="eastAsia" w:ascii="宋体" w:hAnsi="宋体" w:cs="宋体"/>
          <w:highlight w:val="none"/>
        </w:rPr>
        <w:t>完工后经验收合格以及缺陷责任期满由甲方认可后失效。</w:t>
      </w:r>
    </w:p>
    <w:p w14:paraId="11E7881C">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13.争议解决方式：</w:t>
      </w:r>
      <w:r>
        <w:rPr>
          <w:rFonts w:hint="eastAsia" w:ascii="宋体" w:hAnsi="宋体" w:cs="宋体"/>
          <w:highlight w:val="none"/>
          <w:u w:val="single"/>
        </w:rPr>
        <w:t>协商解决，协商不成，向南通仲裁委员会提起仲裁。</w:t>
      </w:r>
    </w:p>
    <w:p w14:paraId="0B950C2E">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14.本合同正本二份、副本六份，合同双方各执正本一份，副本三份，当正本与副本的内容不一致时，以正本为准。</w:t>
      </w:r>
    </w:p>
    <w:p w14:paraId="1ACA95C7">
      <w:pPr>
        <w:adjustRightInd w:val="0"/>
        <w:snapToGrid w:val="0"/>
        <w:spacing w:line="360" w:lineRule="auto"/>
        <w:ind w:firstLine="420" w:firstLineChars="200"/>
        <w:rPr>
          <w:rFonts w:ascii="宋体" w:hAnsi="宋体" w:cs="宋体"/>
          <w:highlight w:val="none"/>
          <w:u w:val="single"/>
        </w:rPr>
      </w:pPr>
      <w:r>
        <w:rPr>
          <w:rFonts w:hint="eastAsia" w:ascii="宋体" w:hAnsi="宋体" w:cs="宋体"/>
          <w:highlight w:val="none"/>
        </w:rPr>
        <w:t>甲方:</w:t>
      </w:r>
      <w:r>
        <w:rPr>
          <w:rFonts w:hint="eastAsia" w:ascii="宋体" w:hAnsi="宋体" w:cs="宋体"/>
          <w:highlight w:val="none"/>
          <w:u w:val="single"/>
        </w:rPr>
        <w:t xml:space="preserve"> （全称）         （盖章）  </w:t>
      </w:r>
      <w:r>
        <w:rPr>
          <w:rFonts w:hint="eastAsia" w:ascii="宋体" w:hAnsi="宋体" w:cs="宋体"/>
          <w:highlight w:val="none"/>
        </w:rPr>
        <w:t>　      乙方:</w:t>
      </w:r>
      <w:r>
        <w:rPr>
          <w:rFonts w:hint="eastAsia" w:ascii="宋体" w:hAnsi="宋体" w:cs="宋体"/>
          <w:highlight w:val="none"/>
          <w:u w:val="single"/>
        </w:rPr>
        <w:t xml:space="preserve"> （全称） （盖章）         </w:t>
      </w:r>
    </w:p>
    <w:p w14:paraId="039BC0F3">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法定代表人                               法定代表人</w:t>
      </w:r>
    </w:p>
    <w:p w14:paraId="38A93090">
      <w:pPr>
        <w:adjustRightInd w:val="0"/>
        <w:snapToGrid w:val="0"/>
        <w:spacing w:line="360" w:lineRule="auto"/>
        <w:ind w:firstLine="420" w:firstLineChars="200"/>
        <w:jc w:val="left"/>
        <w:rPr>
          <w:rFonts w:ascii="宋体" w:hAnsi="宋体" w:cs="宋体"/>
          <w:highlight w:val="none"/>
          <w:u w:val="single"/>
        </w:rPr>
      </w:pPr>
      <w:r>
        <w:rPr>
          <w:rFonts w:hint="eastAsia" w:ascii="宋体" w:hAnsi="宋体" w:cs="宋体"/>
          <w:highlight w:val="none"/>
        </w:rPr>
        <w:t>或其委托代理人：</w:t>
      </w:r>
      <w:r>
        <w:rPr>
          <w:rFonts w:hint="eastAsia" w:ascii="宋体" w:hAnsi="宋体" w:cs="宋体"/>
          <w:highlight w:val="none"/>
          <w:u w:val="single"/>
        </w:rPr>
        <w:t>（签字）</w:t>
      </w:r>
      <w:r>
        <w:rPr>
          <w:rFonts w:hint="eastAsia" w:ascii="宋体" w:hAnsi="宋体" w:cs="宋体"/>
          <w:highlight w:val="none"/>
        </w:rPr>
        <w:t xml:space="preserve">                 或其委托代理人：</w:t>
      </w:r>
      <w:r>
        <w:rPr>
          <w:rFonts w:hint="eastAsia" w:ascii="宋体" w:hAnsi="宋体" w:cs="宋体"/>
          <w:highlight w:val="none"/>
          <w:u w:val="single"/>
        </w:rPr>
        <w:t>（签字）</w:t>
      </w:r>
    </w:p>
    <w:p w14:paraId="15FA991F">
      <w:pPr>
        <w:tabs>
          <w:tab w:val="left" w:pos="4395"/>
          <w:tab w:val="left" w:pos="4678"/>
          <w:tab w:val="left" w:pos="4820"/>
        </w:tabs>
        <w:adjustRightInd w:val="0"/>
        <w:snapToGrid w:val="0"/>
        <w:spacing w:line="360" w:lineRule="auto"/>
        <w:ind w:firstLine="420" w:firstLineChars="200"/>
        <w:rPr>
          <w:rFonts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 xml:space="preserve">日             </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14:paraId="6647CE5D">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06C224C6">
      <w:pPr>
        <w:tabs>
          <w:tab w:val="left" w:pos="7155"/>
        </w:tabs>
        <w:spacing w:line="460" w:lineRule="exact"/>
        <w:rPr>
          <w:rFonts w:ascii="宋体" w:hAnsi="宋体" w:cs="宋体"/>
          <w:b/>
          <w:sz w:val="24"/>
          <w:highlight w:val="none"/>
        </w:rPr>
      </w:pPr>
      <w:r>
        <w:rPr>
          <w:rFonts w:hint="eastAsia" w:ascii="宋体" w:hAnsi="宋体" w:cs="宋体"/>
          <w:b/>
          <w:sz w:val="24"/>
          <w:highlight w:val="none"/>
        </w:rPr>
        <w:t xml:space="preserve">附表1：投标人报价清单                </w:t>
      </w:r>
    </w:p>
    <w:p w14:paraId="02272946">
      <w:pPr>
        <w:tabs>
          <w:tab w:val="left" w:pos="7155"/>
        </w:tabs>
        <w:spacing w:line="460" w:lineRule="exact"/>
        <w:jc w:val="center"/>
        <w:rPr>
          <w:rFonts w:ascii="宋体" w:hAnsi="宋体" w:cs="宋体"/>
          <w:b/>
          <w:sz w:val="30"/>
          <w:szCs w:val="30"/>
          <w:highlight w:val="none"/>
        </w:rPr>
      </w:pPr>
      <w:r>
        <w:rPr>
          <w:rFonts w:hint="eastAsia" w:ascii="宋体" w:hAnsi="宋体" w:cs="宋体"/>
          <w:b/>
          <w:sz w:val="30"/>
          <w:szCs w:val="30"/>
          <w:highlight w:val="none"/>
        </w:rPr>
        <w:t>投标人报价清单</w:t>
      </w:r>
    </w:p>
    <w:p w14:paraId="0F9FC968">
      <w:pPr>
        <w:tabs>
          <w:tab w:val="left" w:pos="1035"/>
        </w:tabs>
        <w:spacing w:line="460" w:lineRule="exact"/>
        <w:rPr>
          <w:rFonts w:ascii="宋体" w:hAnsi="宋体" w:cs="宋体"/>
          <w:b/>
          <w:sz w:val="24"/>
          <w:highlight w:val="none"/>
        </w:rPr>
      </w:pPr>
      <w:r>
        <w:rPr>
          <w:rFonts w:hint="eastAsia" w:ascii="宋体" w:hAnsi="宋体" w:cs="宋体"/>
          <w:sz w:val="24"/>
          <w:highlight w:val="none"/>
        </w:rPr>
        <w:br w:type="page"/>
      </w:r>
      <w:r>
        <w:rPr>
          <w:rFonts w:hint="eastAsia" w:ascii="宋体" w:hAnsi="宋体" w:cs="宋体"/>
          <w:b/>
          <w:sz w:val="24"/>
          <w:highlight w:val="none"/>
        </w:rPr>
        <w:t>附件二： 廉政合同</w:t>
      </w:r>
    </w:p>
    <w:p w14:paraId="387EA931">
      <w:pPr>
        <w:adjustRightInd w:val="0"/>
        <w:snapToGrid w:val="0"/>
        <w:spacing w:line="360" w:lineRule="auto"/>
        <w:jc w:val="center"/>
        <w:rPr>
          <w:rFonts w:ascii="宋体" w:hAnsi="宋体" w:cs="宋体"/>
          <w:b/>
          <w:sz w:val="28"/>
          <w:szCs w:val="28"/>
          <w:highlight w:val="none"/>
        </w:rPr>
      </w:pPr>
      <w:r>
        <w:rPr>
          <w:rFonts w:hint="eastAsia" w:ascii="宋体" w:hAnsi="宋体" w:cs="宋体"/>
          <w:b/>
          <w:sz w:val="30"/>
          <w:szCs w:val="30"/>
          <w:highlight w:val="none"/>
        </w:rPr>
        <w:t>廉政合同</w:t>
      </w:r>
    </w:p>
    <w:p w14:paraId="01C2FD40">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highlight w:val="none"/>
          <w:u w:val="single"/>
        </w:rPr>
        <w:t xml:space="preserve">                  </w:t>
      </w:r>
      <w:r>
        <w:rPr>
          <w:rFonts w:hint="eastAsia" w:ascii="宋体" w:hAnsi="宋体" w:cs="宋体"/>
          <w:highlight w:val="none"/>
        </w:rPr>
        <w:t xml:space="preserve">（项目名称）的项目法人 </w:t>
      </w:r>
      <w:r>
        <w:rPr>
          <w:rFonts w:hint="eastAsia" w:ascii="宋体" w:hAnsi="宋体" w:cs="宋体"/>
          <w:highlight w:val="none"/>
          <w:u w:val="single"/>
        </w:rPr>
        <w:t xml:space="preserve">         </w:t>
      </w:r>
      <w:r>
        <w:rPr>
          <w:rFonts w:hint="eastAsia" w:ascii="宋体" w:hAnsi="宋体" w:cs="宋体"/>
          <w:highlight w:val="none"/>
        </w:rPr>
        <w:t>（项目法人名称，以下简称“委托人”）与该项目的施工单位</w:t>
      </w:r>
      <w:r>
        <w:rPr>
          <w:rFonts w:hint="eastAsia" w:ascii="宋体" w:hAnsi="宋体" w:cs="宋体"/>
          <w:highlight w:val="none"/>
          <w:u w:val="single"/>
        </w:rPr>
        <w:t xml:space="preserve">          </w:t>
      </w:r>
      <w:r>
        <w:rPr>
          <w:rFonts w:hint="eastAsia" w:ascii="宋体" w:hAnsi="宋体" w:cs="宋体"/>
          <w:highlight w:val="none"/>
        </w:rPr>
        <w:t>（施工单位名称，以下简称“受托人”），特订立如下合同。</w:t>
      </w:r>
    </w:p>
    <w:p w14:paraId="61379A44">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1.委托人和受托人双方的权利和义务</w:t>
      </w:r>
    </w:p>
    <w:p w14:paraId="493EF29E">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（1）严格遵守党的政策规定和国家有关法律法规及交通运输部的有关规定。</w:t>
      </w:r>
    </w:p>
    <w:p w14:paraId="680D5E96">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（2）严格执行</w:t>
      </w:r>
      <w:r>
        <w:rPr>
          <w:rFonts w:hint="eastAsia" w:ascii="宋体" w:hAnsi="宋体" w:cs="宋体"/>
          <w:highlight w:val="none"/>
          <w:u w:val="single"/>
        </w:rPr>
        <w:t xml:space="preserve">                       </w:t>
      </w:r>
      <w:r>
        <w:rPr>
          <w:rFonts w:hint="eastAsia" w:ascii="宋体" w:hAnsi="宋体" w:cs="宋体"/>
          <w:highlight w:val="none"/>
        </w:rPr>
        <w:t>（项目名称）合同文件，自觉按合同办事。</w:t>
      </w:r>
    </w:p>
    <w:p w14:paraId="02B0263D">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（3）双方的业务活动坚持公开、公正、诚信、透明的原则（法律认定的商业秘密和合同文件另有规定除外），不得损害国家和集体利益，不得违反工程建设管理规章制度。</w:t>
      </w:r>
    </w:p>
    <w:p w14:paraId="45BE1257">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（4）建立健全廉政制度，开展廉政教育，设立廉政告示牌，公布举报电话，监督并认真查处违法违纪行为。</w:t>
      </w:r>
    </w:p>
    <w:p w14:paraId="4607565B">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（5）发现对方在业务活动中有违反廉政规定的行为，有及时提醒对方纠正的权利和义务。</w:t>
      </w:r>
    </w:p>
    <w:p w14:paraId="4D939882">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（6）发现对方严重违反本合同义务条款的行为，有向其上级有关部门举报、建议给予处理并要求告知处理结果的权利。</w:t>
      </w:r>
    </w:p>
    <w:p w14:paraId="7668D3D8">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2.委托人的义务</w:t>
      </w:r>
    </w:p>
    <w:p w14:paraId="3633170A">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（1）委托人及其工作人员不得索要或接受受托人的礼金、有价证券和贵重物品，不得让受托人报销任何应由委托人或委托人工作人员个人支付的费用等。</w:t>
      </w:r>
    </w:p>
    <w:p w14:paraId="7320E5AC">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（2）委托人工作人员不得参加受托人安排的宴请和娱乐活动；不得接受受托人提供的通讯工具、交通工具和高档办公用品等。</w:t>
      </w:r>
    </w:p>
    <w:p w14:paraId="47E9604C">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（3）委托人及其工作人员不得要求或者接受受托人为其住房装修、婚丧嫁娶活动、配偶子女的工作安排以及出国出境、旅游等提供方便等。</w:t>
      </w:r>
    </w:p>
    <w:p w14:paraId="4D1BD84C">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（4）委托人工作人员及其配偶、子女不得从事与委托人工程有关的材料设备供应、工程分包、劳务等经济活动等。</w:t>
      </w:r>
    </w:p>
    <w:p w14:paraId="2311F08D">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（5）委托人及其工作人员不得以任何理由向受托人推荐分包单位或推销材料，不得要求受托人购买合同规定外的材料和设备。</w:t>
      </w:r>
    </w:p>
    <w:p w14:paraId="5879F37C">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（6）委托人工作人员要秉公办事，不准营私舞弊，不准利用职权从事各种个人有偿中介活动和安排个人施工队伍。</w:t>
      </w:r>
    </w:p>
    <w:p w14:paraId="0E6432E4">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3.受托人的义务</w:t>
      </w:r>
    </w:p>
    <w:p w14:paraId="3D82ECCB">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（1）受托人不得以任何理由向发包人及其工作人员行贿或馈赠礼金、有价证券、贵重礼品。</w:t>
      </w:r>
    </w:p>
    <w:p w14:paraId="42D48F9E">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（2）受托人不得以任何名义为委托人及其工作人员报销应由委托人单位或个人支付的任何费用。</w:t>
      </w:r>
    </w:p>
    <w:p w14:paraId="70697091">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（3）受托人不得以任何理由安排委托人工作人员参加宴请及娱乐活动。</w:t>
      </w:r>
    </w:p>
    <w:p w14:paraId="4BF5C3D0">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（4）受托人不得为委托人单位和个人购置或提供通信工具、交通工具和高档办公用品等。</w:t>
      </w:r>
    </w:p>
    <w:p w14:paraId="23E69D63">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4.违约责任</w:t>
      </w:r>
    </w:p>
    <w:p w14:paraId="3A61F1C8">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（1）委托人及其工作人员违反本合同第1、2条，按管理权限，依据有关规定给予党纪、政纪或组织处理；涉嫌犯罪的，移交司法机关追究刑事责任；给受托人单位造成经济损失的，应予以赔偿。</w:t>
      </w:r>
    </w:p>
    <w:p w14:paraId="4A40FE29">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受托人及其工作人员违反本合同第1、3条，按管理权限，依据有关规定给予党纪、政纪或组织处理；给委托人单位造成经济损失的，应予以赔偿；并按照违纪违法认定金额的双倍承担违约金。合同款项未完全支付的，违约金在支付时予以扣减；合同款已支付承包人或未支付款不足以支付违约金的，承包人另行支付违约金。情节严重的，委托人建议交通主管部门给予受托人一至三年内不得进入其主管的公路建设市场的处罚。</w:t>
      </w:r>
    </w:p>
    <w:p w14:paraId="6588D6A5">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5. 本合同有效期为委托人和受托人签署之日起至该工程项目竣工验收后止。</w:t>
      </w:r>
    </w:p>
    <w:p w14:paraId="3012B555">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6. 本合同作为</w:t>
      </w:r>
      <w:r>
        <w:rPr>
          <w:rFonts w:hint="eastAsia" w:ascii="宋体" w:hAnsi="宋体" w:cs="宋体"/>
          <w:highlight w:val="none"/>
          <w:u w:val="single"/>
        </w:rPr>
        <w:t xml:space="preserve">                               </w:t>
      </w:r>
      <w:r>
        <w:rPr>
          <w:rFonts w:hint="eastAsia" w:ascii="宋体" w:hAnsi="宋体" w:cs="宋体"/>
          <w:highlight w:val="none"/>
        </w:rPr>
        <w:t>(项目名称)合同的附件，与项目合同具有同等的法律效力，经合同双方签署后立即生效。</w:t>
      </w:r>
    </w:p>
    <w:p w14:paraId="1FF26D4B">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7. 本合同一式四份，由委托人和受托人各执两份。</w:t>
      </w:r>
    </w:p>
    <w:p w14:paraId="78E9B985">
      <w:pPr>
        <w:adjustRightInd w:val="0"/>
        <w:snapToGrid w:val="0"/>
        <w:spacing w:line="360" w:lineRule="auto"/>
        <w:ind w:firstLine="420" w:firstLineChars="200"/>
        <w:rPr>
          <w:rFonts w:ascii="宋体" w:hAnsi="宋体" w:cs="宋体"/>
          <w:highlight w:val="none"/>
        </w:rPr>
      </w:pPr>
    </w:p>
    <w:p w14:paraId="06B4A919">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委托人：</w:t>
      </w:r>
      <w:r>
        <w:rPr>
          <w:rFonts w:hint="eastAsia" w:ascii="宋体" w:hAnsi="宋体" w:cs="宋体"/>
          <w:highlight w:val="none"/>
          <w:u w:val="single"/>
        </w:rPr>
        <w:t xml:space="preserve">              </w:t>
      </w:r>
      <w:r>
        <w:rPr>
          <w:rFonts w:hint="eastAsia" w:ascii="宋体" w:hAnsi="宋体" w:cs="宋体"/>
          <w:highlight w:val="none"/>
        </w:rPr>
        <w:t>（盖单位章） 受托人：</w:t>
      </w:r>
      <w:r>
        <w:rPr>
          <w:rFonts w:hint="eastAsia" w:ascii="宋体" w:hAnsi="宋体" w:cs="宋体"/>
          <w:highlight w:val="none"/>
          <w:u w:val="single"/>
        </w:rPr>
        <w:t xml:space="preserve">              </w:t>
      </w:r>
      <w:r>
        <w:rPr>
          <w:rFonts w:hint="eastAsia" w:ascii="宋体" w:hAnsi="宋体" w:cs="宋体"/>
          <w:highlight w:val="none"/>
        </w:rPr>
        <w:t>（盖单位章）</w:t>
      </w:r>
    </w:p>
    <w:p w14:paraId="55988823">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法定代表人或其委托代理人：_（签字）  法定代表人或其委托代理人：_（签字）</w:t>
      </w:r>
    </w:p>
    <w:p w14:paraId="0649907D">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________年________月________日     ________年________月________日</w:t>
      </w:r>
    </w:p>
    <w:p w14:paraId="5DD94F7A">
      <w:pPr>
        <w:spacing w:line="460" w:lineRule="exact"/>
        <w:rPr>
          <w:rFonts w:ascii="宋体" w:hAnsi="宋体" w:cs="宋体"/>
          <w:b/>
          <w:sz w:val="24"/>
          <w:highlight w:val="none"/>
        </w:rPr>
      </w:pPr>
      <w:r>
        <w:rPr>
          <w:rFonts w:hint="eastAsia" w:ascii="宋体" w:hAnsi="宋体" w:cs="宋体"/>
          <w:b/>
          <w:sz w:val="24"/>
          <w:highlight w:val="none"/>
        </w:rPr>
        <w:t xml:space="preserve"> </w:t>
      </w:r>
    </w:p>
    <w:p w14:paraId="35DA157F">
      <w:pPr>
        <w:rPr>
          <w:rFonts w:ascii="宋体" w:hAnsi="宋体" w:cs="宋体"/>
          <w:b/>
          <w:sz w:val="24"/>
          <w:highlight w:val="none"/>
        </w:rPr>
      </w:pPr>
      <w:r>
        <w:rPr>
          <w:rFonts w:hint="eastAsia" w:ascii="宋体" w:hAnsi="宋体" w:cs="宋体"/>
          <w:b/>
          <w:sz w:val="24"/>
          <w:highlight w:val="none"/>
        </w:rPr>
        <w:br w:type="page"/>
      </w:r>
    </w:p>
    <w:p w14:paraId="6F75C39E">
      <w:pPr>
        <w:spacing w:line="460" w:lineRule="exact"/>
        <w:rPr>
          <w:rFonts w:ascii="宋体" w:hAnsi="宋体" w:cs="宋体"/>
          <w:b/>
          <w:sz w:val="24"/>
          <w:highlight w:val="none"/>
        </w:rPr>
      </w:pPr>
      <w:r>
        <w:rPr>
          <w:rFonts w:hint="eastAsia" w:ascii="宋体" w:hAnsi="宋体" w:cs="宋体"/>
          <w:b/>
          <w:sz w:val="24"/>
          <w:highlight w:val="none"/>
        </w:rPr>
        <w:t xml:space="preserve">附件三：安全生产合同                       </w:t>
      </w:r>
    </w:p>
    <w:p w14:paraId="544693C2">
      <w:pPr>
        <w:adjustRightInd w:val="0"/>
        <w:snapToGrid w:val="0"/>
        <w:spacing w:line="360" w:lineRule="auto"/>
        <w:jc w:val="center"/>
        <w:rPr>
          <w:rFonts w:ascii="宋体" w:hAnsi="宋体" w:cs="宋体"/>
          <w:b/>
          <w:bCs/>
          <w:sz w:val="30"/>
          <w:szCs w:val="30"/>
          <w:highlight w:val="none"/>
        </w:rPr>
      </w:pPr>
      <w:r>
        <w:rPr>
          <w:rFonts w:hint="eastAsia" w:ascii="宋体" w:hAnsi="宋体" w:cs="宋体"/>
          <w:b/>
          <w:bCs/>
          <w:sz w:val="30"/>
          <w:szCs w:val="30"/>
          <w:highlight w:val="none"/>
        </w:rPr>
        <w:t>安全生产合同</w:t>
      </w:r>
    </w:p>
    <w:p w14:paraId="516A4DD5">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为在</w:t>
      </w:r>
      <w:r>
        <w:rPr>
          <w:rFonts w:hint="eastAsia" w:ascii="宋体" w:hAnsi="宋体" w:cs="宋体"/>
          <w:highlight w:val="none"/>
          <w:u w:val="single"/>
        </w:rPr>
        <w:t xml:space="preserve">                        </w:t>
      </w:r>
      <w:r>
        <w:rPr>
          <w:rFonts w:hint="eastAsia" w:ascii="宋体" w:hAnsi="宋体" w:cs="宋体"/>
          <w:highlight w:val="none"/>
        </w:rPr>
        <w:t>合同的实施过程中创造安全、高效的施工环境，切实搞好本项目的安全管理工作，本项目发包人</w:t>
      </w:r>
      <w:r>
        <w:rPr>
          <w:rFonts w:hint="eastAsia" w:ascii="宋体" w:hAnsi="宋体" w:cs="宋体"/>
          <w:highlight w:val="none"/>
          <w:u w:val="single"/>
        </w:rPr>
        <w:t xml:space="preserve">             </w:t>
      </w:r>
      <w:r>
        <w:rPr>
          <w:rFonts w:hint="eastAsia" w:ascii="宋体" w:hAnsi="宋体" w:cs="宋体"/>
          <w:highlight w:val="none"/>
        </w:rPr>
        <w:t>（发包人名称，以下简称“发包人”）与</w:t>
      </w:r>
      <w:r>
        <w:rPr>
          <w:rFonts w:hint="eastAsia" w:ascii="宋体" w:hAnsi="宋体" w:cs="宋体"/>
          <w:snapToGrid w:val="0"/>
          <w:kern w:val="0"/>
          <w:highlight w:val="none"/>
          <w:u w:val="single"/>
        </w:rPr>
        <w:t xml:space="preserve">                 </w:t>
      </w:r>
      <w:r>
        <w:rPr>
          <w:rFonts w:hint="eastAsia" w:ascii="宋体" w:hAnsi="宋体" w:cs="宋体"/>
          <w:highlight w:val="none"/>
        </w:rPr>
        <w:t>（承包人名称，以下简称“承包人”）对该项目的投标，发包人和承包人特此签订安全生产合同：</w:t>
      </w:r>
    </w:p>
    <w:p w14:paraId="01D94D9B">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1．发包人职责</w:t>
      </w:r>
    </w:p>
    <w:p w14:paraId="228E3F12">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（1）严格遵守国家有关安全生产的法律法规，认真执行工程承包合同中的有关安全要求。</w:t>
      </w:r>
    </w:p>
    <w:p w14:paraId="13437B31">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（2）按照“安全第一、预防为主”和坚持“管生产必须管安全”的原则进行安全生产管理，做到生产与安全工作同时计划、布置、检查、总结和评比。</w:t>
      </w:r>
    </w:p>
    <w:p w14:paraId="08BF8963">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（3）重要的安全设施必须坚持与主体工程“三同时”的原则，即：同时设计、审批，同时施工，同时验收，投入使用。</w:t>
      </w:r>
    </w:p>
    <w:p w14:paraId="5DDEDB34">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（4）定期召开安全生产调度会，及时传达中央及地方有关安全生产的精神。</w:t>
      </w:r>
    </w:p>
    <w:p w14:paraId="3812A5CA">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（5）组织对承包人施工现场进行安全生产检查，监督承包人及时处理发现的各种安全隐患。</w:t>
      </w:r>
    </w:p>
    <w:p w14:paraId="6F32E2A7">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2．承包人职责</w:t>
      </w:r>
    </w:p>
    <w:p w14:paraId="4284BF2D">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严格遵守《中华人民共和国安全生产法》、《建设工程安全生产管理条例》等国家有关安全生产的法律法规、《建筑工程安全生产监督管理办法》、《建筑工程施工安全技术规程》等有关安全生产的规定。认真执行工程承包合同中的有关安全要求。</w:t>
      </w:r>
    </w:p>
    <w:p w14:paraId="6A3C5D6E">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3479715">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建筑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134B025">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（4）承包人在任何时候都应采取各种合理的预防措施，防止其员工发生任何违法、违禁、暴力或妨碍治安的行为。</w:t>
      </w:r>
    </w:p>
    <w:p w14:paraId="630A8AA5">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AFA4CD1">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C09FE8A">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（7）操作人员上岗，必须按规定穿戴防护用品。施工负责人和安全检查员应随时检查劳动防护用品的穿戴情况，不按规定穿戴防护用品的人员不得上岗。</w:t>
      </w:r>
    </w:p>
    <w:p w14:paraId="4F178BCF">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（8）所有施工机具设备和高空作业的设备均应定期检查，并有安全员的签字记录，保证其经常处于完好状态；不合格的机具、设备和劳动保护用品严禁使用。</w:t>
      </w:r>
    </w:p>
    <w:p w14:paraId="5C7BEAC1">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（9）施工中采用新技术、新工艺、新设备、新材料时，必须制定相应的安全技术措施，施工现场必须具有相关的安全标志牌。</w:t>
      </w:r>
    </w:p>
    <w:p w14:paraId="75643F6D">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10）承包人必须按照本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3B035A5D">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3．违约责任</w:t>
      </w:r>
    </w:p>
    <w:p w14:paraId="409D0509">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如因发包人或承包人违约造成安全事故，将依法追究责任。</w:t>
      </w:r>
    </w:p>
    <w:p w14:paraId="4557726C">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4．本合同由双方法定代表人或其授权的代理人签署并加盖单位章后生效，全部工程验收后失效。</w:t>
      </w:r>
    </w:p>
    <w:p w14:paraId="01F2F877">
      <w:pPr>
        <w:adjustRightInd w:val="0"/>
        <w:snapToGrid w:val="0"/>
        <w:spacing w:line="360" w:lineRule="auto"/>
        <w:ind w:firstLine="420" w:firstLineChars="200"/>
        <w:rPr>
          <w:rFonts w:ascii="宋体" w:hAnsi="宋体" w:cs="宋体"/>
          <w:highlight w:val="none"/>
        </w:rPr>
      </w:pPr>
      <w:r>
        <w:rPr>
          <w:rFonts w:hint="eastAsia" w:ascii="宋体" w:hAnsi="宋体" w:cs="宋体"/>
          <w:highlight w:val="none"/>
        </w:rPr>
        <w:t>5．本合同正本二份、副本</w:t>
      </w:r>
      <w:r>
        <w:rPr>
          <w:rFonts w:hint="eastAsia" w:ascii="宋体" w:hAnsi="宋体" w:cs="宋体"/>
          <w:highlight w:val="none"/>
          <w:u w:val="single"/>
        </w:rPr>
        <w:t xml:space="preserve">       </w:t>
      </w:r>
      <w:r>
        <w:rPr>
          <w:rFonts w:hint="eastAsia" w:ascii="宋体" w:hAnsi="宋体" w:cs="宋体"/>
          <w:highlight w:val="none"/>
        </w:rPr>
        <w:t>份，合同双方各执正本一份，副本</w:t>
      </w:r>
      <w:r>
        <w:rPr>
          <w:rFonts w:hint="eastAsia" w:ascii="宋体" w:hAnsi="宋体" w:cs="宋体"/>
          <w:highlight w:val="none"/>
          <w:u w:val="single"/>
        </w:rPr>
        <w:t xml:space="preserve">      </w:t>
      </w:r>
      <w:r>
        <w:rPr>
          <w:rFonts w:hint="eastAsia" w:ascii="宋体" w:hAnsi="宋体" w:cs="宋体"/>
          <w:highlight w:val="none"/>
        </w:rPr>
        <w:t>份，当正本与副本的内容不一致时，以正本为准。</w:t>
      </w:r>
    </w:p>
    <w:p w14:paraId="2BDF3253">
      <w:pPr>
        <w:adjustRightInd w:val="0"/>
        <w:snapToGrid w:val="0"/>
        <w:spacing w:line="360" w:lineRule="auto"/>
        <w:ind w:firstLine="420" w:firstLineChars="200"/>
        <w:rPr>
          <w:rFonts w:ascii="宋体" w:hAnsi="宋体" w:cs="宋体"/>
          <w:highlight w:val="none"/>
        </w:rPr>
      </w:pPr>
    </w:p>
    <w:p w14:paraId="70F47383">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发包人：</w:t>
      </w:r>
      <w:r>
        <w:rPr>
          <w:rFonts w:hint="eastAsia" w:ascii="宋体" w:hAnsi="宋体" w:cs="宋体"/>
          <w:highlight w:val="none"/>
          <w:u w:val="single"/>
        </w:rPr>
        <w:t xml:space="preserve">             </w:t>
      </w:r>
      <w:r>
        <w:rPr>
          <w:rFonts w:hint="eastAsia" w:ascii="宋体" w:hAnsi="宋体" w:cs="宋体"/>
          <w:highlight w:val="none"/>
        </w:rPr>
        <w:t>（盖章单位）   承包人：</w:t>
      </w:r>
      <w:r>
        <w:rPr>
          <w:rFonts w:hint="eastAsia" w:ascii="宋体" w:hAnsi="宋体" w:cs="宋体"/>
          <w:highlight w:val="none"/>
          <w:u w:val="single"/>
        </w:rPr>
        <w:t xml:space="preserve">            </w:t>
      </w:r>
      <w:r>
        <w:rPr>
          <w:rFonts w:hint="eastAsia" w:ascii="宋体" w:hAnsi="宋体" w:cs="宋体"/>
          <w:highlight w:val="none"/>
        </w:rPr>
        <w:t>（盖章单位）</w:t>
      </w:r>
    </w:p>
    <w:p w14:paraId="480CA7DA">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rPr>
        <w:t>法定代表人或其委托代理人：（签字）    法定代表人或其委托代理人：</w:t>
      </w:r>
      <w:r>
        <w:rPr>
          <w:rFonts w:hint="eastAsia" w:ascii="宋体" w:hAnsi="宋体" w:cs="宋体"/>
          <w:highlight w:val="none"/>
          <w:u w:val="single"/>
        </w:rPr>
        <w:t>（</w:t>
      </w:r>
      <w:r>
        <w:rPr>
          <w:rFonts w:hint="eastAsia" w:ascii="宋体" w:hAnsi="宋体" w:cs="宋体"/>
          <w:highlight w:val="none"/>
        </w:rPr>
        <w:t>签字）</w:t>
      </w:r>
    </w:p>
    <w:p w14:paraId="523EF2F3">
      <w:pPr>
        <w:adjustRightInd w:val="0"/>
        <w:snapToGrid w:val="0"/>
        <w:spacing w:line="360" w:lineRule="auto"/>
        <w:ind w:firstLine="420" w:firstLineChars="200"/>
        <w:jc w:val="left"/>
        <w:rPr>
          <w:rFonts w:ascii="宋体" w:hAnsi="宋体" w:cs="宋体"/>
          <w:highlight w:val="none"/>
        </w:rPr>
      </w:pPr>
    </w:p>
    <w:p w14:paraId="67350D31">
      <w:pPr>
        <w:adjustRightInd w:val="0"/>
        <w:snapToGrid w:val="0"/>
        <w:spacing w:line="360" w:lineRule="auto"/>
        <w:ind w:firstLine="420" w:firstLineChars="200"/>
        <w:jc w:val="left"/>
        <w:rPr>
          <w:rFonts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rPr>
        <w:t xml:space="preserve">年 </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 xml:space="preserve">日             </w:t>
      </w:r>
      <w:r>
        <w:rPr>
          <w:rFonts w:hint="eastAsia" w:ascii="宋体" w:hAnsi="宋体" w:cs="宋体"/>
          <w:highlight w:val="none"/>
          <w:u w:val="single"/>
        </w:rPr>
        <w:t xml:space="preserve">          </w:t>
      </w:r>
      <w:r>
        <w:rPr>
          <w:rFonts w:hint="eastAsia" w:ascii="宋体" w:hAnsi="宋体" w:cs="宋体"/>
          <w:highlight w:val="none"/>
        </w:rPr>
        <w:t xml:space="preserve">年 </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14:paraId="6339ABC2">
      <w:pPr>
        <w:pStyle w:val="15"/>
        <w:rPr>
          <w:highlight w:val="none"/>
        </w:rPr>
      </w:pPr>
    </w:p>
    <w:p w14:paraId="43A471E7">
      <w:pPr>
        <w:spacing w:line="400" w:lineRule="atLeast"/>
        <w:rPr>
          <w:color w:val="000000" w:themeColor="text1"/>
          <w:sz w:val="24"/>
          <w:highlight w:val="none"/>
          <w14:textFill>
            <w14:solidFill>
              <w14:schemeClr w14:val="tx1"/>
            </w14:solidFill>
          </w14:textFill>
        </w:rPr>
      </w:pPr>
    </w:p>
    <w:p w14:paraId="569E888B">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76FB76A0">
      <w:pPr>
        <w:pStyle w:val="3"/>
        <w:spacing w:before="0" w:after="0" w:line="240" w:lineRule="auto"/>
        <w:jc w:val="center"/>
        <w:rPr>
          <w:b w:val="0"/>
          <w:bCs w:val="0"/>
          <w:color w:val="000000" w:themeColor="text1"/>
          <w:sz w:val="52"/>
          <w:szCs w:val="52"/>
          <w:highlight w:val="none"/>
          <w14:textFill>
            <w14:solidFill>
              <w14:schemeClr w14:val="tx1"/>
            </w14:solidFill>
          </w14:textFill>
        </w:rPr>
      </w:pPr>
      <w:r>
        <w:rPr>
          <w:rFonts w:hint="eastAsia" w:cs="黑体"/>
          <w:b w:val="0"/>
          <w:bCs w:val="0"/>
          <w:color w:val="000000" w:themeColor="text1"/>
          <w:sz w:val="52"/>
          <w:szCs w:val="52"/>
          <w:highlight w:val="none"/>
          <w14:textFill>
            <w14:solidFill>
              <w14:schemeClr w14:val="tx1"/>
            </w14:solidFill>
          </w14:textFill>
        </w:rPr>
        <w:t>第</w:t>
      </w:r>
      <w:r>
        <w:rPr>
          <w:rFonts w:hint="eastAsia" w:cs="黑体"/>
          <w:b w:val="0"/>
          <w:bCs w:val="0"/>
          <w:color w:val="000000" w:themeColor="text1"/>
          <w:sz w:val="52"/>
          <w:szCs w:val="52"/>
          <w:highlight w:val="none"/>
          <w:lang w:val="en-US" w:eastAsia="zh-CN"/>
          <w14:textFill>
            <w14:solidFill>
              <w14:schemeClr w14:val="tx1"/>
            </w14:solidFill>
          </w14:textFill>
        </w:rPr>
        <w:t>五</w:t>
      </w:r>
      <w:r>
        <w:rPr>
          <w:rFonts w:hint="eastAsia" w:cs="黑体"/>
          <w:b w:val="0"/>
          <w:bCs w:val="0"/>
          <w:color w:val="000000" w:themeColor="text1"/>
          <w:sz w:val="52"/>
          <w:szCs w:val="52"/>
          <w:highlight w:val="none"/>
          <w14:textFill>
            <w14:solidFill>
              <w14:schemeClr w14:val="tx1"/>
            </w14:solidFill>
          </w14:textFill>
        </w:rPr>
        <w:t xml:space="preserve">章 </w:t>
      </w:r>
      <w:r>
        <w:rPr>
          <w:rFonts w:hint="eastAsia" w:cs="黑体"/>
          <w:b w:val="0"/>
          <w:bCs w:val="0"/>
          <w:color w:val="000000" w:themeColor="text1"/>
          <w:sz w:val="52"/>
          <w:szCs w:val="52"/>
          <w:highlight w:val="none"/>
          <w:lang w:val="en-US" w:eastAsia="zh-CN"/>
          <w14:textFill>
            <w14:solidFill>
              <w14:schemeClr w14:val="tx1"/>
            </w14:solidFill>
          </w14:textFill>
        </w:rPr>
        <w:t>发包人要求</w:t>
      </w:r>
    </w:p>
    <w:p w14:paraId="02669449">
      <w:pPr>
        <w:pStyle w:val="6"/>
        <w:keepNext w:val="0"/>
        <w:keepLines w:val="0"/>
        <w:widowControl/>
        <w:adjustRightInd w:val="0"/>
        <w:snapToGrid w:val="0"/>
        <w:spacing w:before="0" w:after="0" w:line="360" w:lineRule="auto"/>
        <w:ind w:firstLine="482" w:firstLineChars="200"/>
        <w:rPr>
          <w:rFonts w:asciiTheme="minorEastAsia" w:hAnsiTheme="minorEastAsia" w:eastAsiaTheme="minorEastAsia" w:cstheme="minorEastAsia"/>
          <w:color w:val="404040"/>
          <w:sz w:val="24"/>
          <w:szCs w:val="24"/>
          <w:highlight w:val="none"/>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t>一</w:t>
      </w:r>
      <w:r>
        <w:rPr>
          <w:rStyle w:val="19"/>
          <w:rFonts w:hint="eastAsia" w:asciiTheme="minorEastAsia" w:hAnsiTheme="minorEastAsia" w:eastAsiaTheme="minorEastAsia" w:cstheme="minorEastAsia"/>
          <w:b/>
          <w:bCs w:val="0"/>
          <w:color w:val="404040"/>
          <w:sz w:val="24"/>
          <w:szCs w:val="24"/>
          <w:highlight w:val="none"/>
        </w:rPr>
        <w:t>、施工前准备</w:t>
      </w:r>
    </w:p>
    <w:p w14:paraId="6284E34E">
      <w:pPr>
        <w:pStyle w:val="14"/>
        <w:adjustRightInd w:val="0"/>
        <w:snapToGrid w:val="0"/>
        <w:spacing w:before="0" w:beforeAutospacing="0" w:after="0" w:afterAutospacing="0" w:line="360" w:lineRule="auto"/>
        <w:ind w:firstLine="482" w:firstLineChars="200"/>
        <w:jc w:val="both"/>
        <w:rPr>
          <w:rFonts w:asciiTheme="minorEastAsia" w:hAnsiTheme="minorEastAsia" w:eastAsiaTheme="minorEastAsia" w:cstheme="minorEastAsia"/>
          <w:highlight w:val="none"/>
        </w:rPr>
      </w:pPr>
      <w:r>
        <w:rPr>
          <w:rStyle w:val="19"/>
          <w:rFonts w:hint="eastAsia" w:asciiTheme="minorEastAsia" w:hAnsiTheme="minorEastAsia" w:eastAsiaTheme="minorEastAsia" w:cstheme="minorEastAsia"/>
          <w:color w:val="404040"/>
          <w:highlight w:val="none"/>
        </w:rPr>
        <w:t>材料准备</w:t>
      </w:r>
      <w:r>
        <w:rPr>
          <w:rFonts w:hint="eastAsia" w:asciiTheme="minorEastAsia" w:hAnsiTheme="minorEastAsia" w:eastAsiaTheme="minorEastAsia" w:cstheme="minorEastAsia"/>
          <w:color w:val="404040"/>
          <w:highlight w:val="none"/>
        </w:rPr>
        <w:t>：</w:t>
      </w:r>
    </w:p>
    <w:p w14:paraId="01655F36">
      <w:pPr>
        <w:pStyle w:val="14"/>
        <w:widowControl/>
        <w:adjustRightInd w:val="0"/>
        <w:snapToGrid w:val="0"/>
        <w:spacing w:before="0" w:beforeAutospacing="0" w:after="0" w:afterAutospacing="0" w:line="360" w:lineRule="auto"/>
        <w:ind w:firstLine="440" w:firstLineChars="200"/>
        <w:jc w:val="both"/>
        <w:rPr>
          <w:rFonts w:hint="default"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000000"/>
          <w:sz w:val="22"/>
          <w:szCs w:val="22"/>
          <w:highlight w:val="none"/>
          <w:lang w:bidi="ar"/>
        </w:rPr>
        <w:t>水性彩钢瓦 专用铁红防锈底漆</w:t>
      </w:r>
      <w:r>
        <w:rPr>
          <w:rFonts w:hint="eastAsia" w:asciiTheme="minorEastAsia" w:hAnsiTheme="minorEastAsia" w:eastAsiaTheme="minorEastAsia" w:cstheme="minorEastAsia"/>
          <w:color w:val="404040"/>
          <w:highlight w:val="none"/>
        </w:rPr>
        <w:t>；</w:t>
      </w:r>
      <w:r>
        <w:rPr>
          <w:rFonts w:hint="eastAsia" w:asciiTheme="minorEastAsia" w:hAnsiTheme="minorEastAsia" w:eastAsiaTheme="minorEastAsia" w:cstheme="minorEastAsia"/>
          <w:color w:val="auto"/>
          <w:highlight w:val="none"/>
        </w:rPr>
        <w:t>建议品牌：</w:t>
      </w:r>
      <w:bookmarkStart w:id="250" w:name="OLE_LINK2"/>
      <w:r>
        <w:rPr>
          <w:rFonts w:hint="eastAsia" w:asciiTheme="minorEastAsia" w:hAnsiTheme="minorEastAsia" w:eastAsiaTheme="minorEastAsia" w:cstheme="minorEastAsia"/>
          <w:color w:val="auto"/>
          <w:sz w:val="24"/>
          <w:szCs w:val="24"/>
          <w:highlight w:val="none"/>
        </w:rPr>
        <w:t>上海斯鼎</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雄鹰、苏州远工</w:t>
      </w:r>
    </w:p>
    <w:bookmarkEnd w:id="250"/>
    <w:p w14:paraId="276CE475">
      <w:pPr>
        <w:pStyle w:val="14"/>
        <w:widowControl/>
        <w:adjustRightInd w:val="0"/>
        <w:snapToGrid w:val="0"/>
        <w:spacing w:before="0" w:beforeAutospacing="0" w:after="0" w:afterAutospacing="0" w:line="360" w:lineRule="auto"/>
        <w:ind w:firstLine="480" w:firstLineChars="200"/>
        <w:jc w:val="both"/>
        <w:rPr>
          <w:color w:val="auto"/>
          <w:highlight w:val="none"/>
        </w:rPr>
      </w:pPr>
      <w:r>
        <w:rPr>
          <w:rFonts w:hint="eastAsia"/>
          <w:highlight w:val="none"/>
          <w:lang w:bidi="ar"/>
        </w:rPr>
        <w:t>水性彩钢瓦专用丙烯酸面漆；</w:t>
      </w:r>
      <w:r>
        <w:rPr>
          <w:rFonts w:hint="eastAsia"/>
          <w:color w:val="404040"/>
          <w:highlight w:val="none"/>
        </w:rPr>
        <w:t>建议品牌：</w:t>
      </w:r>
      <w:r>
        <w:rPr>
          <w:rFonts w:hint="eastAsia"/>
          <w:color w:val="auto"/>
          <w:highlight w:val="none"/>
        </w:rPr>
        <w:t>上海斯鼎</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雄鹰、苏州远工</w:t>
      </w:r>
    </w:p>
    <w:p w14:paraId="79F475E2">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404040"/>
          <w:highlight w:val="none"/>
        </w:rPr>
        <w:t>稀释剂、砂纸（80目、120目）、金属除锈剂；</w:t>
      </w:r>
    </w:p>
    <w:p w14:paraId="25F7D30D">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404040"/>
          <w:highlight w:val="none"/>
        </w:rPr>
        <w:t>防尘罩、废料收集袋。</w:t>
      </w:r>
    </w:p>
    <w:p w14:paraId="3685A6F7">
      <w:pPr>
        <w:pStyle w:val="14"/>
        <w:adjustRightInd w:val="0"/>
        <w:snapToGrid w:val="0"/>
        <w:spacing w:before="0" w:beforeAutospacing="0" w:after="0" w:afterAutospacing="0" w:line="360" w:lineRule="auto"/>
        <w:ind w:firstLine="482" w:firstLineChars="200"/>
        <w:jc w:val="both"/>
        <w:rPr>
          <w:rFonts w:asciiTheme="minorEastAsia" w:hAnsiTheme="minorEastAsia" w:eastAsiaTheme="minorEastAsia" w:cstheme="minorEastAsia"/>
          <w:highlight w:val="none"/>
        </w:rPr>
      </w:pPr>
      <w:r>
        <w:rPr>
          <w:rStyle w:val="19"/>
          <w:rFonts w:hint="eastAsia" w:asciiTheme="minorEastAsia" w:hAnsiTheme="minorEastAsia" w:eastAsiaTheme="minorEastAsia" w:cstheme="minorEastAsia"/>
          <w:color w:val="404040"/>
          <w:highlight w:val="none"/>
        </w:rPr>
        <w:t>设备清单</w:t>
      </w:r>
      <w:r>
        <w:rPr>
          <w:rFonts w:hint="eastAsia" w:asciiTheme="minorEastAsia" w:hAnsiTheme="minorEastAsia" w:eastAsiaTheme="minorEastAsia" w:cstheme="minorEastAsia"/>
          <w:color w:val="404040"/>
          <w:highlight w:val="none"/>
        </w:rPr>
        <w:t>：</w:t>
      </w:r>
    </w:p>
    <w:p w14:paraId="37FEAA7B">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404040"/>
          <w:highlight w:val="none"/>
        </w:rPr>
        <w:t>高空作业车/升降平台（承重≥300kg）；</w:t>
      </w:r>
    </w:p>
    <w:p w14:paraId="1857A3D9">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404040"/>
          <w:highlight w:val="none"/>
        </w:rPr>
        <w:t>角磨机（配钢丝刷、砂轮片）、无气喷涂机或滚筒刷；</w:t>
      </w:r>
    </w:p>
    <w:p w14:paraId="53B3E3B3">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404040"/>
          <w:highlight w:val="none"/>
        </w:rPr>
        <w:t>安全绳、双钩安全带、速差防坠器；</w:t>
      </w:r>
    </w:p>
    <w:p w14:paraId="183A0D87">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404040"/>
          <w:highlight w:val="none"/>
        </w:rPr>
        <w:t>防护装备：防尘口罩、护目镜、防滑鞋、防护服；</w:t>
      </w:r>
    </w:p>
    <w:p w14:paraId="1E11DB1F">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404040"/>
          <w:highlight w:val="none"/>
        </w:rPr>
        <w:t>鼓风机、吸尘器（清洁用）。</w:t>
      </w:r>
    </w:p>
    <w:p w14:paraId="53C90D74">
      <w:pPr>
        <w:pStyle w:val="14"/>
        <w:adjustRightInd w:val="0"/>
        <w:snapToGrid w:val="0"/>
        <w:spacing w:before="0" w:beforeAutospacing="0" w:after="0" w:afterAutospacing="0" w:line="360" w:lineRule="auto"/>
        <w:ind w:firstLine="482" w:firstLineChars="200"/>
        <w:jc w:val="both"/>
        <w:rPr>
          <w:rFonts w:asciiTheme="minorEastAsia" w:hAnsiTheme="minorEastAsia" w:eastAsiaTheme="minorEastAsia" w:cstheme="minorEastAsia"/>
          <w:highlight w:val="none"/>
        </w:rPr>
      </w:pPr>
      <w:r>
        <w:rPr>
          <w:rStyle w:val="19"/>
          <w:rFonts w:hint="eastAsia" w:asciiTheme="minorEastAsia" w:hAnsiTheme="minorEastAsia" w:eastAsiaTheme="minorEastAsia" w:cstheme="minorEastAsia"/>
          <w:color w:val="404040"/>
          <w:highlight w:val="none"/>
        </w:rPr>
        <w:t>人员配置</w:t>
      </w:r>
      <w:r>
        <w:rPr>
          <w:rFonts w:hint="eastAsia" w:asciiTheme="minorEastAsia" w:hAnsiTheme="minorEastAsia" w:eastAsiaTheme="minorEastAsia" w:cstheme="minorEastAsia"/>
          <w:color w:val="404040"/>
          <w:highlight w:val="none"/>
        </w:rPr>
        <w:t>：</w:t>
      </w:r>
    </w:p>
    <w:p w14:paraId="3D38C94F">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404040"/>
          <w:highlight w:val="none"/>
        </w:rPr>
        <w:t>专业施工队（4-6人，持高空作业证）；</w:t>
      </w:r>
    </w:p>
    <w:p w14:paraId="3F5C7F49">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404040"/>
          <w:highlight w:val="none"/>
        </w:rPr>
        <w:t>专职安全员1名，质量监督员1名。</w:t>
      </w:r>
    </w:p>
    <w:p w14:paraId="59CD9499">
      <w:pPr>
        <w:pStyle w:val="6"/>
        <w:keepNext w:val="0"/>
        <w:keepLines w:val="0"/>
        <w:widowControl/>
        <w:adjustRightInd w:val="0"/>
        <w:snapToGrid w:val="0"/>
        <w:spacing w:before="0" w:after="0" w:line="360" w:lineRule="auto"/>
        <w:ind w:firstLine="482" w:firstLineChars="200"/>
        <w:rPr>
          <w:rFonts w:asciiTheme="minorEastAsia" w:hAnsiTheme="minorEastAsia" w:eastAsiaTheme="minorEastAsia" w:cstheme="minorEastAsia"/>
          <w:color w:val="404040"/>
          <w:sz w:val="24"/>
          <w:szCs w:val="24"/>
          <w:highlight w:val="none"/>
        </w:rPr>
      </w:pPr>
      <w:r>
        <w:rPr>
          <w:rStyle w:val="19"/>
          <w:rFonts w:hint="eastAsia" w:asciiTheme="minorEastAsia" w:hAnsiTheme="minorEastAsia" w:eastAsiaTheme="minorEastAsia" w:cstheme="minorEastAsia"/>
          <w:b/>
          <w:bCs w:val="0"/>
          <w:color w:val="404040"/>
          <w:sz w:val="24"/>
          <w:szCs w:val="24"/>
          <w:highlight w:val="none"/>
        </w:rPr>
        <w:t>二、施工流程</w:t>
      </w:r>
    </w:p>
    <w:p w14:paraId="3C6666B9">
      <w:pPr>
        <w:pStyle w:val="14"/>
        <w:adjustRightInd w:val="0"/>
        <w:snapToGrid w:val="0"/>
        <w:spacing w:before="0" w:beforeAutospacing="0" w:after="0" w:afterAutospacing="0" w:line="360" w:lineRule="auto"/>
        <w:ind w:firstLine="482" w:firstLineChars="200"/>
        <w:jc w:val="both"/>
        <w:rPr>
          <w:rFonts w:asciiTheme="minorEastAsia" w:hAnsiTheme="minorEastAsia" w:eastAsiaTheme="minorEastAsia" w:cstheme="minorEastAsia"/>
          <w:color w:val="404040"/>
          <w:highlight w:val="none"/>
        </w:rPr>
      </w:pPr>
      <w:r>
        <w:rPr>
          <w:rStyle w:val="19"/>
          <w:rFonts w:hint="eastAsia" w:asciiTheme="minorEastAsia" w:hAnsiTheme="minorEastAsia" w:eastAsiaTheme="minorEastAsia" w:cstheme="minorEastAsia"/>
          <w:color w:val="404040"/>
          <w:highlight w:val="none"/>
        </w:rPr>
        <w:t>阶段一：基层检查与安全防护</w:t>
      </w:r>
    </w:p>
    <w:p w14:paraId="3DEDD25A">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404040"/>
          <w:highlight w:val="none"/>
        </w:rPr>
        <w:t>检查屋顶彩钢瓦锈蚀程度，标记需重点处理的区域。</w:t>
      </w:r>
    </w:p>
    <w:p w14:paraId="5325A22C">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color w:val="404040"/>
          <w:highlight w:val="none"/>
        </w:rPr>
      </w:pPr>
      <w:r>
        <w:rPr>
          <w:rFonts w:hint="eastAsia" w:asciiTheme="minorEastAsia" w:hAnsiTheme="minorEastAsia" w:eastAsiaTheme="minorEastAsia" w:cstheme="minorEastAsia"/>
          <w:color w:val="404040"/>
          <w:highlight w:val="none"/>
        </w:rPr>
        <w:t>设置屋顶下方警戒区，悬挂“高空作业”警示牌。</w:t>
      </w:r>
    </w:p>
    <w:p w14:paraId="5B3E2231">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color w:val="404040"/>
          <w:highlight w:val="none"/>
        </w:rPr>
      </w:pPr>
      <w:r>
        <w:rPr>
          <w:rFonts w:hint="eastAsia" w:asciiTheme="minorEastAsia" w:hAnsiTheme="minorEastAsia" w:eastAsiaTheme="minorEastAsia" w:cstheme="minorEastAsia"/>
          <w:color w:val="404040"/>
          <w:highlight w:val="none"/>
        </w:rPr>
        <w:t>检查升降车及安全绳可靠性。</w:t>
      </w:r>
    </w:p>
    <w:p w14:paraId="15EB5630">
      <w:pPr>
        <w:pStyle w:val="14"/>
        <w:adjustRightInd w:val="0"/>
        <w:snapToGrid w:val="0"/>
        <w:spacing w:before="0" w:beforeAutospacing="0" w:after="0" w:afterAutospacing="0" w:line="360" w:lineRule="auto"/>
        <w:ind w:firstLine="482" w:firstLineChars="200"/>
        <w:jc w:val="both"/>
        <w:rPr>
          <w:rFonts w:asciiTheme="minorEastAsia" w:hAnsiTheme="minorEastAsia" w:eastAsiaTheme="minorEastAsia" w:cstheme="minorEastAsia"/>
          <w:color w:val="404040"/>
          <w:highlight w:val="none"/>
        </w:rPr>
      </w:pPr>
      <w:r>
        <w:rPr>
          <w:rStyle w:val="19"/>
          <w:rFonts w:hint="eastAsia" w:asciiTheme="minorEastAsia" w:hAnsiTheme="minorEastAsia" w:eastAsiaTheme="minorEastAsia" w:cstheme="minorEastAsia"/>
          <w:color w:val="404040"/>
          <w:highlight w:val="none"/>
        </w:rPr>
        <w:t>阶段二：表面处理（打磨除锈）</w:t>
      </w:r>
    </w:p>
    <w:p w14:paraId="58956243">
      <w:pPr>
        <w:pStyle w:val="14"/>
        <w:adjustRightInd w:val="0"/>
        <w:snapToGrid w:val="0"/>
        <w:spacing w:before="0" w:beforeAutospacing="0" w:after="0" w:afterAutospacing="0" w:line="360" w:lineRule="auto"/>
        <w:ind w:firstLine="482" w:firstLineChars="200"/>
        <w:jc w:val="both"/>
        <w:rPr>
          <w:rFonts w:asciiTheme="minorEastAsia" w:hAnsiTheme="minorEastAsia" w:eastAsiaTheme="minorEastAsia" w:cstheme="minorEastAsia"/>
          <w:highlight w:val="none"/>
        </w:rPr>
      </w:pPr>
      <w:r>
        <w:rPr>
          <w:rStyle w:val="19"/>
          <w:rFonts w:hint="eastAsia" w:asciiTheme="minorEastAsia" w:hAnsiTheme="minorEastAsia" w:eastAsiaTheme="minorEastAsia" w:cstheme="minorEastAsia"/>
          <w:color w:val="404040"/>
          <w:highlight w:val="none"/>
        </w:rPr>
        <w:t>机械打磨</w:t>
      </w:r>
      <w:r>
        <w:rPr>
          <w:rFonts w:hint="eastAsia" w:asciiTheme="minorEastAsia" w:hAnsiTheme="minorEastAsia" w:eastAsiaTheme="minorEastAsia" w:cstheme="minorEastAsia"/>
          <w:color w:val="404040"/>
          <w:highlight w:val="none"/>
        </w:rPr>
        <w:t>：</w:t>
      </w:r>
    </w:p>
    <w:p w14:paraId="05F7DAC1">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404040"/>
          <w:highlight w:val="none"/>
        </w:rPr>
        <w:t>使用角磨机配钢丝刷清除大面积锈蚀及旧漆层；</w:t>
      </w:r>
    </w:p>
    <w:p w14:paraId="2EEE85A1">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404040"/>
          <w:highlight w:val="none"/>
        </w:rPr>
        <w:t>局部顽固锈斑喷涂金属除锈剂，静置10分钟后打磨。</w:t>
      </w:r>
    </w:p>
    <w:p w14:paraId="7E037CFD">
      <w:pPr>
        <w:pStyle w:val="14"/>
        <w:adjustRightInd w:val="0"/>
        <w:snapToGrid w:val="0"/>
        <w:spacing w:before="0" w:beforeAutospacing="0" w:after="0" w:afterAutospacing="0" w:line="360" w:lineRule="auto"/>
        <w:ind w:firstLine="482" w:firstLineChars="200"/>
        <w:jc w:val="both"/>
        <w:rPr>
          <w:rFonts w:asciiTheme="minorEastAsia" w:hAnsiTheme="minorEastAsia" w:eastAsiaTheme="minorEastAsia" w:cstheme="minorEastAsia"/>
          <w:highlight w:val="none"/>
        </w:rPr>
      </w:pPr>
      <w:r>
        <w:rPr>
          <w:rStyle w:val="19"/>
          <w:rFonts w:hint="eastAsia" w:asciiTheme="minorEastAsia" w:hAnsiTheme="minorEastAsia" w:eastAsiaTheme="minorEastAsia" w:cstheme="minorEastAsia"/>
          <w:color w:val="404040"/>
          <w:highlight w:val="none"/>
        </w:rPr>
        <w:t>清洁</w:t>
      </w:r>
      <w:r>
        <w:rPr>
          <w:rFonts w:hint="eastAsia" w:asciiTheme="minorEastAsia" w:hAnsiTheme="minorEastAsia" w:eastAsiaTheme="minorEastAsia" w:cstheme="minorEastAsia"/>
          <w:color w:val="404040"/>
          <w:highlight w:val="none"/>
        </w:rPr>
        <w:t>：</w:t>
      </w:r>
    </w:p>
    <w:p w14:paraId="49A33E89">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404040"/>
          <w:highlight w:val="none"/>
        </w:rPr>
        <w:t>用鼓风机清除浮尘，吸尘器二次清理；</w:t>
      </w:r>
    </w:p>
    <w:p w14:paraId="16AD6445">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color w:val="404040"/>
          <w:highlight w:val="none"/>
        </w:rPr>
      </w:pPr>
      <w:r>
        <w:rPr>
          <w:rFonts w:hint="eastAsia" w:asciiTheme="minorEastAsia" w:hAnsiTheme="minorEastAsia" w:eastAsiaTheme="minorEastAsia" w:cstheme="minorEastAsia"/>
          <w:color w:val="404040"/>
          <w:highlight w:val="none"/>
        </w:rPr>
        <w:t>油污区域用溶剂擦拭，确保表面干燥无污染。</w:t>
      </w:r>
    </w:p>
    <w:p w14:paraId="5D8BC46C">
      <w:pPr>
        <w:pStyle w:val="14"/>
        <w:adjustRightInd w:val="0"/>
        <w:snapToGrid w:val="0"/>
        <w:spacing w:before="0" w:beforeAutospacing="0" w:after="0" w:afterAutospacing="0" w:line="360" w:lineRule="auto"/>
        <w:ind w:firstLine="482" w:firstLineChars="200"/>
        <w:jc w:val="both"/>
        <w:rPr>
          <w:rStyle w:val="19"/>
          <w:rFonts w:asciiTheme="minorEastAsia" w:hAnsiTheme="minorEastAsia" w:eastAsiaTheme="minorEastAsia" w:cstheme="minorEastAsia"/>
          <w:color w:val="404040"/>
          <w:highlight w:val="none"/>
        </w:rPr>
      </w:pPr>
      <w:r>
        <w:rPr>
          <w:rStyle w:val="19"/>
          <w:rFonts w:hint="eastAsia" w:asciiTheme="minorEastAsia" w:hAnsiTheme="minorEastAsia" w:eastAsiaTheme="minorEastAsia" w:cstheme="minorEastAsia"/>
          <w:color w:val="404040"/>
          <w:highlight w:val="none"/>
        </w:rPr>
        <w:t>阶段三：底漆涂装</w:t>
      </w:r>
    </w:p>
    <w:p w14:paraId="48C00BB5">
      <w:pPr>
        <w:widowControl/>
        <w:ind w:firstLine="440" w:firstLineChars="200"/>
        <w:jc w:val="left"/>
        <w:rPr>
          <w:rFonts w:ascii="宋体" w:hAnsi="宋体" w:cs="宋体"/>
          <w:kern w:val="0"/>
          <w:sz w:val="24"/>
          <w:szCs w:val="24"/>
          <w:highlight w:val="none"/>
        </w:rPr>
      </w:pPr>
      <w:r>
        <w:rPr>
          <w:rFonts w:hint="eastAsia" w:asciiTheme="minorEastAsia" w:hAnsiTheme="minorEastAsia" w:eastAsiaTheme="minorEastAsia" w:cstheme="minorEastAsia"/>
          <w:color w:val="000000"/>
          <w:kern w:val="0"/>
          <w:sz w:val="22"/>
          <w:szCs w:val="22"/>
          <w:highlight w:val="none"/>
          <w:lang w:bidi="ar"/>
        </w:rPr>
        <w:t>水性彩钢瓦 专用铁红防锈底漆</w:t>
      </w:r>
      <w:r>
        <w:rPr>
          <w:rFonts w:hint="eastAsia" w:asciiTheme="minorEastAsia" w:hAnsiTheme="minorEastAsia" w:eastAsiaTheme="minorEastAsia" w:cstheme="minorEastAsia"/>
          <w:color w:val="404040"/>
          <w:sz w:val="24"/>
          <w:szCs w:val="24"/>
          <w:highlight w:val="none"/>
        </w:rPr>
        <w:t>。</w:t>
      </w:r>
      <w:r>
        <w:rPr>
          <w:rFonts w:hint="eastAsia"/>
          <w:color w:val="auto"/>
          <w:highlight w:val="none"/>
        </w:rPr>
        <w:t>上海斯鼎</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雄鹰、苏州远工</w:t>
      </w:r>
    </w:p>
    <w:p w14:paraId="0B7209D9">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404040"/>
          <w:highlight w:val="none"/>
        </w:rPr>
        <w:t>采用无气喷涂机或滚筒刷均匀涂装；</w:t>
      </w:r>
    </w:p>
    <w:p w14:paraId="4716FCE8">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color w:val="404040"/>
          <w:highlight w:val="none"/>
        </w:rPr>
      </w:pPr>
      <w:r>
        <w:rPr>
          <w:rFonts w:hint="eastAsia" w:asciiTheme="minorEastAsia" w:hAnsiTheme="minorEastAsia" w:eastAsiaTheme="minorEastAsia" w:cstheme="minorEastAsia"/>
          <w:color w:val="404040"/>
          <w:highlight w:val="none"/>
        </w:rPr>
        <w:t>干燥时间：常温下4-6小时（湿度≤80%）。</w:t>
      </w:r>
    </w:p>
    <w:p w14:paraId="3A5FDDB2">
      <w:pPr>
        <w:pStyle w:val="14"/>
        <w:adjustRightInd w:val="0"/>
        <w:snapToGrid w:val="0"/>
        <w:spacing w:before="0" w:beforeAutospacing="0" w:after="0" w:afterAutospacing="0" w:line="360" w:lineRule="auto"/>
        <w:ind w:firstLine="482" w:firstLineChars="200"/>
        <w:jc w:val="both"/>
        <w:rPr>
          <w:rFonts w:asciiTheme="minorEastAsia" w:hAnsiTheme="minorEastAsia" w:eastAsiaTheme="minorEastAsia" w:cstheme="minorEastAsia"/>
          <w:color w:val="404040"/>
          <w:highlight w:val="none"/>
        </w:rPr>
      </w:pPr>
      <w:r>
        <w:rPr>
          <w:rStyle w:val="19"/>
          <w:rFonts w:hint="eastAsia" w:asciiTheme="minorEastAsia" w:hAnsiTheme="minorEastAsia" w:eastAsiaTheme="minorEastAsia" w:cstheme="minorEastAsia"/>
          <w:color w:val="404040"/>
          <w:highlight w:val="none"/>
        </w:rPr>
        <w:t>阶段四：面漆涂装</w:t>
      </w:r>
    </w:p>
    <w:p w14:paraId="5D769BCF">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404040"/>
          <w:highlight w:val="none"/>
        </w:rPr>
        <w:t>涂装前检查底漆无漏涂、起泡，合格后方可施工。</w:t>
      </w:r>
    </w:p>
    <w:p w14:paraId="56AE1DC4">
      <w:pPr>
        <w:pStyle w:val="14"/>
        <w:adjustRightInd w:val="0"/>
        <w:snapToGrid w:val="0"/>
        <w:spacing w:before="0" w:beforeAutospacing="0" w:after="0" w:afterAutospacing="0" w:line="360" w:lineRule="auto"/>
        <w:ind w:firstLine="480" w:firstLineChars="200"/>
        <w:jc w:val="both"/>
        <w:rPr>
          <w:rFonts w:ascii="宋体" w:hAnsi="宋体" w:eastAsia="宋体" w:cs="宋体"/>
          <w:highlight w:val="none"/>
        </w:rPr>
      </w:pPr>
      <w:r>
        <w:rPr>
          <w:rFonts w:hint="eastAsia"/>
          <w:highlight w:val="none"/>
          <w:lang w:bidi="ar"/>
        </w:rPr>
        <w:t>水性彩钢瓦专用丙烯酸面漆</w:t>
      </w:r>
      <w:r>
        <w:rPr>
          <w:rFonts w:hint="eastAsia"/>
          <w:color w:val="404040"/>
          <w:highlight w:val="none"/>
        </w:rPr>
        <w:t>，</w:t>
      </w:r>
      <w:r>
        <w:rPr>
          <w:rFonts w:hint="eastAsia"/>
          <w:color w:val="auto"/>
          <w:highlight w:val="none"/>
        </w:rPr>
        <w:t>上海斯鼎</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雄鹰、苏州远工</w:t>
      </w:r>
      <w:r>
        <w:rPr>
          <w:rFonts w:hint="eastAsia"/>
          <w:highlight w:val="none"/>
        </w:rPr>
        <w:t xml:space="preserve"> </w:t>
      </w:r>
      <w:r>
        <w:rPr>
          <w:rFonts w:hint="eastAsia"/>
          <w:color w:val="404040"/>
          <w:highlight w:val="none"/>
        </w:rPr>
        <w:t>方向与底漆垂直；</w:t>
      </w:r>
    </w:p>
    <w:p w14:paraId="4701DA42">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404040"/>
          <w:highlight w:val="none"/>
        </w:rPr>
        <w:t>间隔8小时涂装第二遍面漆。</w:t>
      </w:r>
    </w:p>
    <w:p w14:paraId="146EDF8C">
      <w:pPr>
        <w:pStyle w:val="14"/>
        <w:adjustRightInd w:val="0"/>
        <w:snapToGrid w:val="0"/>
        <w:spacing w:before="0" w:beforeAutospacing="0" w:after="0" w:afterAutospacing="0" w:line="360" w:lineRule="auto"/>
        <w:ind w:firstLine="482" w:firstLineChars="200"/>
        <w:jc w:val="both"/>
        <w:rPr>
          <w:rFonts w:asciiTheme="minorEastAsia" w:hAnsiTheme="minorEastAsia" w:eastAsiaTheme="minorEastAsia" w:cstheme="minorEastAsia"/>
          <w:color w:val="404040"/>
          <w:highlight w:val="none"/>
        </w:rPr>
      </w:pPr>
      <w:r>
        <w:rPr>
          <w:rStyle w:val="19"/>
          <w:rFonts w:hint="eastAsia" w:asciiTheme="minorEastAsia" w:hAnsiTheme="minorEastAsia" w:eastAsiaTheme="minorEastAsia" w:cstheme="minorEastAsia"/>
          <w:color w:val="404040"/>
          <w:highlight w:val="none"/>
        </w:rPr>
        <w:t>阶段五：清理与验收</w:t>
      </w:r>
    </w:p>
    <w:p w14:paraId="11326239">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404040"/>
          <w:highlight w:val="none"/>
        </w:rPr>
        <w:t>回收废料，清理设备及场地；</w:t>
      </w:r>
    </w:p>
    <w:p w14:paraId="5D02E45E">
      <w:pPr>
        <w:pStyle w:val="14"/>
        <w:adjustRightInd w:val="0"/>
        <w:snapToGrid w:val="0"/>
        <w:spacing w:before="0" w:beforeAutospacing="0" w:after="0" w:afterAutospacing="0" w:line="360" w:lineRule="auto"/>
        <w:ind w:firstLine="480" w:firstLineChars="200"/>
        <w:jc w:val="both"/>
        <w:rPr>
          <w:rFonts w:asciiTheme="minorEastAsia" w:hAnsiTheme="minorEastAsia" w:eastAsiaTheme="minorEastAsia" w:cstheme="minorEastAsia"/>
          <w:highlight w:val="none"/>
        </w:rPr>
      </w:pPr>
      <w:r>
        <w:rPr>
          <w:rFonts w:hint="eastAsia" w:asciiTheme="minorEastAsia" w:hAnsiTheme="minorEastAsia" w:eastAsiaTheme="minorEastAsia" w:cstheme="minorEastAsia"/>
          <w:color w:val="404040"/>
          <w:highlight w:val="none"/>
        </w:rPr>
        <w:t>提交验收报告，配合业主方检查。</w:t>
      </w:r>
    </w:p>
    <w:p w14:paraId="38DB23EA">
      <w:pPr>
        <w:adjustRightInd w:val="0"/>
        <w:snapToGrid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1CD3FD64">
      <w:pPr>
        <w:rPr>
          <w:highlight w:val="none"/>
        </w:rPr>
      </w:pPr>
    </w:p>
    <w:p w14:paraId="3D97D9CB">
      <w:pPr>
        <w:rPr>
          <w:color w:val="000000" w:themeColor="text1"/>
          <w:sz w:val="48"/>
          <w:szCs w:val="48"/>
          <w:highlight w:val="none"/>
          <w14:textFill>
            <w14:solidFill>
              <w14:schemeClr w14:val="tx1"/>
            </w14:solidFill>
          </w14:textFill>
        </w:rPr>
      </w:pPr>
    </w:p>
    <w:p w14:paraId="4C97C436">
      <w:pPr>
        <w:pStyle w:val="3"/>
        <w:spacing w:before="0" w:after="0" w:line="240" w:lineRule="auto"/>
        <w:jc w:val="center"/>
        <w:rPr>
          <w:b w:val="0"/>
          <w:bCs w:val="0"/>
          <w:color w:val="000000" w:themeColor="text1"/>
          <w:sz w:val="52"/>
          <w:szCs w:val="52"/>
          <w:highlight w:val="none"/>
          <w14:textFill>
            <w14:solidFill>
              <w14:schemeClr w14:val="tx1"/>
            </w14:solidFill>
          </w14:textFill>
        </w:rPr>
      </w:pPr>
      <w:bookmarkStart w:id="251" w:name="_Toc30445"/>
      <w:bookmarkStart w:id="252" w:name="_Toc12500"/>
      <w:r>
        <w:rPr>
          <w:rFonts w:hint="eastAsia" w:cs="黑体"/>
          <w:b w:val="0"/>
          <w:bCs w:val="0"/>
          <w:color w:val="000000" w:themeColor="text1"/>
          <w:sz w:val="52"/>
          <w:szCs w:val="52"/>
          <w:highlight w:val="none"/>
          <w14:textFill>
            <w14:solidFill>
              <w14:schemeClr w14:val="tx1"/>
            </w14:solidFill>
          </w14:textFill>
        </w:rPr>
        <w:t>第</w:t>
      </w:r>
      <w:r>
        <w:rPr>
          <w:rFonts w:hint="eastAsia" w:cs="黑体"/>
          <w:b w:val="0"/>
          <w:bCs w:val="0"/>
          <w:color w:val="000000" w:themeColor="text1"/>
          <w:sz w:val="52"/>
          <w:szCs w:val="52"/>
          <w:highlight w:val="none"/>
          <w:lang w:val="en-US" w:eastAsia="zh-CN"/>
          <w14:textFill>
            <w14:solidFill>
              <w14:schemeClr w14:val="tx1"/>
            </w14:solidFill>
          </w14:textFill>
        </w:rPr>
        <w:t>六</w:t>
      </w:r>
      <w:r>
        <w:rPr>
          <w:rFonts w:hint="eastAsia" w:cs="黑体"/>
          <w:b w:val="0"/>
          <w:bCs w:val="0"/>
          <w:color w:val="000000" w:themeColor="text1"/>
          <w:sz w:val="52"/>
          <w:szCs w:val="52"/>
          <w:highlight w:val="none"/>
          <w14:textFill>
            <w14:solidFill>
              <w14:schemeClr w14:val="tx1"/>
            </w14:solidFill>
          </w14:textFill>
        </w:rPr>
        <w:t>章 投标文件格式</w:t>
      </w:r>
      <w:bookmarkEnd w:id="251"/>
      <w:bookmarkEnd w:id="252"/>
    </w:p>
    <w:p w14:paraId="1EF79BE1">
      <w:pPr>
        <w:rPr>
          <w:color w:val="000000" w:themeColor="text1"/>
          <w:sz w:val="48"/>
          <w:szCs w:val="48"/>
          <w:highlight w:val="none"/>
          <w14:textFill>
            <w14:solidFill>
              <w14:schemeClr w14:val="tx1"/>
            </w14:solidFill>
          </w14:textFill>
        </w:rPr>
      </w:pPr>
    </w:p>
    <w:p w14:paraId="695DF8ED">
      <w:pPr>
        <w:pStyle w:val="3"/>
        <w:spacing w:before="120" w:after="120" w:line="400" w:lineRule="exact"/>
        <w:jc w:val="center"/>
        <w:rPr>
          <w:color w:val="000000" w:themeColor="text1"/>
          <w:highlight w:val="none"/>
          <w14:textFill>
            <w14:solidFill>
              <w14:schemeClr w14:val="tx1"/>
            </w14:solidFill>
          </w14:textFill>
        </w:rPr>
      </w:pPr>
    </w:p>
    <w:p w14:paraId="0C12A70A">
      <w:pPr>
        <w:jc w:val="center"/>
        <w:rPr>
          <w:color w:val="000000" w:themeColor="text1"/>
          <w:sz w:val="48"/>
          <w:szCs w:val="48"/>
          <w:highlight w:val="none"/>
          <w14:textFill>
            <w14:solidFill>
              <w14:schemeClr w14:val="tx1"/>
            </w14:solidFill>
          </w14:textFill>
        </w:rPr>
      </w:pPr>
      <w:r>
        <w:rPr>
          <w:color w:val="000000" w:themeColor="text1"/>
          <w:highlight w:val="none"/>
          <w14:textFill>
            <w14:solidFill>
              <w14:schemeClr w14:val="tx1"/>
            </w14:solidFill>
          </w14:textFill>
        </w:rPr>
        <w:br w:type="page"/>
      </w:r>
    </w:p>
    <w:p w14:paraId="355B9D2A">
      <w:pPr>
        <w:outlineLvl w:val="0"/>
        <w:rPr>
          <w:b/>
          <w:bCs/>
          <w:color w:val="000000" w:themeColor="text1"/>
          <w:sz w:val="32"/>
          <w:szCs w:val="32"/>
          <w:highlight w:val="none"/>
          <w14:textFill>
            <w14:solidFill>
              <w14:schemeClr w14:val="tx1"/>
            </w14:solidFill>
          </w14:textFill>
        </w:rPr>
      </w:pPr>
      <w:bookmarkStart w:id="253" w:name="_Toc8699"/>
      <w:r>
        <w:rPr>
          <w:rFonts w:hint="eastAsia" w:cs="宋体"/>
          <w:b/>
          <w:bCs/>
          <w:color w:val="000000" w:themeColor="text1"/>
          <w:sz w:val="32"/>
          <w:szCs w:val="32"/>
          <w:highlight w:val="none"/>
          <w14:textFill>
            <w14:solidFill>
              <w14:schemeClr w14:val="tx1"/>
            </w14:solidFill>
          </w14:textFill>
        </w:rPr>
        <w:t>第一个信封封面格式</w:t>
      </w:r>
      <w:bookmarkEnd w:id="253"/>
    </w:p>
    <w:p w14:paraId="5349185B">
      <w:pPr>
        <w:rPr>
          <w:b/>
          <w:bCs/>
          <w:color w:val="000000" w:themeColor="text1"/>
          <w:sz w:val="32"/>
          <w:szCs w:val="32"/>
          <w:highlight w:val="none"/>
          <w14:textFill>
            <w14:solidFill>
              <w14:schemeClr w14:val="tx1"/>
            </w14:solidFill>
          </w14:textFill>
        </w:rPr>
      </w:pPr>
    </w:p>
    <w:p w14:paraId="1DEF4EDD">
      <w:pPr>
        <w:jc w:val="center"/>
        <w:rPr>
          <w:b/>
          <w:bCs/>
          <w:color w:val="000000" w:themeColor="text1"/>
          <w:sz w:val="48"/>
          <w:szCs w:val="48"/>
          <w:highlight w:val="none"/>
          <w14:textFill>
            <w14:solidFill>
              <w14:schemeClr w14:val="tx1"/>
            </w14:solidFill>
          </w14:textFill>
        </w:rPr>
      </w:pPr>
      <w:r>
        <w:rPr>
          <w:rFonts w:hint="eastAsia"/>
          <w:b/>
          <w:bCs/>
          <w:color w:val="000000" w:themeColor="text1"/>
          <w:sz w:val="48"/>
          <w:szCs w:val="48"/>
          <w:highlight w:val="none"/>
          <w14:textFill>
            <w14:solidFill>
              <w14:schemeClr w14:val="tx1"/>
            </w14:solidFill>
          </w14:textFill>
        </w:rPr>
        <w:t>彩钢瓦屋顶修缮工程</w:t>
      </w:r>
    </w:p>
    <w:p w14:paraId="73472CB2">
      <w:pPr>
        <w:jc w:val="center"/>
        <w:rPr>
          <w:color w:val="000000" w:themeColor="text1"/>
          <w:spacing w:val="50"/>
          <w:sz w:val="48"/>
          <w:szCs w:val="48"/>
          <w:highlight w:val="none"/>
          <w14:textFill>
            <w14:solidFill>
              <w14:schemeClr w14:val="tx1"/>
            </w14:solidFill>
          </w14:textFill>
        </w:rPr>
      </w:pPr>
    </w:p>
    <w:p w14:paraId="4A9F92A9">
      <w:pPr>
        <w:jc w:val="center"/>
        <w:rPr>
          <w:color w:val="000000" w:themeColor="text1"/>
          <w:spacing w:val="50"/>
          <w:sz w:val="48"/>
          <w:szCs w:val="48"/>
          <w:highlight w:val="none"/>
          <w14:textFill>
            <w14:solidFill>
              <w14:schemeClr w14:val="tx1"/>
            </w14:solidFill>
          </w14:textFill>
        </w:rPr>
      </w:pPr>
    </w:p>
    <w:p w14:paraId="44C2362D">
      <w:pPr>
        <w:jc w:val="center"/>
        <w:rPr>
          <w:color w:val="000000" w:themeColor="text1"/>
          <w:spacing w:val="50"/>
          <w:sz w:val="48"/>
          <w:szCs w:val="48"/>
          <w:highlight w:val="none"/>
          <w14:textFill>
            <w14:solidFill>
              <w14:schemeClr w14:val="tx1"/>
            </w14:solidFill>
          </w14:textFill>
        </w:rPr>
      </w:pPr>
    </w:p>
    <w:p w14:paraId="4690E169">
      <w:pPr>
        <w:jc w:val="center"/>
        <w:rPr>
          <w:color w:val="000000" w:themeColor="text1"/>
          <w:spacing w:val="100"/>
          <w:sz w:val="48"/>
          <w:szCs w:val="48"/>
          <w:highlight w:val="none"/>
          <w14:textFill>
            <w14:solidFill>
              <w14:schemeClr w14:val="tx1"/>
            </w14:solidFill>
          </w14:textFill>
        </w:rPr>
      </w:pPr>
    </w:p>
    <w:p w14:paraId="2923F77B">
      <w:pPr>
        <w:jc w:val="center"/>
        <w:rPr>
          <w:color w:val="000000" w:themeColor="text1"/>
          <w:spacing w:val="100"/>
          <w:sz w:val="48"/>
          <w:szCs w:val="48"/>
          <w:highlight w:val="none"/>
          <w14:textFill>
            <w14:solidFill>
              <w14:schemeClr w14:val="tx1"/>
            </w14:solidFill>
          </w14:textFill>
        </w:rPr>
      </w:pPr>
    </w:p>
    <w:p w14:paraId="70917D31">
      <w:pPr>
        <w:jc w:val="center"/>
        <w:rPr>
          <w:color w:val="000000" w:themeColor="text1"/>
          <w:spacing w:val="60"/>
          <w:sz w:val="84"/>
          <w:szCs w:val="84"/>
          <w:highlight w:val="none"/>
          <w14:textFill>
            <w14:solidFill>
              <w14:schemeClr w14:val="tx1"/>
            </w14:solidFill>
          </w14:textFill>
        </w:rPr>
      </w:pPr>
      <w:r>
        <w:rPr>
          <w:rFonts w:hint="eastAsia" w:cs="黑体"/>
          <w:color w:val="000000" w:themeColor="text1"/>
          <w:spacing w:val="60"/>
          <w:sz w:val="84"/>
          <w:szCs w:val="84"/>
          <w:highlight w:val="none"/>
          <w14:textFill>
            <w14:solidFill>
              <w14:schemeClr w14:val="tx1"/>
            </w14:solidFill>
          </w14:textFill>
        </w:rPr>
        <w:t>投标文件</w:t>
      </w:r>
    </w:p>
    <w:p w14:paraId="157627B7">
      <w:pPr>
        <w:jc w:val="center"/>
        <w:rPr>
          <w:color w:val="000000" w:themeColor="text1"/>
          <w:spacing w:val="60"/>
          <w:sz w:val="44"/>
          <w:szCs w:val="44"/>
          <w:highlight w:val="none"/>
          <w14:textFill>
            <w14:solidFill>
              <w14:schemeClr w14:val="tx1"/>
            </w14:solidFill>
          </w14:textFill>
        </w:rPr>
      </w:pPr>
      <w:bookmarkStart w:id="254" w:name="_Toc428810609"/>
      <w:r>
        <w:rPr>
          <w:rFonts w:hint="eastAsia" w:cs="黑体"/>
          <w:snapToGrid w:val="0"/>
          <w:color w:val="000000" w:themeColor="text1"/>
          <w:kern w:val="0"/>
          <w:sz w:val="44"/>
          <w:szCs w:val="44"/>
          <w:highlight w:val="none"/>
          <w14:textFill>
            <w14:solidFill>
              <w14:schemeClr w14:val="tx1"/>
            </w14:solidFill>
          </w14:textFill>
        </w:rPr>
        <w:t>（资格审查文件</w:t>
      </w:r>
      <w:bookmarkEnd w:id="254"/>
      <w:r>
        <w:rPr>
          <w:rFonts w:hint="eastAsia" w:cs="黑体"/>
          <w:snapToGrid w:val="0"/>
          <w:color w:val="000000" w:themeColor="text1"/>
          <w:kern w:val="0"/>
          <w:sz w:val="44"/>
          <w:szCs w:val="44"/>
          <w:highlight w:val="none"/>
          <w14:textFill>
            <w14:solidFill>
              <w14:schemeClr w14:val="tx1"/>
            </w14:solidFill>
          </w14:textFill>
        </w:rPr>
        <w:t>）</w:t>
      </w:r>
    </w:p>
    <w:p w14:paraId="36C172D0">
      <w:pPr>
        <w:jc w:val="center"/>
        <w:rPr>
          <w:b/>
          <w:bCs/>
          <w:color w:val="000000" w:themeColor="text1"/>
          <w:sz w:val="48"/>
          <w:szCs w:val="48"/>
          <w:highlight w:val="none"/>
          <w14:textFill>
            <w14:solidFill>
              <w14:schemeClr w14:val="tx1"/>
            </w14:solidFill>
          </w14:textFill>
        </w:rPr>
      </w:pPr>
    </w:p>
    <w:p w14:paraId="2A7AAB8D">
      <w:pPr>
        <w:jc w:val="center"/>
        <w:rPr>
          <w:color w:val="000000" w:themeColor="text1"/>
          <w:sz w:val="48"/>
          <w:szCs w:val="48"/>
          <w:highlight w:val="none"/>
          <w14:textFill>
            <w14:solidFill>
              <w14:schemeClr w14:val="tx1"/>
            </w14:solidFill>
          </w14:textFill>
        </w:rPr>
      </w:pPr>
    </w:p>
    <w:p w14:paraId="414C3080">
      <w:pPr>
        <w:jc w:val="center"/>
        <w:rPr>
          <w:color w:val="000000" w:themeColor="text1"/>
          <w:sz w:val="48"/>
          <w:szCs w:val="48"/>
          <w:highlight w:val="none"/>
          <w14:textFill>
            <w14:solidFill>
              <w14:schemeClr w14:val="tx1"/>
            </w14:solidFill>
          </w14:textFill>
        </w:rPr>
      </w:pPr>
    </w:p>
    <w:p w14:paraId="09F91355">
      <w:pPr>
        <w:jc w:val="center"/>
        <w:rPr>
          <w:color w:val="000000" w:themeColor="text1"/>
          <w:sz w:val="48"/>
          <w:szCs w:val="48"/>
          <w:highlight w:val="none"/>
          <w14:textFill>
            <w14:solidFill>
              <w14:schemeClr w14:val="tx1"/>
            </w14:solidFill>
          </w14:textFill>
        </w:rPr>
      </w:pPr>
    </w:p>
    <w:p w14:paraId="1521B445">
      <w:pPr>
        <w:jc w:val="center"/>
        <w:rPr>
          <w:color w:val="000000" w:themeColor="text1"/>
          <w:sz w:val="48"/>
          <w:szCs w:val="48"/>
          <w:highlight w:val="none"/>
          <w14:textFill>
            <w14:solidFill>
              <w14:schemeClr w14:val="tx1"/>
            </w14:solidFill>
          </w14:textFill>
        </w:rPr>
      </w:pPr>
    </w:p>
    <w:p w14:paraId="039809C0">
      <w:pPr>
        <w:jc w:val="center"/>
        <w:rPr>
          <w:color w:val="000000" w:themeColor="text1"/>
          <w:sz w:val="48"/>
          <w:szCs w:val="48"/>
          <w:highlight w:val="none"/>
          <w14:textFill>
            <w14:solidFill>
              <w14:schemeClr w14:val="tx1"/>
            </w14:solidFill>
          </w14:textFill>
        </w:rPr>
      </w:pPr>
    </w:p>
    <w:p w14:paraId="19174F79">
      <w:pPr>
        <w:jc w:val="center"/>
        <w:rPr>
          <w:color w:val="000000" w:themeColor="text1"/>
          <w:sz w:val="48"/>
          <w:szCs w:val="48"/>
          <w:highlight w:val="none"/>
          <w14:textFill>
            <w14:solidFill>
              <w14:schemeClr w14:val="tx1"/>
            </w14:solidFill>
          </w14:textFill>
        </w:rPr>
      </w:pPr>
    </w:p>
    <w:p w14:paraId="5081991E">
      <w:pPr>
        <w:jc w:val="center"/>
        <w:rPr>
          <w:color w:val="000000" w:themeColor="text1"/>
          <w:sz w:val="48"/>
          <w:szCs w:val="48"/>
          <w:highlight w:val="none"/>
          <w14:textFill>
            <w14:solidFill>
              <w14:schemeClr w14:val="tx1"/>
            </w14:solidFill>
          </w14:textFill>
        </w:rPr>
      </w:pPr>
    </w:p>
    <w:p w14:paraId="3C4298E1">
      <w:pPr>
        <w:jc w:val="center"/>
        <w:rPr>
          <w:color w:val="000000" w:themeColor="text1"/>
          <w:sz w:val="48"/>
          <w:szCs w:val="48"/>
          <w:highlight w:val="none"/>
          <w14:textFill>
            <w14:solidFill>
              <w14:schemeClr w14:val="tx1"/>
            </w14:solidFill>
          </w14:textFill>
        </w:rPr>
      </w:pPr>
    </w:p>
    <w:p w14:paraId="2FED71F9">
      <w:pPr>
        <w:jc w:val="center"/>
        <w:rPr>
          <w:color w:val="000000" w:themeColor="text1"/>
          <w:sz w:val="36"/>
          <w:szCs w:val="36"/>
          <w:highlight w:val="none"/>
          <w:u w:val="single"/>
          <w14:textFill>
            <w14:solidFill>
              <w14:schemeClr w14:val="tx1"/>
            </w14:solidFill>
          </w14:textFill>
        </w:rPr>
      </w:pPr>
      <w:r>
        <w:rPr>
          <w:rFonts w:hint="eastAsia" w:cs="宋体"/>
          <w:color w:val="000000" w:themeColor="text1"/>
          <w:sz w:val="36"/>
          <w:szCs w:val="36"/>
          <w:highlight w:val="none"/>
          <w14:textFill>
            <w14:solidFill>
              <w14:schemeClr w14:val="tx1"/>
            </w14:solidFill>
          </w14:textFill>
        </w:rPr>
        <w:t>投标人：</w:t>
      </w:r>
      <w:r>
        <w:rPr>
          <w:rFonts w:cs="宋体"/>
          <w:color w:val="000000" w:themeColor="text1"/>
          <w:sz w:val="36"/>
          <w:szCs w:val="36"/>
          <w:highlight w:val="none"/>
          <w:u w:val="single"/>
          <w14:textFill>
            <w14:solidFill>
              <w14:schemeClr w14:val="tx1"/>
            </w14:solidFill>
          </w14:textFill>
        </w:rPr>
        <w:t>(</w:t>
      </w:r>
      <w:r>
        <w:rPr>
          <w:rFonts w:hint="eastAsia" w:cs="宋体"/>
          <w:color w:val="000000" w:themeColor="text1"/>
          <w:sz w:val="36"/>
          <w:szCs w:val="36"/>
          <w:highlight w:val="none"/>
          <w:u w:val="single"/>
          <w14:textFill>
            <w14:solidFill>
              <w14:schemeClr w14:val="tx1"/>
            </w14:solidFill>
          </w14:textFill>
        </w:rPr>
        <w:t>盖单位章</w:t>
      </w:r>
      <w:r>
        <w:rPr>
          <w:rFonts w:cs="宋体"/>
          <w:color w:val="000000" w:themeColor="text1"/>
          <w:sz w:val="36"/>
          <w:szCs w:val="36"/>
          <w:highlight w:val="none"/>
          <w:u w:val="single"/>
          <w14:textFill>
            <w14:solidFill>
              <w14:schemeClr w14:val="tx1"/>
            </w14:solidFill>
          </w14:textFill>
        </w:rPr>
        <w:t xml:space="preserve">)      </w:t>
      </w:r>
    </w:p>
    <w:p w14:paraId="2D58E07A">
      <w:pPr>
        <w:jc w:val="center"/>
        <w:rPr>
          <w:color w:val="000000" w:themeColor="text1"/>
          <w:sz w:val="36"/>
          <w:szCs w:val="36"/>
          <w:highlight w:val="none"/>
          <w14:textFill>
            <w14:solidFill>
              <w14:schemeClr w14:val="tx1"/>
            </w14:solidFill>
          </w14:textFill>
        </w:rPr>
      </w:pPr>
      <w:r>
        <w:rPr>
          <w:rFonts w:hint="eastAsia" w:cs="宋体"/>
          <w:color w:val="000000" w:themeColor="text1"/>
          <w:sz w:val="36"/>
          <w:szCs w:val="36"/>
          <w:highlight w:val="none"/>
          <w14:textFill>
            <w14:solidFill>
              <w14:schemeClr w14:val="tx1"/>
            </w14:solidFill>
          </w14:textFill>
        </w:rPr>
        <w:t>年月日</w:t>
      </w:r>
    </w:p>
    <w:p w14:paraId="1568B3F0">
      <w:pPr>
        <w:spacing w:line="400" w:lineRule="exact"/>
        <w:rPr>
          <w:color w:val="000000" w:themeColor="text1"/>
          <w:highlight w:val="none"/>
          <w14:textFill>
            <w14:solidFill>
              <w14:schemeClr w14:val="tx1"/>
            </w14:solidFill>
          </w14:textFill>
        </w:rPr>
        <w:sectPr>
          <w:headerReference r:id="rId4" w:type="default"/>
          <w:footerReference r:id="rId5" w:type="default"/>
          <w:pgSz w:w="11906" w:h="16838"/>
          <w:pgMar w:top="1389" w:right="1474" w:bottom="1389" w:left="1644" w:header="851" w:footer="992" w:gutter="0"/>
          <w:cols w:space="720" w:num="1"/>
          <w:docGrid w:linePitch="312" w:charSpace="0"/>
        </w:sectPr>
      </w:pPr>
    </w:p>
    <w:p w14:paraId="32B3A9B9">
      <w:pPr>
        <w:spacing w:before="120" w:beforeLines="50" w:after="120" w:afterLines="50"/>
        <w:jc w:val="center"/>
        <w:rPr>
          <w:color w:val="000000" w:themeColor="text1"/>
          <w:sz w:val="44"/>
          <w:szCs w:val="44"/>
          <w:highlight w:val="none"/>
          <w14:textFill>
            <w14:solidFill>
              <w14:schemeClr w14:val="tx1"/>
            </w14:solidFill>
          </w14:textFill>
        </w:rPr>
      </w:pPr>
      <w:r>
        <w:rPr>
          <w:rFonts w:hint="eastAsia" w:cs="黑体"/>
          <w:color w:val="000000" w:themeColor="text1"/>
          <w:sz w:val="44"/>
          <w:szCs w:val="44"/>
          <w:highlight w:val="none"/>
          <w14:textFill>
            <w14:solidFill>
              <w14:schemeClr w14:val="tx1"/>
            </w14:solidFill>
          </w14:textFill>
        </w:rPr>
        <w:t>目录</w:t>
      </w:r>
    </w:p>
    <w:p w14:paraId="1FF6D8ED">
      <w:pPr>
        <w:spacing w:before="120" w:beforeLines="50" w:after="120" w:afterLines="50"/>
        <w:rPr>
          <w:b/>
          <w:bCs/>
          <w:color w:val="000000" w:themeColor="text1"/>
          <w:sz w:val="28"/>
          <w:szCs w:val="28"/>
          <w:highlight w:val="none"/>
          <w14:textFill>
            <w14:solidFill>
              <w14:schemeClr w14:val="tx1"/>
            </w14:solidFill>
          </w14:textFill>
        </w:rPr>
      </w:pPr>
    </w:p>
    <w:p w14:paraId="2B0C6DF3">
      <w:pPr>
        <w:spacing w:before="120" w:beforeLines="50" w:after="120" w:afterLines="50"/>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一、投标函</w:t>
      </w:r>
    </w:p>
    <w:p w14:paraId="2E2FDEC9">
      <w:pPr>
        <w:spacing w:before="120" w:beforeLines="50" w:after="120" w:afterLines="50"/>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二、授权委托书或法定代表人身份证明</w:t>
      </w:r>
    </w:p>
    <w:p w14:paraId="2986897A">
      <w:pPr>
        <w:spacing w:before="120" w:beforeLines="50" w:after="120" w:afterLines="50"/>
        <w:rPr>
          <w:rFonts w:cs="宋体"/>
          <w:color w:val="000000" w:themeColor="text1"/>
          <w:sz w:val="28"/>
          <w:szCs w:val="28"/>
          <w:highlight w:val="none"/>
          <w14:textFill>
            <w14:solidFill>
              <w14:schemeClr w14:val="tx1"/>
            </w14:solidFill>
          </w14:textFill>
        </w:rPr>
      </w:pPr>
      <w:r>
        <w:rPr>
          <w:rFonts w:hint="eastAsia" w:cs="宋体"/>
          <w:color w:val="000000" w:themeColor="text1"/>
          <w:sz w:val="28"/>
          <w:szCs w:val="28"/>
          <w:highlight w:val="none"/>
          <w14:textFill>
            <w14:solidFill>
              <w14:schemeClr w14:val="tx1"/>
            </w14:solidFill>
          </w14:textFill>
        </w:rPr>
        <w:t>三、资格审查资料</w:t>
      </w:r>
    </w:p>
    <w:p w14:paraId="778FD4E5">
      <w:pPr>
        <w:spacing w:before="120" w:beforeLines="50" w:after="120" w:afterLines="50"/>
        <w:rPr>
          <w:color w:val="000000" w:themeColor="text1"/>
          <w:sz w:val="28"/>
          <w:szCs w:val="28"/>
          <w:highlight w:val="none"/>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四</w:t>
      </w:r>
      <w:r>
        <w:rPr>
          <w:rFonts w:hint="eastAsia"/>
          <w:color w:val="000000" w:themeColor="text1"/>
          <w:sz w:val="28"/>
          <w:szCs w:val="28"/>
          <w:highlight w:val="none"/>
          <w14:textFill>
            <w14:solidFill>
              <w14:schemeClr w14:val="tx1"/>
            </w14:solidFill>
          </w14:textFill>
        </w:rPr>
        <w:t>、其他材料</w:t>
      </w:r>
    </w:p>
    <w:p w14:paraId="69F15221">
      <w:pPr>
        <w:spacing w:before="120" w:beforeLines="50" w:after="120" w:afterLines="50"/>
        <w:rPr>
          <w:rFonts w:cs="宋体"/>
          <w:color w:val="000000" w:themeColor="text1"/>
          <w:sz w:val="28"/>
          <w:szCs w:val="28"/>
          <w:highlight w:val="none"/>
          <w14:textFill>
            <w14:solidFill>
              <w14:schemeClr w14:val="tx1"/>
            </w14:solidFill>
          </w14:textFill>
        </w:rPr>
      </w:pPr>
    </w:p>
    <w:p w14:paraId="454852CC">
      <w:pPr>
        <w:spacing w:before="120" w:beforeLines="50" w:after="120" w:afterLines="50"/>
        <w:rPr>
          <w:color w:val="000000" w:themeColor="text1"/>
          <w:sz w:val="28"/>
          <w:szCs w:val="28"/>
          <w:highlight w:val="none"/>
          <w14:textFill>
            <w14:solidFill>
              <w14:schemeClr w14:val="tx1"/>
            </w14:solidFill>
          </w14:textFill>
        </w:rPr>
      </w:pPr>
    </w:p>
    <w:p w14:paraId="26FE9654">
      <w:pPr>
        <w:spacing w:line="360" w:lineRule="auto"/>
        <w:rPr>
          <w:color w:val="000000" w:themeColor="text1"/>
          <w:sz w:val="24"/>
          <w:szCs w:val="24"/>
          <w:highlight w:val="none"/>
          <w14:textFill>
            <w14:solidFill>
              <w14:schemeClr w14:val="tx1"/>
            </w14:solidFill>
          </w14:textFill>
        </w:rPr>
        <w:sectPr>
          <w:pgSz w:w="11906" w:h="16838"/>
          <w:pgMar w:top="1389" w:right="1474" w:bottom="1389" w:left="1644" w:header="851" w:footer="992" w:gutter="0"/>
          <w:cols w:space="720" w:num="1"/>
          <w:docGrid w:linePitch="312" w:charSpace="0"/>
        </w:sectPr>
      </w:pPr>
    </w:p>
    <w:p w14:paraId="780A2A7D">
      <w:pPr>
        <w:spacing w:before="120" w:beforeLines="50" w:after="120" w:afterLines="50"/>
        <w:jc w:val="center"/>
        <w:rPr>
          <w:color w:val="000000" w:themeColor="text1"/>
          <w:sz w:val="44"/>
          <w:szCs w:val="44"/>
          <w:highlight w:val="none"/>
          <w14:textFill>
            <w14:solidFill>
              <w14:schemeClr w14:val="tx1"/>
            </w14:solidFill>
          </w14:textFill>
        </w:rPr>
      </w:pPr>
      <w:r>
        <w:rPr>
          <w:rFonts w:hint="eastAsia" w:cs="黑体"/>
          <w:color w:val="000000" w:themeColor="text1"/>
          <w:sz w:val="44"/>
          <w:szCs w:val="44"/>
          <w:highlight w:val="none"/>
          <w14:textFill>
            <w14:solidFill>
              <w14:schemeClr w14:val="tx1"/>
            </w14:solidFill>
          </w14:textFill>
        </w:rPr>
        <w:t>一、投标函及投标函附录</w:t>
      </w:r>
    </w:p>
    <w:p w14:paraId="3EC7F0C0">
      <w:pPr>
        <w:spacing w:before="120" w:beforeLines="50" w:after="120" w:afterLines="50"/>
        <w:jc w:val="cente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w:t>
      </w:r>
      <w:r>
        <w:rPr>
          <w:rFonts w:hint="eastAsia" w:cs="黑体"/>
          <w:color w:val="000000" w:themeColor="text1"/>
          <w:sz w:val="36"/>
          <w:szCs w:val="36"/>
          <w:highlight w:val="none"/>
          <w14:textFill>
            <w14:solidFill>
              <w14:schemeClr w14:val="tx1"/>
            </w14:solidFill>
          </w14:textFill>
        </w:rPr>
        <w:t>一</w:t>
      </w:r>
      <w:r>
        <w:rPr>
          <w:color w:val="000000" w:themeColor="text1"/>
          <w:sz w:val="36"/>
          <w:szCs w:val="36"/>
          <w:highlight w:val="none"/>
          <w14:textFill>
            <w14:solidFill>
              <w14:schemeClr w14:val="tx1"/>
            </w14:solidFill>
          </w14:textFill>
        </w:rPr>
        <w:t>)</w:t>
      </w:r>
      <w:r>
        <w:rPr>
          <w:rFonts w:hint="eastAsia" w:cs="黑体"/>
          <w:color w:val="000000" w:themeColor="text1"/>
          <w:sz w:val="36"/>
          <w:szCs w:val="36"/>
          <w:highlight w:val="none"/>
          <w14:textFill>
            <w14:solidFill>
              <w14:schemeClr w14:val="tx1"/>
            </w14:solidFill>
          </w14:textFill>
        </w:rPr>
        <w:t>投标函</w:t>
      </w:r>
    </w:p>
    <w:p w14:paraId="22FF5907">
      <w:pPr>
        <w:spacing w:line="360" w:lineRule="auto"/>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南通市交通公共事业发展中心</w:t>
      </w:r>
      <w:r>
        <w:rPr>
          <w:rFonts w:hint="eastAsia" w:cs="宋体"/>
          <w:color w:val="000000" w:themeColor="text1"/>
          <w:sz w:val="24"/>
          <w:szCs w:val="24"/>
          <w:highlight w:val="none"/>
          <w14:textFill>
            <w14:solidFill>
              <w14:schemeClr w14:val="tx1"/>
            </w14:solidFill>
          </w14:textFill>
        </w:rPr>
        <w:t>：</w:t>
      </w:r>
    </w:p>
    <w:p w14:paraId="10FB5FDB">
      <w:pPr>
        <w:wordWrap w:val="0"/>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14:textFill>
            <w14:solidFill>
              <w14:schemeClr w14:val="tx1"/>
            </w14:solidFill>
          </w14:textFill>
        </w:rPr>
        <w:t>、我方已仔细研究</w:t>
      </w:r>
      <w:r>
        <w:rPr>
          <w:rFonts w:hint="eastAsia"/>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招标文件的全部内容，在考察工程现场后，愿意以投标文件第二个信封（报价文件）中的投标总报价，按合同约定实施和完成承包工程，修补工程中的任何缺陷。</w:t>
      </w:r>
    </w:p>
    <w:p w14:paraId="5B2EEDC3">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rFonts w:hint="eastAsia" w:cs="宋体"/>
          <w:color w:val="000000" w:themeColor="text1"/>
          <w:sz w:val="24"/>
          <w:szCs w:val="24"/>
          <w:highlight w:val="none"/>
          <w14:textFill>
            <w14:solidFill>
              <w14:schemeClr w14:val="tx1"/>
            </w14:solidFill>
          </w14:textFill>
        </w:rPr>
        <w:t>、我方承诺在投标有效期内不修改、撤销投标文件。</w:t>
      </w:r>
    </w:p>
    <w:p w14:paraId="7E9FCD26">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r>
        <w:rPr>
          <w:rFonts w:hint="eastAsia" w:cs="宋体"/>
          <w:color w:val="000000" w:themeColor="text1"/>
          <w:sz w:val="24"/>
          <w:szCs w:val="24"/>
          <w:highlight w:val="none"/>
          <w14:textFill>
            <w14:solidFill>
              <w14:schemeClr w14:val="tx1"/>
            </w14:solidFill>
          </w14:textFill>
        </w:rPr>
        <w:t>．工程质量：</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 xml:space="preserve"> ，工期：</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，安全目标：</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w:t>
      </w:r>
    </w:p>
    <w:p w14:paraId="7B94BCD0">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w:t>
      </w:r>
      <w:r>
        <w:rPr>
          <w:rFonts w:hint="eastAsia" w:cs="宋体"/>
          <w:color w:val="000000" w:themeColor="text1"/>
          <w:sz w:val="24"/>
          <w:szCs w:val="24"/>
          <w:highlight w:val="none"/>
          <w14:textFill>
            <w14:solidFill>
              <w14:schemeClr w14:val="tx1"/>
            </w14:solidFill>
          </w14:textFill>
        </w:rPr>
        <w:t>．如我方中标，我方承诺：</w:t>
      </w:r>
    </w:p>
    <w:p w14:paraId="70ABEA3E">
      <w:pPr>
        <w:spacing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1</w:t>
      </w:r>
      <w:r>
        <w:rPr>
          <w:rFonts w:hint="eastAsia" w:cs="宋体"/>
          <w:color w:val="000000" w:themeColor="text1"/>
          <w:sz w:val="24"/>
          <w:szCs w:val="24"/>
          <w:highlight w:val="none"/>
          <w14:textFill>
            <w14:solidFill>
              <w14:schemeClr w14:val="tx1"/>
            </w14:solidFill>
          </w14:textFill>
        </w:rPr>
        <w:t>）在收到中标通知书后，在中标通知书规定的期限内与你方签订合同；</w:t>
      </w:r>
    </w:p>
    <w:p w14:paraId="43E56E6C">
      <w:pPr>
        <w:spacing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2</w:t>
      </w:r>
      <w:r>
        <w:rPr>
          <w:rFonts w:hint="eastAsia" w:cs="宋体"/>
          <w:color w:val="000000" w:themeColor="text1"/>
          <w:sz w:val="24"/>
          <w:szCs w:val="24"/>
          <w:highlight w:val="none"/>
          <w14:textFill>
            <w14:solidFill>
              <w14:schemeClr w14:val="tx1"/>
            </w14:solidFill>
          </w14:textFill>
        </w:rPr>
        <w:t>）在签订合同时不向你方提出附加条件；</w:t>
      </w:r>
    </w:p>
    <w:p w14:paraId="119419DA">
      <w:pPr>
        <w:spacing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3</w:t>
      </w:r>
      <w:r>
        <w:rPr>
          <w:rFonts w:hint="eastAsia" w:cs="宋体"/>
          <w:color w:val="000000" w:themeColor="text1"/>
          <w:sz w:val="24"/>
          <w:szCs w:val="24"/>
          <w:highlight w:val="none"/>
          <w14:textFill>
            <w14:solidFill>
              <w14:schemeClr w14:val="tx1"/>
            </w14:solidFill>
          </w14:textFill>
        </w:rPr>
        <w:t>）按照招标文件要求提交履约保证金；</w:t>
      </w:r>
    </w:p>
    <w:p w14:paraId="73008065">
      <w:pPr>
        <w:spacing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4</w:t>
      </w:r>
      <w:r>
        <w:rPr>
          <w:rFonts w:hint="eastAsia" w:cs="宋体"/>
          <w:color w:val="000000" w:themeColor="text1"/>
          <w:sz w:val="24"/>
          <w:szCs w:val="24"/>
          <w:highlight w:val="none"/>
          <w14:textFill>
            <w14:solidFill>
              <w14:schemeClr w14:val="tx1"/>
            </w14:solidFill>
          </w14:textFill>
        </w:rPr>
        <w:t>）在合同约定的期限内完成合同规定的全部义务；</w:t>
      </w:r>
    </w:p>
    <w:p w14:paraId="1E58CFE7">
      <w:pPr>
        <w:spacing w:line="360" w:lineRule="auto"/>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5</w:t>
      </w:r>
      <w:r>
        <w:rPr>
          <w:rFonts w:hint="eastAsia" w:cs="宋体"/>
          <w:color w:val="000000" w:themeColor="text1"/>
          <w:sz w:val="24"/>
          <w:szCs w:val="24"/>
          <w:highlight w:val="none"/>
          <w14:textFill>
            <w14:solidFill>
              <w14:schemeClr w14:val="tx1"/>
            </w14:solidFill>
          </w14:textFill>
        </w:rPr>
        <w:t>）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p>
    <w:p w14:paraId="7253E4B9">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w:t>
      </w:r>
      <w:r>
        <w:rPr>
          <w:rFonts w:hint="eastAsia" w:cs="宋体"/>
          <w:color w:val="000000" w:themeColor="text1"/>
          <w:sz w:val="24"/>
          <w:szCs w:val="24"/>
          <w:highlight w:val="none"/>
          <w14:textFill>
            <w14:solidFill>
              <w14:schemeClr w14:val="tx1"/>
            </w14:solidFill>
          </w14:textFill>
        </w:rPr>
        <w:t>．我方在此声明，所递交的投标文件及有关资料内容完整、真实和准确，且不存在招标文件第二章“投标人须知”第</w:t>
      </w:r>
      <w:r>
        <w:rPr>
          <w:color w:val="000000" w:themeColor="text1"/>
          <w:sz w:val="24"/>
          <w:szCs w:val="24"/>
          <w:highlight w:val="none"/>
          <w14:textFill>
            <w14:solidFill>
              <w14:schemeClr w14:val="tx1"/>
            </w14:solidFill>
          </w14:textFill>
        </w:rPr>
        <w:t xml:space="preserve"> 1.4.3 </w:t>
      </w:r>
      <w:r>
        <w:rPr>
          <w:rFonts w:hint="eastAsia" w:cs="宋体"/>
          <w:color w:val="000000" w:themeColor="text1"/>
          <w:sz w:val="24"/>
          <w:szCs w:val="24"/>
          <w:highlight w:val="none"/>
          <w14:textFill>
            <w14:solidFill>
              <w14:schemeClr w14:val="tx1"/>
            </w14:solidFill>
          </w14:textFill>
        </w:rPr>
        <w:t>项和第</w:t>
      </w:r>
      <w:r>
        <w:rPr>
          <w:color w:val="000000" w:themeColor="text1"/>
          <w:sz w:val="24"/>
          <w:szCs w:val="24"/>
          <w:highlight w:val="none"/>
          <w14:textFill>
            <w14:solidFill>
              <w14:schemeClr w14:val="tx1"/>
            </w14:solidFill>
          </w14:textFill>
        </w:rPr>
        <w:t xml:space="preserve"> 1.4.4 </w:t>
      </w:r>
      <w:r>
        <w:rPr>
          <w:rFonts w:hint="eastAsia" w:cs="宋体"/>
          <w:color w:val="000000" w:themeColor="text1"/>
          <w:sz w:val="24"/>
          <w:szCs w:val="24"/>
          <w:highlight w:val="none"/>
          <w14:textFill>
            <w14:solidFill>
              <w14:schemeClr w14:val="tx1"/>
            </w14:solidFill>
          </w14:textFill>
        </w:rPr>
        <w:t>项规定的任何一种情形。</w:t>
      </w:r>
    </w:p>
    <w:p w14:paraId="4CA5FD18">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6</w:t>
      </w:r>
      <w:r>
        <w:rPr>
          <w:rFonts w:hint="eastAsia" w:cs="宋体"/>
          <w:color w:val="000000" w:themeColor="text1"/>
          <w:sz w:val="24"/>
          <w:szCs w:val="24"/>
          <w:highlight w:val="none"/>
          <w14:textFill>
            <w14:solidFill>
              <w14:schemeClr w14:val="tx1"/>
            </w14:solidFill>
          </w14:textFill>
        </w:rPr>
        <w:t>．在合同协议书正式签署生效之前，本投标函连同你方的中标通知书将构成我们双方之间共同遵守的文件，对双方具有约束力。</w:t>
      </w:r>
    </w:p>
    <w:p w14:paraId="3A4727C2">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7</w:t>
      </w:r>
      <w:r>
        <w:rPr>
          <w:rFonts w:hint="eastAsia" w:cs="宋体"/>
          <w:color w:val="000000" w:themeColor="text1"/>
          <w:sz w:val="24"/>
          <w:szCs w:val="24"/>
          <w:highlight w:val="none"/>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（其他补充说明）。</w:t>
      </w:r>
    </w:p>
    <w:p w14:paraId="6DE4B507">
      <w:pPr>
        <w:wordWrap w:val="0"/>
        <w:spacing w:line="360" w:lineRule="auto"/>
        <w:jc w:val="right"/>
        <w:rPr>
          <w:rFonts w:cs="宋体"/>
          <w:color w:val="000000" w:themeColor="text1"/>
          <w:sz w:val="24"/>
          <w:szCs w:val="24"/>
          <w:highlight w:val="none"/>
          <w14:textFill>
            <w14:solidFill>
              <w14:schemeClr w14:val="tx1"/>
            </w14:solidFill>
          </w14:textFill>
        </w:rPr>
      </w:pPr>
    </w:p>
    <w:p w14:paraId="7C5C6DF9">
      <w:pPr>
        <w:wordWrap w:val="0"/>
        <w:spacing w:line="360" w:lineRule="auto"/>
        <w:jc w:val="right"/>
        <w:rPr>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投标人：</w:t>
      </w:r>
      <w:r>
        <w:rPr>
          <w:rFonts w:hint="eastAsia" w:cs="宋体"/>
          <w:color w:val="000000" w:themeColor="text1"/>
          <w:sz w:val="24"/>
          <w:szCs w:val="24"/>
          <w:highlight w:val="none"/>
          <w:u w:val="single"/>
          <w14:textFill>
            <w14:solidFill>
              <w14:schemeClr w14:val="tx1"/>
            </w14:solidFill>
          </w14:textFill>
        </w:rPr>
        <w:t xml:space="preserve">      </w:t>
      </w:r>
      <w:r>
        <w:rPr>
          <w:rFonts w:hint="eastAsia" w:cs="黑体"/>
          <w:color w:val="000000" w:themeColor="text1"/>
          <w:sz w:val="24"/>
          <w:szCs w:val="24"/>
          <w:highlight w:val="none"/>
          <w:u w:val="single"/>
          <w14:textFill>
            <w14:solidFill>
              <w14:schemeClr w14:val="tx1"/>
            </w14:solidFill>
          </w14:textFill>
        </w:rPr>
        <w:t xml:space="preserve">     </w:t>
      </w:r>
      <w:r>
        <w:rPr>
          <w:rFonts w:cs="黑体"/>
          <w:color w:val="000000" w:themeColor="text1"/>
          <w:sz w:val="24"/>
          <w:szCs w:val="24"/>
          <w:highlight w:val="none"/>
          <w:u w:val="single"/>
          <w14:textFill>
            <w14:solidFill>
              <w14:schemeClr w14:val="tx1"/>
            </w14:solidFill>
          </w14:textFill>
        </w:rPr>
        <w:t>(</w:t>
      </w:r>
      <w:r>
        <w:rPr>
          <w:rFonts w:hint="eastAsia" w:cs="黑体"/>
          <w:color w:val="000000" w:themeColor="text1"/>
          <w:sz w:val="24"/>
          <w:szCs w:val="24"/>
          <w:highlight w:val="none"/>
          <w:u w:val="single"/>
          <w14:textFill>
            <w14:solidFill>
              <w14:schemeClr w14:val="tx1"/>
            </w14:solidFill>
          </w14:textFill>
        </w:rPr>
        <w:t>盖单位章</w:t>
      </w:r>
      <w:r>
        <w:rPr>
          <w:rFonts w:cs="黑体"/>
          <w:color w:val="000000" w:themeColor="text1"/>
          <w:sz w:val="24"/>
          <w:szCs w:val="24"/>
          <w:highlight w:val="none"/>
          <w:u w:val="single"/>
          <w14:textFill>
            <w14:solidFill>
              <w14:schemeClr w14:val="tx1"/>
            </w14:solidFill>
          </w14:textFill>
        </w:rPr>
        <w:t>)</w:t>
      </w:r>
      <w:r>
        <w:rPr>
          <w:rFonts w:hint="eastAsia" w:cs="黑体"/>
          <w:color w:val="000000" w:themeColor="text1"/>
          <w:sz w:val="24"/>
          <w:szCs w:val="24"/>
          <w:highlight w:val="none"/>
          <w14:textFill>
            <w14:solidFill>
              <w14:schemeClr w14:val="tx1"/>
            </w14:solidFill>
          </w14:textFill>
        </w:rPr>
        <w:t xml:space="preserve">               </w:t>
      </w:r>
    </w:p>
    <w:p w14:paraId="0EDF0B11">
      <w:pPr>
        <w:wordWrap w:val="0"/>
        <w:spacing w:line="360" w:lineRule="auto"/>
        <w:jc w:val="right"/>
        <w:rPr>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法定代表人或委托代理人：</w:t>
      </w:r>
      <w:r>
        <w:rPr>
          <w:rFonts w:hint="eastAsia" w:cs="宋体"/>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cs="黑体"/>
          <w:color w:val="000000" w:themeColor="text1"/>
          <w:sz w:val="24"/>
          <w:szCs w:val="24"/>
          <w:highlight w:val="none"/>
          <w:u w:val="single"/>
          <w14:textFill>
            <w14:solidFill>
              <w14:schemeClr w14:val="tx1"/>
            </w14:solidFill>
          </w14:textFill>
        </w:rPr>
        <w:t>(</w:t>
      </w:r>
      <w:r>
        <w:rPr>
          <w:rFonts w:hint="eastAsia" w:cs="黑体"/>
          <w:color w:val="000000" w:themeColor="text1"/>
          <w:sz w:val="24"/>
          <w:szCs w:val="24"/>
          <w:highlight w:val="none"/>
          <w:u w:val="single"/>
          <w14:textFill>
            <w14:solidFill>
              <w14:schemeClr w14:val="tx1"/>
            </w14:solidFill>
          </w14:textFill>
        </w:rPr>
        <w:t>亲笔签名</w:t>
      </w:r>
      <w:r>
        <w:rPr>
          <w:rFonts w:cs="黑体"/>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14:textFill>
            <w14:solidFill>
              <w14:schemeClr w14:val="tx1"/>
            </w14:solidFill>
          </w14:textFill>
        </w:rPr>
        <w:t xml:space="preserve">    </w:t>
      </w:r>
    </w:p>
    <w:p w14:paraId="3634D258">
      <w:pPr>
        <w:wordWrap w:val="0"/>
        <w:spacing w:line="360" w:lineRule="auto"/>
        <w:jc w:val="right"/>
        <w:rPr>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地址：</w:t>
      </w:r>
      <w:r>
        <w:rPr>
          <w:rFonts w:hint="eastAsia" w:cs="宋体"/>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0BACF174">
      <w:pPr>
        <w:wordWrap w:val="0"/>
        <w:spacing w:line="360" w:lineRule="auto"/>
        <w:jc w:val="right"/>
        <w:rPr>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电话：</w:t>
      </w:r>
      <w:r>
        <w:rPr>
          <w:rFonts w:hint="eastAsia" w:cs="宋体"/>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67D6DB21">
      <w:pPr>
        <w:wordWrap w:val="0"/>
        <w:spacing w:line="360" w:lineRule="auto"/>
        <w:jc w:val="right"/>
        <w:rPr>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传真：</w:t>
      </w:r>
      <w:r>
        <w:rPr>
          <w:rFonts w:hint="eastAsia" w:cs="宋体"/>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6FBB5391">
      <w:pPr>
        <w:wordWrap w:val="0"/>
        <w:spacing w:line="360" w:lineRule="auto"/>
        <w:jc w:val="right"/>
        <w:rPr>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邮编：</w:t>
      </w:r>
      <w:r>
        <w:rPr>
          <w:color w:val="000000" w:themeColor="text1"/>
          <w:sz w:val="24"/>
          <w:szCs w:val="24"/>
          <w:highlight w:val="none"/>
          <w14:textFill>
            <w14:solidFill>
              <w14:schemeClr w14:val="tx1"/>
            </w14:solidFill>
          </w14:textFill>
        </w:rPr>
        <w:t>___</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p>
    <w:p w14:paraId="3F30B8EE">
      <w:pPr>
        <w:tabs>
          <w:tab w:val="left" w:pos="9128"/>
        </w:tabs>
        <w:wordWrap w:val="0"/>
        <w:spacing w:line="360" w:lineRule="auto"/>
        <w:ind w:right="-52"/>
        <w:jc w:val="right"/>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 xml:space="preserve">   </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年</w:t>
      </w:r>
      <w:r>
        <w:rPr>
          <w:color w:val="000000" w:themeColor="text1"/>
          <w:sz w:val="24"/>
          <w:szCs w:val="24"/>
          <w:highlight w:val="none"/>
          <w14:textFill>
            <w14:solidFill>
              <w14:schemeClr w14:val="tx1"/>
            </w14:solidFill>
          </w14:textFill>
        </w:rPr>
        <w:t>___</w:t>
      </w:r>
      <w:r>
        <w:rPr>
          <w:rFonts w:hint="eastAsia" w:cs="宋体"/>
          <w:color w:val="000000" w:themeColor="text1"/>
          <w:sz w:val="24"/>
          <w:szCs w:val="24"/>
          <w:highlight w:val="none"/>
          <w14:textFill>
            <w14:solidFill>
              <w14:schemeClr w14:val="tx1"/>
            </w14:solidFill>
          </w14:textFill>
        </w:rPr>
        <w:t>月</w:t>
      </w:r>
      <w:r>
        <w:rPr>
          <w:color w:val="000000" w:themeColor="text1"/>
          <w:sz w:val="24"/>
          <w:szCs w:val="24"/>
          <w:highlight w:val="none"/>
          <w14:textFill>
            <w14:solidFill>
              <w14:schemeClr w14:val="tx1"/>
            </w14:solidFill>
          </w14:textFill>
        </w:rPr>
        <w:t>___</w:t>
      </w:r>
      <w:r>
        <w:rPr>
          <w:rFonts w:hint="eastAsia" w:cs="宋体"/>
          <w:color w:val="000000" w:themeColor="text1"/>
          <w:sz w:val="24"/>
          <w:szCs w:val="24"/>
          <w:highlight w:val="none"/>
          <w14:textFill>
            <w14:solidFill>
              <w14:schemeClr w14:val="tx1"/>
            </w14:solidFill>
          </w14:textFill>
        </w:rPr>
        <w:t xml:space="preserve">日             </w:t>
      </w:r>
    </w:p>
    <w:p w14:paraId="05134597">
      <w:pPr>
        <w:wordWrap w:val="0"/>
        <w:spacing w:line="360" w:lineRule="auto"/>
        <w:jc w:val="right"/>
        <w:rPr>
          <w:color w:val="000000" w:themeColor="text1"/>
          <w:sz w:val="24"/>
          <w:szCs w:val="24"/>
          <w:highlight w:val="none"/>
          <w14:textFill>
            <w14:solidFill>
              <w14:schemeClr w14:val="tx1"/>
            </w14:solidFill>
          </w14:textFill>
        </w:rPr>
        <w:sectPr>
          <w:pgSz w:w="11906" w:h="16838"/>
          <w:pgMar w:top="993" w:right="1474" w:bottom="993" w:left="1644" w:header="851" w:footer="613" w:gutter="0"/>
          <w:cols w:space="720" w:num="1"/>
          <w:docGrid w:linePitch="312" w:charSpace="0"/>
        </w:sectPr>
      </w:pPr>
      <w:r>
        <w:rPr>
          <w:rFonts w:hint="eastAsia"/>
          <w:color w:val="000000" w:themeColor="text1"/>
          <w:sz w:val="24"/>
          <w:szCs w:val="24"/>
          <w:highlight w:val="none"/>
          <w14:textFill>
            <w14:solidFill>
              <w14:schemeClr w14:val="tx1"/>
            </w14:solidFill>
          </w14:textFill>
        </w:rPr>
        <w:t xml:space="preserve"> </w:t>
      </w:r>
    </w:p>
    <w:p w14:paraId="0328FA50">
      <w:pPr>
        <w:spacing w:before="120" w:beforeLines="50" w:after="120" w:afterLines="50"/>
        <w:jc w:val="center"/>
        <w:rPr>
          <w:color w:val="000000" w:themeColor="text1"/>
          <w:sz w:val="44"/>
          <w:szCs w:val="44"/>
          <w:highlight w:val="none"/>
          <w14:textFill>
            <w14:solidFill>
              <w14:schemeClr w14:val="tx1"/>
            </w14:solidFill>
          </w14:textFill>
        </w:rPr>
      </w:pPr>
      <w:bookmarkStart w:id="255" w:name="_Toc144974831"/>
      <w:r>
        <w:rPr>
          <w:rFonts w:hint="eastAsia" w:cs="黑体"/>
          <w:color w:val="000000" w:themeColor="text1"/>
          <w:sz w:val="44"/>
          <w:szCs w:val="44"/>
          <w:highlight w:val="none"/>
          <w14:textFill>
            <w14:solidFill>
              <w14:schemeClr w14:val="tx1"/>
            </w14:solidFill>
          </w14:textFill>
        </w:rPr>
        <w:t>二、授权委托书或法定代表人身份证明</w:t>
      </w:r>
    </w:p>
    <w:p w14:paraId="530CBA22">
      <w:pPr>
        <w:topLinePunct/>
        <w:spacing w:before="120" w:beforeLines="50" w:after="120" w:afterLines="50"/>
        <w:jc w:val="center"/>
        <w:rPr>
          <w:color w:val="000000" w:themeColor="text1"/>
          <w:sz w:val="36"/>
          <w:szCs w:val="36"/>
          <w:highlight w:val="none"/>
          <w14:textFill>
            <w14:solidFill>
              <w14:schemeClr w14:val="tx1"/>
            </w14:solidFill>
          </w14:textFill>
        </w:rPr>
      </w:pPr>
      <w:r>
        <w:rPr>
          <w:rFonts w:hint="eastAsia" w:cs="黑体"/>
          <w:color w:val="000000" w:themeColor="text1"/>
          <w:sz w:val="36"/>
          <w:szCs w:val="36"/>
          <w:highlight w:val="none"/>
          <w14:textFill>
            <w14:solidFill>
              <w14:schemeClr w14:val="tx1"/>
            </w14:solidFill>
          </w14:textFill>
        </w:rPr>
        <w:t>（一）授权委托书</w:t>
      </w:r>
    </w:p>
    <w:p w14:paraId="26A412B8">
      <w:pPr>
        <w:topLinePunct/>
        <w:spacing w:before="120" w:beforeLines="50" w:line="400" w:lineRule="exact"/>
        <w:ind w:firstLine="561"/>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本人</w:t>
      </w:r>
      <w:r>
        <w:rPr>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14:textFill>
            <w14:solidFill>
              <w14:schemeClr w14:val="tx1"/>
            </w14:solidFill>
          </w14:textFill>
        </w:rPr>
        <w:t>姓名</w:t>
      </w:r>
      <w:r>
        <w:rPr>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系</w:t>
      </w:r>
      <w:r>
        <w:rPr>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投标人名称</w:t>
      </w:r>
      <w:r>
        <w:rPr>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的法定代表人，现委托</w:t>
      </w:r>
      <w:r>
        <w:rPr>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u w:val="single"/>
          <w14:textFill>
            <w14:solidFill>
              <w14:schemeClr w14:val="tx1"/>
            </w14:solidFill>
          </w14:textFill>
        </w:rPr>
        <w:t>姓名</w:t>
      </w:r>
      <w:r>
        <w:rPr>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14:textFill>
            <w14:solidFill>
              <w14:schemeClr w14:val="tx1"/>
            </w14:solidFill>
          </w14:textFill>
        </w:rPr>
        <w:t>为我方代理人。代理人根据授权，以我方名义签署、澄清、说明、补正、递交、撤回、修改</w:t>
      </w:r>
      <w:r>
        <w:rPr>
          <w:rFonts w:hint="eastAsia" w:cs="宋体"/>
          <w:color w:val="000000" w:themeColor="text1"/>
          <w:sz w:val="24"/>
          <w:szCs w:val="24"/>
          <w:highlight w:val="none"/>
          <w:u w:val="single"/>
          <w14:textFill>
            <w14:solidFill>
              <w14:schemeClr w14:val="tx1"/>
            </w14:solidFill>
          </w14:textFill>
        </w:rPr>
        <w:t xml:space="preserve">   (项目名称) </w:t>
      </w:r>
      <w:r>
        <w:rPr>
          <w:rFonts w:hint="eastAsia"/>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施工投标文件、签订合同和处理有关事宜，其法律后果由我方承担。</w:t>
      </w:r>
    </w:p>
    <w:p w14:paraId="5E96F5E5">
      <w:pPr>
        <w:topLinePunct/>
        <w:spacing w:line="400" w:lineRule="exact"/>
        <w:rPr>
          <w:color w:val="000000" w:themeColor="text1"/>
          <w:sz w:val="24"/>
          <w:szCs w:val="24"/>
          <w:highlight w:val="none"/>
          <w14:textFill>
            <w14:solidFill>
              <w14:schemeClr w14:val="tx1"/>
            </w14:solidFill>
          </w14:textFill>
        </w:rPr>
      </w:pPr>
    </w:p>
    <w:p w14:paraId="5B5DA43B">
      <w:pPr>
        <w:topLinePunct/>
        <w:spacing w:line="400" w:lineRule="exact"/>
        <w:ind w:firstLine="480" w:firstLineChars="200"/>
        <w:rPr>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委托期限：自本委托书签署之日起至投标有效期期满。</w:t>
      </w:r>
    </w:p>
    <w:p w14:paraId="384C92AB">
      <w:pPr>
        <w:topLinePunct/>
        <w:spacing w:line="400" w:lineRule="exact"/>
        <w:rPr>
          <w:color w:val="000000" w:themeColor="text1"/>
          <w:sz w:val="24"/>
          <w:szCs w:val="24"/>
          <w:highlight w:val="none"/>
          <w14:textFill>
            <w14:solidFill>
              <w14:schemeClr w14:val="tx1"/>
            </w14:solidFill>
          </w14:textFill>
        </w:rPr>
      </w:pPr>
    </w:p>
    <w:p w14:paraId="052113C2">
      <w:pPr>
        <w:topLinePunct/>
        <w:spacing w:line="400" w:lineRule="exact"/>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代理人无转委托权。</w:t>
      </w:r>
    </w:p>
    <w:p w14:paraId="39DFAE08">
      <w:pPr>
        <w:topLinePunct/>
        <w:spacing w:line="400" w:lineRule="exact"/>
        <w:rPr>
          <w:color w:val="000000" w:themeColor="text1"/>
          <w:sz w:val="24"/>
          <w:szCs w:val="24"/>
          <w:highlight w:val="none"/>
          <w14:textFill>
            <w14:solidFill>
              <w14:schemeClr w14:val="tx1"/>
            </w14:solidFill>
          </w14:textFill>
        </w:rPr>
      </w:pPr>
    </w:p>
    <w:p w14:paraId="0CE255AB">
      <w:pPr>
        <w:topLinePunct/>
        <w:spacing w:line="400" w:lineRule="exact"/>
        <w:ind w:firstLine="480" w:firstLineChars="200"/>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附：法定代表人身份证复印件及委托代理人身份证复印件。</w:t>
      </w:r>
    </w:p>
    <w:p w14:paraId="32664A6D">
      <w:pPr>
        <w:topLinePunct/>
        <w:ind w:firstLine="480" w:firstLineChars="200"/>
        <w:rPr>
          <w:color w:val="000000" w:themeColor="text1"/>
          <w:sz w:val="24"/>
          <w:szCs w:val="24"/>
          <w:highlight w:val="none"/>
          <w14:textFill>
            <w14:solidFill>
              <w14:schemeClr w14:val="tx1"/>
            </w14:solidFill>
          </w14:textFill>
        </w:rPr>
      </w:pPr>
    </w:p>
    <w:p w14:paraId="53071CA6">
      <w:pPr>
        <w:topLinePunct/>
        <w:rPr>
          <w:color w:val="000000" w:themeColor="text1"/>
          <w:sz w:val="24"/>
          <w:szCs w:val="24"/>
          <w:highlight w:val="none"/>
          <w14:textFill>
            <w14:solidFill>
              <w14:schemeClr w14:val="tx1"/>
            </w14:solidFill>
          </w14:textFill>
        </w:rPr>
      </w:pPr>
    </w:p>
    <w:p w14:paraId="36332002">
      <w:pPr>
        <w:wordWrap w:val="0"/>
        <w:topLinePunct/>
        <w:jc w:val="right"/>
        <w:rPr>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投标人：</w:t>
      </w:r>
      <w:r>
        <w:rPr>
          <w:rFonts w:hint="eastAsia" w:cs="宋体"/>
          <w:color w:val="000000" w:themeColor="text1"/>
          <w:sz w:val="24"/>
          <w:szCs w:val="24"/>
          <w:highlight w:val="none"/>
          <w:u w:val="single"/>
          <w14:textFill>
            <w14:solidFill>
              <w14:schemeClr w14:val="tx1"/>
            </w14:solidFill>
          </w14:textFill>
        </w:rPr>
        <w:t xml:space="preserve">      </w:t>
      </w:r>
      <w:r>
        <w:rPr>
          <w:rFonts w:cs="黑体"/>
          <w:color w:val="000000" w:themeColor="text1"/>
          <w:sz w:val="24"/>
          <w:szCs w:val="24"/>
          <w:highlight w:val="none"/>
          <w:u w:val="single"/>
          <w14:textFill>
            <w14:solidFill>
              <w14:schemeClr w14:val="tx1"/>
            </w14:solidFill>
          </w14:textFill>
        </w:rPr>
        <w:t>(</w:t>
      </w:r>
      <w:r>
        <w:rPr>
          <w:rFonts w:hint="eastAsia" w:cs="黑体"/>
          <w:color w:val="000000" w:themeColor="text1"/>
          <w:sz w:val="24"/>
          <w:szCs w:val="24"/>
          <w:highlight w:val="none"/>
          <w:u w:val="single"/>
          <w14:textFill>
            <w14:solidFill>
              <w14:schemeClr w14:val="tx1"/>
            </w14:solidFill>
          </w14:textFill>
        </w:rPr>
        <w:t>盖单位章</w:t>
      </w:r>
      <w:r>
        <w:rPr>
          <w:rFonts w:cs="黑体"/>
          <w:color w:val="000000" w:themeColor="text1"/>
          <w:sz w:val="24"/>
          <w:szCs w:val="24"/>
          <w:highlight w:val="none"/>
          <w:u w:val="single"/>
          <w14:textFill>
            <w14:solidFill>
              <w14:schemeClr w14:val="tx1"/>
            </w14:solidFill>
          </w14:textFill>
        </w:rPr>
        <w:t>)</w:t>
      </w:r>
      <w:r>
        <w:rPr>
          <w:rFonts w:hint="eastAsia" w:cs="黑体"/>
          <w:color w:val="000000" w:themeColor="text1"/>
          <w:sz w:val="24"/>
          <w:szCs w:val="24"/>
          <w:highlight w:val="none"/>
          <w:u w:val="single"/>
          <w14:textFill>
            <w14:solidFill>
              <w14:schemeClr w14:val="tx1"/>
            </w14:solidFill>
          </w14:textFill>
        </w:rPr>
        <w:t xml:space="preserve">         </w:t>
      </w:r>
    </w:p>
    <w:p w14:paraId="0DD823E0">
      <w:pPr>
        <w:topLinePunct/>
        <w:rPr>
          <w:color w:val="000000" w:themeColor="text1"/>
          <w:sz w:val="24"/>
          <w:szCs w:val="24"/>
          <w:highlight w:val="none"/>
          <w14:textFill>
            <w14:solidFill>
              <w14:schemeClr w14:val="tx1"/>
            </w14:solidFill>
          </w14:textFill>
        </w:rPr>
      </w:pPr>
    </w:p>
    <w:p w14:paraId="530A1A5C">
      <w:pPr>
        <w:wordWrap w:val="0"/>
        <w:topLinePunct/>
        <w:jc w:val="right"/>
        <w:rPr>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法定代表人：</w:t>
      </w:r>
      <w:bookmarkStart w:id="256" w:name="_Hlk164874768"/>
      <w:r>
        <w:rPr>
          <w:rFonts w:hint="eastAsia" w:cs="黑体"/>
          <w:color w:val="000000" w:themeColor="text1"/>
          <w:sz w:val="24"/>
          <w:szCs w:val="24"/>
          <w:highlight w:val="none"/>
          <w:u w:val="single"/>
          <w14:textFill>
            <w14:solidFill>
              <w14:schemeClr w14:val="tx1"/>
            </w14:solidFill>
          </w14:textFill>
        </w:rPr>
        <w:t>（亲笔签名或签名章）</w:t>
      </w:r>
      <w:bookmarkEnd w:id="256"/>
    </w:p>
    <w:p w14:paraId="54DFE219">
      <w:pPr>
        <w:topLinePunct/>
        <w:rPr>
          <w:color w:val="000000" w:themeColor="text1"/>
          <w:sz w:val="24"/>
          <w:szCs w:val="24"/>
          <w:highlight w:val="none"/>
          <w14:textFill>
            <w14:solidFill>
              <w14:schemeClr w14:val="tx1"/>
            </w14:solidFill>
          </w14:textFill>
        </w:rPr>
      </w:pPr>
    </w:p>
    <w:p w14:paraId="74F5707F">
      <w:pPr>
        <w:wordWrap w:val="0"/>
        <w:topLinePunct/>
        <w:ind w:firstLine="3839"/>
        <w:jc w:val="right"/>
        <w:rPr>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身份证号码：</w:t>
      </w:r>
      <w:r>
        <w:rPr>
          <w:rFonts w:hint="eastAsia" w:cs="宋体"/>
          <w:color w:val="000000" w:themeColor="text1"/>
          <w:sz w:val="24"/>
          <w:szCs w:val="24"/>
          <w:highlight w:val="none"/>
          <w:u w:val="single"/>
          <w14:textFill>
            <w14:solidFill>
              <w14:schemeClr w14:val="tx1"/>
            </w14:solidFill>
          </w14:textFill>
        </w:rPr>
        <w:t xml:space="preserve">                    </w:t>
      </w:r>
    </w:p>
    <w:p w14:paraId="42873596">
      <w:pPr>
        <w:topLinePunct/>
        <w:rPr>
          <w:color w:val="000000" w:themeColor="text1"/>
          <w:sz w:val="24"/>
          <w:szCs w:val="24"/>
          <w:highlight w:val="none"/>
          <w14:textFill>
            <w14:solidFill>
              <w14:schemeClr w14:val="tx1"/>
            </w14:solidFill>
          </w14:textFill>
        </w:rPr>
      </w:pPr>
    </w:p>
    <w:p w14:paraId="34F72E5E">
      <w:pPr>
        <w:wordWrap w:val="0"/>
        <w:topLinePunct/>
        <w:ind w:firstLine="3839"/>
        <w:jc w:val="right"/>
        <w:rPr>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委托代理人：</w:t>
      </w:r>
      <w:r>
        <w:rPr>
          <w:rFonts w:hint="eastAsia" w:cs="黑体"/>
          <w:color w:val="000000" w:themeColor="text1"/>
          <w:sz w:val="24"/>
          <w:szCs w:val="24"/>
          <w:highlight w:val="none"/>
          <w:u w:val="single"/>
          <w14:textFill>
            <w14:solidFill>
              <w14:schemeClr w14:val="tx1"/>
            </w14:solidFill>
          </w14:textFill>
        </w:rPr>
        <w:t>（亲笔签名或签名章）</w:t>
      </w:r>
    </w:p>
    <w:p w14:paraId="75189E44">
      <w:pPr>
        <w:topLinePunct/>
        <w:rPr>
          <w:color w:val="000000" w:themeColor="text1"/>
          <w:sz w:val="24"/>
          <w:szCs w:val="24"/>
          <w:highlight w:val="none"/>
          <w14:textFill>
            <w14:solidFill>
              <w14:schemeClr w14:val="tx1"/>
            </w14:solidFill>
          </w14:textFill>
        </w:rPr>
      </w:pPr>
    </w:p>
    <w:p w14:paraId="4855879C">
      <w:pPr>
        <w:wordWrap w:val="0"/>
        <w:topLinePunct/>
        <w:ind w:firstLine="3839"/>
        <w:jc w:val="right"/>
        <w:rPr>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身份证号码：</w:t>
      </w:r>
      <w:r>
        <w:rPr>
          <w:rFonts w:hint="eastAsia" w:cs="宋体"/>
          <w:color w:val="000000" w:themeColor="text1"/>
          <w:sz w:val="24"/>
          <w:szCs w:val="24"/>
          <w:highlight w:val="none"/>
          <w:u w:val="single"/>
          <w14:textFill>
            <w14:solidFill>
              <w14:schemeClr w14:val="tx1"/>
            </w14:solidFill>
          </w14:textFill>
        </w:rPr>
        <w:t xml:space="preserve">                    </w:t>
      </w:r>
    </w:p>
    <w:p w14:paraId="029AFA74">
      <w:pPr>
        <w:topLinePunct/>
        <w:rPr>
          <w:color w:val="000000" w:themeColor="text1"/>
          <w:sz w:val="24"/>
          <w:szCs w:val="24"/>
          <w:highlight w:val="none"/>
          <w14:textFill>
            <w14:solidFill>
              <w14:schemeClr w14:val="tx1"/>
            </w14:solidFill>
          </w14:textFill>
        </w:rPr>
      </w:pPr>
    </w:p>
    <w:p w14:paraId="22EB48DA">
      <w:pPr>
        <w:topLinePunct/>
        <w:spacing w:before="120" w:beforeLines="50" w:after="120" w:afterLines="50"/>
        <w:jc w:val="right"/>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年</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日</w:t>
      </w:r>
    </w:p>
    <w:p w14:paraId="522156B5">
      <w:pPr>
        <w:topLinePunct/>
        <w:spacing w:before="120" w:beforeLines="50" w:after="120" w:afterLines="50"/>
        <w:jc w:val="center"/>
        <w:rPr>
          <w:color w:val="000000" w:themeColor="text1"/>
          <w:sz w:val="36"/>
          <w:szCs w:val="36"/>
          <w:highlight w:val="none"/>
          <w14:textFill>
            <w14:solidFill>
              <w14:schemeClr w14:val="tx1"/>
            </w14:solidFill>
          </w14:textFill>
        </w:rPr>
      </w:pPr>
    </w:p>
    <w:p w14:paraId="75541EA3">
      <w:pPr>
        <w:topLinePunct/>
        <w:spacing w:line="400" w:lineRule="exact"/>
        <w:ind w:firstLine="560" w:firstLineChars="200"/>
        <w:rPr>
          <w:color w:val="000000" w:themeColor="text1"/>
          <w:sz w:val="28"/>
          <w:szCs w:val="28"/>
          <w:highlight w:val="none"/>
          <w14:textFill>
            <w14:solidFill>
              <w14:schemeClr w14:val="tx1"/>
            </w14:solidFill>
          </w14:textFill>
        </w:rPr>
      </w:pPr>
    </w:p>
    <w:p w14:paraId="5E4C651A">
      <w:pPr>
        <w:topLinePunct/>
        <w:spacing w:line="400" w:lineRule="exact"/>
        <w:ind w:firstLine="560" w:firstLineChars="200"/>
        <w:rPr>
          <w:color w:val="000000" w:themeColor="text1"/>
          <w:sz w:val="28"/>
          <w:szCs w:val="28"/>
          <w:highlight w:val="none"/>
          <w14:textFill>
            <w14:solidFill>
              <w14:schemeClr w14:val="tx1"/>
            </w14:solidFill>
          </w14:textFill>
        </w:rPr>
      </w:pPr>
    </w:p>
    <w:p w14:paraId="3C9FBB9B">
      <w:pPr>
        <w:topLinePunct/>
        <w:spacing w:line="400" w:lineRule="exact"/>
        <w:ind w:firstLine="560" w:firstLineChars="200"/>
        <w:rPr>
          <w:color w:val="000000" w:themeColor="text1"/>
          <w:sz w:val="28"/>
          <w:szCs w:val="28"/>
          <w:highlight w:val="none"/>
          <w14:textFill>
            <w14:solidFill>
              <w14:schemeClr w14:val="tx1"/>
            </w14:solidFill>
          </w14:textFill>
        </w:rPr>
      </w:pPr>
    </w:p>
    <w:p w14:paraId="0CDCF2BD">
      <w:pPr>
        <w:topLinePunct/>
        <w:spacing w:line="400" w:lineRule="exact"/>
        <w:ind w:firstLine="560" w:firstLineChars="200"/>
        <w:rPr>
          <w:color w:val="000000" w:themeColor="text1"/>
          <w:sz w:val="28"/>
          <w:szCs w:val="28"/>
          <w:highlight w:val="none"/>
          <w14:textFill>
            <w14:solidFill>
              <w14:schemeClr w14:val="tx1"/>
            </w14:solidFill>
          </w14:textFill>
        </w:rPr>
      </w:pPr>
    </w:p>
    <w:p w14:paraId="3CBD2F65">
      <w:pPr>
        <w:topLinePunct/>
        <w:spacing w:line="400" w:lineRule="exact"/>
        <w:ind w:firstLine="560" w:firstLineChars="200"/>
        <w:rPr>
          <w:color w:val="000000" w:themeColor="text1"/>
          <w:sz w:val="28"/>
          <w:szCs w:val="28"/>
          <w:highlight w:val="none"/>
          <w14:textFill>
            <w14:solidFill>
              <w14:schemeClr w14:val="tx1"/>
            </w14:solidFill>
          </w14:textFill>
        </w:rPr>
      </w:pPr>
    </w:p>
    <w:p w14:paraId="40FA1AF9">
      <w:pPr>
        <w:spacing w:before="120" w:beforeLines="50" w:after="120" w:afterLines="50"/>
        <w:jc w:val="left"/>
        <w:rPr>
          <w:b/>
          <w:bCs/>
          <w:color w:val="000000" w:themeColor="text1"/>
          <w:highlight w:val="none"/>
          <w14:textFill>
            <w14:solidFill>
              <w14:schemeClr w14:val="tx1"/>
            </w14:solidFill>
          </w14:textFill>
        </w:rPr>
      </w:pPr>
      <w:r>
        <w:rPr>
          <w:rFonts w:hint="eastAsia" w:cs="黑体"/>
          <w:b/>
          <w:bCs/>
          <w:color w:val="000000" w:themeColor="text1"/>
          <w:highlight w:val="none"/>
          <w14:textFill>
            <w14:solidFill>
              <w14:schemeClr w14:val="tx1"/>
            </w14:solidFill>
          </w14:textFill>
        </w:rPr>
        <w:t>注：</w:t>
      </w:r>
      <w:r>
        <w:rPr>
          <w:b/>
          <w:bCs/>
          <w:color w:val="000000" w:themeColor="text1"/>
          <w:highlight w:val="none"/>
          <w14:textFill>
            <w14:solidFill>
              <w14:schemeClr w14:val="tx1"/>
            </w14:solidFill>
          </w14:textFill>
        </w:rPr>
        <w:t xml:space="preserve"> 1</w:t>
      </w:r>
      <w:r>
        <w:rPr>
          <w:rFonts w:hint="eastAsia" w:cs="黑体"/>
          <w:b/>
          <w:bCs/>
          <w:color w:val="000000" w:themeColor="text1"/>
          <w:highlight w:val="none"/>
          <w14:textFill>
            <w14:solidFill>
              <w14:schemeClr w14:val="tx1"/>
            </w14:solidFill>
          </w14:textFill>
        </w:rPr>
        <w:t>、法定代表人和委托代理人必须在授权委托书上</w:t>
      </w:r>
      <w:r>
        <w:rPr>
          <w:rFonts w:hint="eastAsia" w:cs="黑体"/>
          <w:b/>
          <w:bCs/>
          <w:color w:val="000000" w:themeColor="text1"/>
          <w:highlight w:val="none"/>
          <w:u w:val="single"/>
          <w14:textFill>
            <w14:solidFill>
              <w14:schemeClr w14:val="tx1"/>
            </w14:solidFill>
          </w14:textFill>
        </w:rPr>
        <w:t>亲笔签名或签名章</w:t>
      </w:r>
      <w:r>
        <w:rPr>
          <w:rFonts w:hint="eastAsia" w:cs="黑体"/>
          <w:b/>
          <w:bCs/>
          <w:color w:val="000000" w:themeColor="text1"/>
          <w:highlight w:val="none"/>
          <w14:textFill>
            <w14:solidFill>
              <w14:schemeClr w14:val="tx1"/>
            </w14:solidFill>
          </w14:textFill>
        </w:rPr>
        <w:t>；</w:t>
      </w:r>
    </w:p>
    <w:p w14:paraId="49FADD09">
      <w:pPr>
        <w:spacing w:before="120" w:beforeLines="50" w:after="120" w:afterLines="50"/>
        <w:ind w:firstLine="422" w:firstLineChars="200"/>
        <w:jc w:val="left"/>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2</w:t>
      </w:r>
      <w:r>
        <w:rPr>
          <w:rFonts w:hint="eastAsia" w:cs="黑体"/>
          <w:b/>
          <w:bCs/>
          <w:color w:val="000000" w:themeColor="text1"/>
          <w:highlight w:val="none"/>
          <w14:textFill>
            <w14:solidFill>
              <w14:schemeClr w14:val="tx1"/>
            </w14:solidFill>
          </w14:textFill>
        </w:rPr>
        <w:t>、如果由投标人的法定代表人签署投标文件，则无须提交授权委托书。</w:t>
      </w:r>
    </w:p>
    <w:p w14:paraId="42E1238A">
      <w:pPr>
        <w:pStyle w:val="22"/>
        <w:topLinePunct/>
        <w:spacing w:line="400" w:lineRule="exact"/>
        <w:ind w:left="560" w:firstLine="0" w:firstLineChars="0"/>
        <w:rPr>
          <w:color w:val="000000" w:themeColor="text1"/>
          <w:sz w:val="28"/>
          <w:szCs w:val="28"/>
          <w:highlight w:val="none"/>
          <w14:textFill>
            <w14:solidFill>
              <w14:schemeClr w14:val="tx1"/>
            </w14:solidFill>
          </w14:textFill>
        </w:rPr>
      </w:pPr>
      <w:r>
        <w:rPr>
          <w:color w:val="000000" w:themeColor="text1"/>
          <w:sz w:val="27"/>
          <w:szCs w:val="27"/>
          <w:highlight w:val="none"/>
          <w14:textFill>
            <w14:solidFill>
              <w14:schemeClr w14:val="tx1"/>
            </w14:solidFill>
          </w14:textFill>
        </w:rPr>
        <w:br w:type="page"/>
      </w:r>
    </w:p>
    <w:p w14:paraId="4FF0EE7F">
      <w:pPr>
        <w:topLinePunct/>
        <w:spacing w:before="120" w:beforeLines="50" w:after="120" w:afterLines="50"/>
        <w:jc w:val="center"/>
        <w:rPr>
          <w:color w:val="000000" w:themeColor="text1"/>
          <w:sz w:val="36"/>
          <w:szCs w:val="36"/>
          <w:highlight w:val="none"/>
          <w14:textFill>
            <w14:solidFill>
              <w14:schemeClr w14:val="tx1"/>
            </w14:solidFill>
          </w14:textFill>
        </w:rPr>
      </w:pPr>
      <w:r>
        <w:rPr>
          <w:color w:val="000000" w:themeColor="text1"/>
          <w:sz w:val="36"/>
          <w:szCs w:val="36"/>
          <w:highlight w:val="none"/>
          <w14:textFill>
            <w14:solidFill>
              <w14:schemeClr w14:val="tx1"/>
            </w14:solidFill>
          </w14:textFill>
        </w:rPr>
        <w:t xml:space="preserve"> (</w:t>
      </w:r>
      <w:r>
        <w:rPr>
          <w:rFonts w:hint="eastAsia" w:cs="黑体"/>
          <w:color w:val="000000" w:themeColor="text1"/>
          <w:sz w:val="36"/>
          <w:szCs w:val="36"/>
          <w:highlight w:val="none"/>
          <w14:textFill>
            <w14:solidFill>
              <w14:schemeClr w14:val="tx1"/>
            </w14:solidFill>
          </w14:textFill>
        </w:rPr>
        <w:t>二</w:t>
      </w:r>
      <w:r>
        <w:rPr>
          <w:color w:val="000000" w:themeColor="text1"/>
          <w:sz w:val="36"/>
          <w:szCs w:val="36"/>
          <w:highlight w:val="none"/>
          <w14:textFill>
            <w14:solidFill>
              <w14:schemeClr w14:val="tx1"/>
            </w14:solidFill>
          </w14:textFill>
        </w:rPr>
        <w:t>)</w:t>
      </w:r>
      <w:r>
        <w:rPr>
          <w:rFonts w:hint="eastAsia" w:cs="黑体"/>
          <w:color w:val="000000" w:themeColor="text1"/>
          <w:sz w:val="36"/>
          <w:szCs w:val="36"/>
          <w:highlight w:val="none"/>
          <w14:textFill>
            <w14:solidFill>
              <w14:schemeClr w14:val="tx1"/>
            </w14:solidFill>
          </w14:textFill>
        </w:rPr>
        <w:t>法定代表人身份证明</w:t>
      </w:r>
    </w:p>
    <w:p w14:paraId="301809AF">
      <w:pPr>
        <w:topLinePunct/>
        <w:rPr>
          <w:color w:val="000000" w:themeColor="text1"/>
          <w:sz w:val="28"/>
          <w:szCs w:val="28"/>
          <w:highlight w:val="none"/>
          <w14:textFill>
            <w14:solidFill>
              <w14:schemeClr w14:val="tx1"/>
            </w14:solidFill>
          </w14:textFill>
        </w:rPr>
      </w:pPr>
    </w:p>
    <w:p w14:paraId="7AF6F881">
      <w:pPr>
        <w:topLinePunct/>
        <w:rPr>
          <w:color w:val="000000" w:themeColor="text1"/>
          <w:sz w:val="28"/>
          <w:szCs w:val="28"/>
          <w:highlight w:val="none"/>
          <w14:textFill>
            <w14:solidFill>
              <w14:schemeClr w14:val="tx1"/>
            </w14:solidFill>
          </w14:textFill>
        </w:rPr>
      </w:pPr>
    </w:p>
    <w:p w14:paraId="0F7AC1D8">
      <w:pPr>
        <w:topLinePunct/>
        <w:rPr>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投标人名称：</w:t>
      </w:r>
    </w:p>
    <w:p w14:paraId="69E91A02">
      <w:pPr>
        <w:topLinePunct/>
        <w:rPr>
          <w:color w:val="000000" w:themeColor="text1"/>
          <w:sz w:val="24"/>
          <w:szCs w:val="24"/>
          <w:highlight w:val="none"/>
          <w14:textFill>
            <w14:solidFill>
              <w14:schemeClr w14:val="tx1"/>
            </w14:solidFill>
          </w14:textFill>
        </w:rPr>
      </w:pPr>
    </w:p>
    <w:p w14:paraId="27FEB76B">
      <w:pPr>
        <w:topLinePunct/>
        <w:rPr>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姓名：          性别：年龄：职务：</w:t>
      </w:r>
    </w:p>
    <w:p w14:paraId="522480DB">
      <w:pPr>
        <w:topLinePunct/>
        <w:rPr>
          <w:color w:val="000000" w:themeColor="text1"/>
          <w:sz w:val="24"/>
          <w:szCs w:val="24"/>
          <w:highlight w:val="none"/>
          <w14:textFill>
            <w14:solidFill>
              <w14:schemeClr w14:val="tx1"/>
            </w14:solidFill>
          </w14:textFill>
        </w:rPr>
      </w:pPr>
    </w:p>
    <w:p w14:paraId="62E1A944">
      <w:pPr>
        <w:topLinePunct/>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系</w:t>
      </w:r>
      <w:r>
        <w:rPr>
          <w:color w:val="000000" w:themeColor="text1"/>
          <w:sz w:val="24"/>
          <w:szCs w:val="24"/>
          <w:highlight w:val="none"/>
          <w:u w:val="single"/>
          <w14:textFill>
            <w14:solidFill>
              <w14:schemeClr w14:val="tx1"/>
            </w14:solidFill>
          </w14:textFill>
        </w:rPr>
        <w:t>(</w:t>
      </w:r>
      <w:r>
        <w:rPr>
          <w:rFonts w:hint="eastAsia" w:cs="宋体"/>
          <w:color w:val="000000" w:themeColor="text1"/>
          <w:sz w:val="24"/>
          <w:szCs w:val="24"/>
          <w:highlight w:val="none"/>
          <w:u w:val="single"/>
          <w14:textFill>
            <w14:solidFill>
              <w14:schemeClr w14:val="tx1"/>
            </w14:solidFill>
          </w14:textFill>
        </w:rPr>
        <w:t>投标人名称</w:t>
      </w:r>
      <w:r>
        <w:rPr>
          <w:color w:val="000000" w:themeColor="text1"/>
          <w:sz w:val="24"/>
          <w:szCs w:val="24"/>
          <w:highlight w:val="none"/>
          <w:u w:val="single"/>
          <w14:textFill>
            <w14:solidFill>
              <w14:schemeClr w14:val="tx1"/>
            </w14:solidFill>
          </w14:textFill>
        </w:rPr>
        <w:t xml:space="preserve">)        </w:t>
      </w:r>
      <w:r>
        <w:rPr>
          <w:rFonts w:hint="eastAsia" w:cs="宋体"/>
          <w:color w:val="000000" w:themeColor="text1"/>
          <w:sz w:val="24"/>
          <w:szCs w:val="24"/>
          <w:highlight w:val="none"/>
          <w14:textFill>
            <w14:solidFill>
              <w14:schemeClr w14:val="tx1"/>
            </w14:solidFill>
          </w14:textFill>
        </w:rPr>
        <w:t>的法定代表人。</w:t>
      </w:r>
    </w:p>
    <w:p w14:paraId="3DF045D7">
      <w:pPr>
        <w:topLinePunct/>
        <w:rPr>
          <w:color w:val="000000" w:themeColor="text1"/>
          <w:sz w:val="24"/>
          <w:szCs w:val="24"/>
          <w:highlight w:val="none"/>
          <w14:textFill>
            <w14:solidFill>
              <w14:schemeClr w14:val="tx1"/>
            </w14:solidFill>
          </w14:textFill>
        </w:rPr>
      </w:pPr>
    </w:p>
    <w:p w14:paraId="193B39E5">
      <w:pPr>
        <w:topLinePunct/>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特此证明。</w:t>
      </w:r>
    </w:p>
    <w:p w14:paraId="611E0BDB">
      <w:pPr>
        <w:topLinePunct/>
        <w:rPr>
          <w:color w:val="000000" w:themeColor="text1"/>
          <w:sz w:val="24"/>
          <w:szCs w:val="24"/>
          <w:highlight w:val="none"/>
          <w14:textFill>
            <w14:solidFill>
              <w14:schemeClr w14:val="tx1"/>
            </w14:solidFill>
          </w14:textFill>
        </w:rPr>
      </w:pPr>
    </w:p>
    <w:p w14:paraId="2AE8C486">
      <w:pPr>
        <w:topLinePunct/>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附：法定代表人身份证复印件。</w:t>
      </w:r>
    </w:p>
    <w:p w14:paraId="3C8AD5A7">
      <w:pPr>
        <w:topLinePunct/>
        <w:rPr>
          <w:color w:val="000000" w:themeColor="text1"/>
          <w:sz w:val="24"/>
          <w:szCs w:val="24"/>
          <w:highlight w:val="none"/>
          <w14:textFill>
            <w14:solidFill>
              <w14:schemeClr w14:val="tx1"/>
            </w14:solidFill>
          </w14:textFill>
        </w:rPr>
      </w:pPr>
    </w:p>
    <w:p w14:paraId="1611BBF3">
      <w:pPr>
        <w:topLinePunct/>
        <w:rPr>
          <w:color w:val="000000" w:themeColor="text1"/>
          <w:sz w:val="24"/>
          <w:szCs w:val="24"/>
          <w:highlight w:val="none"/>
          <w14:textFill>
            <w14:solidFill>
              <w14:schemeClr w14:val="tx1"/>
            </w14:solidFill>
          </w14:textFill>
        </w:rPr>
      </w:pPr>
    </w:p>
    <w:p w14:paraId="5A35BBAF">
      <w:pPr>
        <w:wordWrap w:val="0"/>
        <w:topLinePunct/>
        <w:ind w:right="-52"/>
        <w:jc w:val="right"/>
        <w:rPr>
          <w:color w:val="000000" w:themeColor="text1"/>
          <w:sz w:val="24"/>
          <w:szCs w:val="24"/>
          <w:highlight w:val="none"/>
          <w:u w:val="singl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投标人：</w:t>
      </w:r>
      <w:r>
        <w:rPr>
          <w:color w:val="000000" w:themeColor="text1"/>
          <w:sz w:val="24"/>
          <w:szCs w:val="24"/>
          <w:highlight w:val="none"/>
          <w:u w:val="single"/>
          <w14:textFill>
            <w14:solidFill>
              <w14:schemeClr w14:val="tx1"/>
            </w14:solidFill>
          </w14:textFill>
        </w:rPr>
        <w:t>(</w:t>
      </w:r>
      <w:r>
        <w:rPr>
          <w:rFonts w:hint="eastAsia" w:cs="黑体"/>
          <w:color w:val="000000" w:themeColor="text1"/>
          <w:sz w:val="24"/>
          <w:szCs w:val="24"/>
          <w:highlight w:val="none"/>
          <w:u w:val="single"/>
          <w14:textFill>
            <w14:solidFill>
              <w14:schemeClr w14:val="tx1"/>
            </w14:solidFill>
          </w14:textFill>
        </w:rPr>
        <w:t>盖单位章</w:t>
      </w:r>
      <w:r>
        <w:rPr>
          <w:color w:val="000000" w:themeColor="text1"/>
          <w:sz w:val="24"/>
          <w:szCs w:val="24"/>
          <w:highlight w:val="none"/>
          <w:u w:val="single"/>
          <w14:textFill>
            <w14:solidFill>
              <w14:schemeClr w14:val="tx1"/>
            </w14:solidFill>
          </w14:textFill>
        </w:rPr>
        <w:t xml:space="preserve">)     </w:t>
      </w:r>
    </w:p>
    <w:p w14:paraId="6C073C8C">
      <w:pPr>
        <w:topLinePunct/>
        <w:rPr>
          <w:color w:val="000000" w:themeColor="text1"/>
          <w:sz w:val="24"/>
          <w:szCs w:val="24"/>
          <w:highlight w:val="none"/>
          <w14:textFill>
            <w14:solidFill>
              <w14:schemeClr w14:val="tx1"/>
            </w14:solidFill>
          </w14:textFill>
        </w:rPr>
      </w:pPr>
    </w:p>
    <w:p w14:paraId="77BDE4F5">
      <w:pPr>
        <w:wordWrap w:val="0"/>
        <w:topLinePunct/>
        <w:jc w:val="right"/>
        <w:rPr>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年月日</w:t>
      </w:r>
    </w:p>
    <w:p w14:paraId="6F8CE277">
      <w:pPr>
        <w:topLinePunct/>
        <w:rPr>
          <w:color w:val="000000" w:themeColor="text1"/>
          <w:sz w:val="28"/>
          <w:szCs w:val="28"/>
          <w:highlight w:val="none"/>
          <w14:textFill>
            <w14:solidFill>
              <w14:schemeClr w14:val="tx1"/>
            </w14:solidFill>
          </w14:textFill>
        </w:rPr>
      </w:pPr>
    </w:p>
    <w:p w14:paraId="7860DB6D">
      <w:pPr>
        <w:topLinePunct/>
        <w:rPr>
          <w:color w:val="000000" w:themeColor="text1"/>
          <w:sz w:val="28"/>
          <w:szCs w:val="28"/>
          <w:highlight w:val="none"/>
          <w14:textFill>
            <w14:solidFill>
              <w14:schemeClr w14:val="tx1"/>
            </w14:solidFill>
          </w14:textFill>
        </w:rPr>
      </w:pPr>
    </w:p>
    <w:p w14:paraId="6BF694E1">
      <w:pPr>
        <w:topLinePunct/>
        <w:rPr>
          <w:color w:val="000000" w:themeColor="text1"/>
          <w:sz w:val="28"/>
          <w:szCs w:val="28"/>
          <w:highlight w:val="none"/>
          <w14:textFill>
            <w14:solidFill>
              <w14:schemeClr w14:val="tx1"/>
            </w14:solidFill>
          </w14:textFill>
        </w:rPr>
      </w:pPr>
    </w:p>
    <w:p w14:paraId="5C93B140">
      <w:pPr>
        <w:rPr>
          <w:b/>
          <w:bCs/>
          <w:color w:val="000000" w:themeColor="text1"/>
          <w:highlight w:val="none"/>
          <w14:textFill>
            <w14:solidFill>
              <w14:schemeClr w14:val="tx1"/>
            </w14:solidFill>
          </w14:textFill>
        </w:rPr>
      </w:pPr>
    </w:p>
    <w:p w14:paraId="6201812F">
      <w:pPr>
        <w:spacing w:before="120" w:beforeLines="50" w:after="120" w:afterLines="50"/>
        <w:jc w:val="center"/>
        <w:rPr>
          <w:b/>
          <w:bCs/>
          <w:color w:val="000000" w:themeColor="text1"/>
          <w:highlight w:val="none"/>
          <w14:textFill>
            <w14:solidFill>
              <w14:schemeClr w14:val="tx1"/>
            </w14:solidFill>
          </w14:textFill>
        </w:rPr>
      </w:pPr>
    </w:p>
    <w:p w14:paraId="4B1570CB">
      <w:pPr>
        <w:spacing w:before="120" w:beforeLines="50" w:after="120" w:afterLines="50"/>
        <w:jc w:val="center"/>
        <w:rPr>
          <w:b/>
          <w:bCs/>
          <w:color w:val="000000" w:themeColor="text1"/>
          <w:highlight w:val="none"/>
          <w14:textFill>
            <w14:solidFill>
              <w14:schemeClr w14:val="tx1"/>
            </w14:solidFill>
          </w14:textFill>
        </w:rPr>
      </w:pPr>
    </w:p>
    <w:p w14:paraId="6DC55B68">
      <w:pPr>
        <w:spacing w:before="120" w:beforeLines="50" w:after="120" w:afterLines="50"/>
        <w:jc w:val="center"/>
        <w:rPr>
          <w:b/>
          <w:bCs/>
          <w:color w:val="000000" w:themeColor="text1"/>
          <w:highlight w:val="none"/>
          <w14:textFill>
            <w14:solidFill>
              <w14:schemeClr w14:val="tx1"/>
            </w14:solidFill>
          </w14:textFill>
        </w:rPr>
      </w:pPr>
    </w:p>
    <w:p w14:paraId="2FADAED9">
      <w:pPr>
        <w:spacing w:before="120" w:beforeLines="50" w:after="120" w:afterLines="50"/>
        <w:jc w:val="center"/>
        <w:rPr>
          <w:b/>
          <w:bCs/>
          <w:color w:val="000000" w:themeColor="text1"/>
          <w:highlight w:val="none"/>
          <w14:textFill>
            <w14:solidFill>
              <w14:schemeClr w14:val="tx1"/>
            </w14:solidFill>
          </w14:textFill>
        </w:rPr>
      </w:pPr>
    </w:p>
    <w:p w14:paraId="48FAE40D">
      <w:pPr>
        <w:spacing w:before="120" w:beforeLines="50" w:after="120" w:afterLines="50"/>
        <w:jc w:val="center"/>
        <w:rPr>
          <w:b/>
          <w:bCs/>
          <w:color w:val="000000" w:themeColor="text1"/>
          <w:highlight w:val="none"/>
          <w14:textFill>
            <w14:solidFill>
              <w14:schemeClr w14:val="tx1"/>
            </w14:solidFill>
          </w14:textFill>
        </w:rPr>
      </w:pPr>
    </w:p>
    <w:p w14:paraId="23EAF9A3">
      <w:pPr>
        <w:widowControl/>
        <w:jc w:val="left"/>
        <w:rPr>
          <w:rFonts w:cs="宋体"/>
          <w:b/>
          <w:bCs/>
          <w:color w:val="000000" w:themeColor="text1"/>
          <w:sz w:val="30"/>
          <w:szCs w:val="30"/>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bookmarkEnd w:id="255"/>
    </w:p>
    <w:p w14:paraId="1A5935A1">
      <w:pPr>
        <w:pStyle w:val="2"/>
        <w:jc w:val="center"/>
        <w:rPr>
          <w:rFonts w:cs="宋体"/>
          <w:b/>
          <w:bCs/>
          <w:color w:val="000000" w:themeColor="text1"/>
          <w:sz w:val="30"/>
          <w:szCs w:val="30"/>
          <w:highlight w:val="none"/>
          <w14:textFill>
            <w14:solidFill>
              <w14:schemeClr w14:val="tx1"/>
            </w14:solidFill>
          </w14:textFill>
        </w:rPr>
      </w:pPr>
      <w:r>
        <w:rPr>
          <w:rFonts w:hint="eastAsia" w:cs="宋体"/>
          <w:b/>
          <w:bCs/>
          <w:color w:val="000000" w:themeColor="text1"/>
          <w:sz w:val="30"/>
          <w:szCs w:val="30"/>
          <w:highlight w:val="none"/>
          <w14:textFill>
            <w14:solidFill>
              <w14:schemeClr w14:val="tx1"/>
            </w14:solidFill>
          </w14:textFill>
        </w:rPr>
        <w:t>三、资格审查资料</w:t>
      </w:r>
    </w:p>
    <w:p w14:paraId="2304E9F6">
      <w:pPr>
        <w:ind w:firstLine="559" w:firstLineChars="233"/>
        <w:rPr>
          <w:color w:val="000000" w:themeColor="text1"/>
          <w:sz w:val="24"/>
          <w:szCs w:val="24"/>
          <w:highlight w:val="none"/>
          <w14:textFill>
            <w14:solidFill>
              <w14:schemeClr w14:val="tx1"/>
            </w14:solidFill>
          </w14:textFill>
        </w:rPr>
      </w:pPr>
    </w:p>
    <w:p w14:paraId="096F799B">
      <w:pPr>
        <w:jc w:val="left"/>
        <w:rPr>
          <w:b/>
          <w:color w:val="000000" w:themeColor="text1"/>
          <w:sz w:val="24"/>
          <w:szCs w:val="24"/>
          <w:highlight w:val="none"/>
          <w:u w:val="single"/>
          <w14:textFill>
            <w14:solidFill>
              <w14:schemeClr w14:val="tx1"/>
            </w14:solidFill>
          </w14:textFill>
        </w:rPr>
      </w:pPr>
    </w:p>
    <w:p w14:paraId="7091C460">
      <w:pPr>
        <w:pStyle w:val="2"/>
        <w:jc w:val="center"/>
        <w:rPr>
          <w:color w:val="000000" w:themeColor="text1"/>
          <w:sz w:val="24"/>
          <w:szCs w:val="24"/>
          <w:highlight w:val="none"/>
          <w14:textFill>
            <w14:solidFill>
              <w14:schemeClr w14:val="tx1"/>
            </w14:solidFill>
          </w14:textFill>
        </w:rPr>
      </w:pPr>
      <w:r>
        <w:rPr>
          <w:rFonts w:hint="eastAsia" w:cs="宋体"/>
          <w:b/>
          <w:bCs/>
          <w:color w:val="000000" w:themeColor="text1"/>
          <w:sz w:val="30"/>
          <w:szCs w:val="30"/>
          <w:highlight w:val="none"/>
          <w14:textFill>
            <w14:solidFill>
              <w14:schemeClr w14:val="tx1"/>
            </w14:solidFill>
          </w14:textFill>
        </w:rPr>
        <w:t>表1企业信息基本表</w:t>
      </w:r>
    </w:p>
    <w:tbl>
      <w:tblPr>
        <w:tblStyle w:val="16"/>
        <w:tblW w:w="5000" w:type="pct"/>
        <w:tblInd w:w="0" w:type="dxa"/>
        <w:tblLayout w:type="autofit"/>
        <w:tblCellMar>
          <w:top w:w="0" w:type="dxa"/>
          <w:left w:w="0" w:type="dxa"/>
          <w:bottom w:w="0" w:type="dxa"/>
          <w:right w:w="0" w:type="dxa"/>
        </w:tblCellMar>
      </w:tblPr>
      <w:tblGrid>
        <w:gridCol w:w="1467"/>
        <w:gridCol w:w="1467"/>
        <w:gridCol w:w="1467"/>
        <w:gridCol w:w="1471"/>
        <w:gridCol w:w="1468"/>
        <w:gridCol w:w="1468"/>
      </w:tblGrid>
      <w:tr w14:paraId="20C7DDAF">
        <w:tblPrEx>
          <w:tblCellMar>
            <w:top w:w="0" w:type="dxa"/>
            <w:left w:w="0" w:type="dxa"/>
            <w:bottom w:w="0" w:type="dxa"/>
            <w:right w:w="0" w:type="dxa"/>
          </w:tblCellMar>
        </w:tblPrEx>
        <w:trPr>
          <w:trHeight w:val="260" w:hRule="atLeast"/>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3A5D965B">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申请人全称：</w:t>
            </w:r>
          </w:p>
        </w:tc>
        <w:tc>
          <w:tcPr>
            <w:tcW w:w="4167" w:type="pct"/>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372DAC7A">
            <w:pPr>
              <w:widowControl/>
              <w:jc w:val="left"/>
              <w:rPr>
                <w:rFonts w:ascii="Arial" w:hAnsi="Arial" w:cs="Arial"/>
                <w:color w:val="000000" w:themeColor="text1"/>
                <w:sz w:val="24"/>
                <w:szCs w:val="24"/>
                <w:highlight w:val="none"/>
                <w14:textFill>
                  <w14:solidFill>
                    <w14:schemeClr w14:val="tx1"/>
                  </w14:solidFill>
                </w14:textFill>
              </w:rPr>
            </w:pPr>
          </w:p>
        </w:tc>
      </w:tr>
      <w:tr w14:paraId="1D5DE130">
        <w:tblPrEx>
          <w:tblCellMar>
            <w:top w:w="0" w:type="dxa"/>
            <w:left w:w="0" w:type="dxa"/>
            <w:bottom w:w="0" w:type="dxa"/>
            <w:right w:w="0" w:type="dxa"/>
          </w:tblCellMar>
        </w:tblPrEx>
        <w:trPr>
          <w:trHeight w:val="260" w:hRule="atLeast"/>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721B2A4C">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主要业务：</w:t>
            </w:r>
          </w:p>
        </w:tc>
        <w:tc>
          <w:tcPr>
            <w:tcW w:w="4167" w:type="pct"/>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2096462E">
            <w:pPr>
              <w:widowControl/>
              <w:jc w:val="left"/>
              <w:rPr>
                <w:rFonts w:ascii="Arial" w:hAnsi="Arial" w:cs="Arial"/>
                <w:color w:val="000000" w:themeColor="text1"/>
                <w:sz w:val="24"/>
                <w:szCs w:val="24"/>
                <w:highlight w:val="none"/>
                <w14:textFill>
                  <w14:solidFill>
                    <w14:schemeClr w14:val="tx1"/>
                  </w14:solidFill>
                </w14:textFill>
              </w:rPr>
            </w:pPr>
          </w:p>
        </w:tc>
      </w:tr>
      <w:tr w14:paraId="213B5B6D">
        <w:tblPrEx>
          <w:tblCellMar>
            <w:top w:w="0" w:type="dxa"/>
            <w:left w:w="0" w:type="dxa"/>
            <w:bottom w:w="0" w:type="dxa"/>
            <w:right w:w="0" w:type="dxa"/>
          </w:tblCellMar>
        </w:tblPrEx>
        <w:trPr>
          <w:trHeight w:val="260" w:hRule="atLeast"/>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4DC79E03">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营业范围：</w:t>
            </w:r>
          </w:p>
        </w:tc>
        <w:tc>
          <w:tcPr>
            <w:tcW w:w="4167" w:type="pct"/>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17E5D422">
            <w:pPr>
              <w:widowControl/>
              <w:jc w:val="left"/>
              <w:rPr>
                <w:rFonts w:ascii="Arial" w:hAnsi="Arial" w:cs="Arial"/>
                <w:color w:val="000000" w:themeColor="text1"/>
                <w:sz w:val="24"/>
                <w:szCs w:val="24"/>
                <w:highlight w:val="none"/>
                <w14:textFill>
                  <w14:solidFill>
                    <w14:schemeClr w14:val="tx1"/>
                  </w14:solidFill>
                </w14:textFill>
              </w:rPr>
            </w:pPr>
          </w:p>
        </w:tc>
      </w:tr>
      <w:tr w14:paraId="377F2B97">
        <w:tblPrEx>
          <w:tblCellMar>
            <w:top w:w="0" w:type="dxa"/>
            <w:left w:w="0" w:type="dxa"/>
            <w:bottom w:w="0" w:type="dxa"/>
            <w:right w:w="0" w:type="dxa"/>
          </w:tblCellMar>
        </w:tblPrEx>
        <w:trPr>
          <w:trHeight w:val="260" w:hRule="atLeast"/>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32097A7B">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统一社会信用代码：</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063D4D8B">
            <w:pPr>
              <w:widowControl/>
              <w:jc w:val="left"/>
              <w:rPr>
                <w:rFonts w:ascii="Arial" w:hAnsi="Arial" w:cs="Arial"/>
                <w:color w:val="000000" w:themeColor="text1"/>
                <w:sz w:val="24"/>
                <w:szCs w:val="24"/>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1C47B2BD">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注册资本(元)：</w:t>
            </w:r>
          </w:p>
        </w:tc>
        <w:tc>
          <w:tcPr>
            <w:tcW w:w="83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2AF0E485">
            <w:pPr>
              <w:widowControl/>
              <w:jc w:val="left"/>
              <w:rPr>
                <w:rFonts w:ascii="Arial" w:hAnsi="Arial" w:cs="Arial"/>
                <w:color w:val="000000" w:themeColor="text1"/>
                <w:sz w:val="24"/>
                <w:szCs w:val="24"/>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7D567557">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信用等级：</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1373CD99">
            <w:pPr>
              <w:widowControl/>
              <w:jc w:val="left"/>
              <w:rPr>
                <w:rFonts w:ascii="Arial" w:hAnsi="Arial" w:cs="Arial"/>
                <w:color w:val="000000" w:themeColor="text1"/>
                <w:sz w:val="24"/>
                <w:szCs w:val="24"/>
                <w:highlight w:val="none"/>
                <w14:textFill>
                  <w14:solidFill>
                    <w14:schemeClr w14:val="tx1"/>
                  </w14:solidFill>
                </w14:textFill>
              </w:rPr>
            </w:pPr>
          </w:p>
        </w:tc>
      </w:tr>
      <w:tr w14:paraId="50090DA1">
        <w:tblPrEx>
          <w:tblCellMar>
            <w:top w:w="0" w:type="dxa"/>
            <w:left w:w="0" w:type="dxa"/>
            <w:bottom w:w="0" w:type="dxa"/>
            <w:right w:w="0" w:type="dxa"/>
          </w:tblCellMar>
        </w:tblPrEx>
        <w:trPr>
          <w:trHeight w:val="260" w:hRule="atLeast"/>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3FA7C118">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建立日期：</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7F1773FB">
            <w:pPr>
              <w:widowControl/>
              <w:jc w:val="left"/>
              <w:rPr>
                <w:rFonts w:ascii="Arial" w:hAnsi="Arial" w:cs="Arial"/>
                <w:color w:val="000000" w:themeColor="text1"/>
                <w:sz w:val="24"/>
                <w:szCs w:val="24"/>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4D39DA46">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现有职工总人数(人)：</w:t>
            </w:r>
          </w:p>
        </w:tc>
        <w:tc>
          <w:tcPr>
            <w:tcW w:w="2500" w:type="pct"/>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559C2022">
            <w:pPr>
              <w:widowControl/>
              <w:jc w:val="left"/>
              <w:rPr>
                <w:rFonts w:ascii="Arial" w:hAnsi="Arial" w:cs="Arial"/>
                <w:color w:val="000000" w:themeColor="text1"/>
                <w:sz w:val="24"/>
                <w:szCs w:val="24"/>
                <w:highlight w:val="none"/>
                <w14:textFill>
                  <w14:solidFill>
                    <w14:schemeClr w14:val="tx1"/>
                  </w14:solidFill>
                </w14:textFill>
              </w:rPr>
            </w:pPr>
          </w:p>
        </w:tc>
      </w:tr>
      <w:tr w14:paraId="34B93EB6">
        <w:tblPrEx>
          <w:tblCellMar>
            <w:top w:w="0" w:type="dxa"/>
            <w:left w:w="0" w:type="dxa"/>
            <w:bottom w:w="0" w:type="dxa"/>
            <w:right w:w="0" w:type="dxa"/>
          </w:tblCellMar>
        </w:tblPrEx>
        <w:trPr>
          <w:trHeight w:val="260" w:hRule="atLeast"/>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2627B539">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办公地址：</w:t>
            </w:r>
          </w:p>
        </w:tc>
        <w:tc>
          <w:tcPr>
            <w:tcW w:w="2501" w:type="pct"/>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12ADEADD">
            <w:pPr>
              <w:widowControl/>
              <w:jc w:val="left"/>
              <w:rPr>
                <w:rFonts w:ascii="Arial" w:hAnsi="Arial" w:cs="Arial"/>
                <w:color w:val="000000" w:themeColor="text1"/>
                <w:sz w:val="24"/>
                <w:szCs w:val="24"/>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5A4C7454">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邮编：</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5E96BD14">
            <w:pPr>
              <w:widowControl/>
              <w:jc w:val="left"/>
              <w:rPr>
                <w:rFonts w:ascii="Arial" w:hAnsi="Arial" w:cs="Arial"/>
                <w:color w:val="000000" w:themeColor="text1"/>
                <w:sz w:val="24"/>
                <w:szCs w:val="24"/>
                <w:highlight w:val="none"/>
                <w14:textFill>
                  <w14:solidFill>
                    <w14:schemeClr w14:val="tx1"/>
                  </w14:solidFill>
                </w14:textFill>
              </w:rPr>
            </w:pPr>
          </w:p>
        </w:tc>
      </w:tr>
      <w:tr w14:paraId="090EA282">
        <w:tblPrEx>
          <w:tblCellMar>
            <w:top w:w="0" w:type="dxa"/>
            <w:left w:w="0" w:type="dxa"/>
            <w:bottom w:w="0" w:type="dxa"/>
            <w:right w:w="0" w:type="dxa"/>
          </w:tblCellMar>
        </w:tblPrEx>
        <w:trPr>
          <w:trHeight w:val="260" w:hRule="atLeast"/>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6BCCF6D1">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联系电话：</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49C659EC">
            <w:pPr>
              <w:widowControl/>
              <w:jc w:val="left"/>
              <w:rPr>
                <w:rFonts w:ascii="Arial" w:hAnsi="Arial" w:cs="Arial"/>
                <w:color w:val="000000" w:themeColor="text1"/>
                <w:sz w:val="24"/>
                <w:szCs w:val="24"/>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78697174">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传真：</w:t>
            </w:r>
          </w:p>
        </w:tc>
        <w:tc>
          <w:tcPr>
            <w:tcW w:w="2500" w:type="pct"/>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3AE02C31">
            <w:pPr>
              <w:widowControl/>
              <w:jc w:val="left"/>
              <w:rPr>
                <w:rFonts w:ascii="Arial" w:hAnsi="Arial" w:cs="Arial"/>
                <w:color w:val="000000" w:themeColor="text1"/>
                <w:sz w:val="24"/>
                <w:szCs w:val="24"/>
                <w:highlight w:val="none"/>
                <w14:textFill>
                  <w14:solidFill>
                    <w14:schemeClr w14:val="tx1"/>
                  </w14:solidFill>
                </w14:textFill>
              </w:rPr>
            </w:pPr>
          </w:p>
        </w:tc>
      </w:tr>
      <w:tr w14:paraId="7A280664">
        <w:tblPrEx>
          <w:tblCellMar>
            <w:top w:w="0" w:type="dxa"/>
            <w:left w:w="0" w:type="dxa"/>
            <w:bottom w:w="0" w:type="dxa"/>
            <w:right w:w="0" w:type="dxa"/>
          </w:tblCellMar>
        </w:tblPrEx>
        <w:trPr>
          <w:trHeight w:val="260" w:hRule="atLeast"/>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2C72459C">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法人代表姓名：</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5884B6B1">
            <w:pPr>
              <w:widowControl/>
              <w:jc w:val="left"/>
              <w:rPr>
                <w:rFonts w:ascii="宋体" w:hAnsi="宋体" w:cs="宋体"/>
                <w:color w:val="000000" w:themeColor="text1"/>
                <w:sz w:val="24"/>
                <w:szCs w:val="24"/>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74FC094E">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职务：</w:t>
            </w:r>
          </w:p>
        </w:tc>
        <w:tc>
          <w:tcPr>
            <w:tcW w:w="83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4E71BC63">
            <w:pPr>
              <w:widowControl/>
              <w:jc w:val="left"/>
              <w:rPr>
                <w:rFonts w:ascii="Arial" w:hAnsi="Arial" w:cs="Arial"/>
                <w:color w:val="000000" w:themeColor="text1"/>
                <w:sz w:val="24"/>
                <w:szCs w:val="24"/>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6A7E0F9A">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联系电话：</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1F315B15">
            <w:pPr>
              <w:widowControl/>
              <w:jc w:val="left"/>
              <w:rPr>
                <w:rFonts w:ascii="Arial" w:hAnsi="Arial" w:cs="Arial"/>
                <w:color w:val="000000" w:themeColor="text1"/>
                <w:sz w:val="24"/>
                <w:szCs w:val="24"/>
                <w:highlight w:val="none"/>
                <w14:textFill>
                  <w14:solidFill>
                    <w14:schemeClr w14:val="tx1"/>
                  </w14:solidFill>
                </w14:textFill>
              </w:rPr>
            </w:pPr>
          </w:p>
        </w:tc>
      </w:tr>
      <w:tr w14:paraId="27AA3862">
        <w:tblPrEx>
          <w:tblCellMar>
            <w:top w:w="0" w:type="dxa"/>
            <w:left w:w="0" w:type="dxa"/>
            <w:bottom w:w="0" w:type="dxa"/>
            <w:right w:w="0" w:type="dxa"/>
          </w:tblCellMar>
        </w:tblPrEx>
        <w:trPr>
          <w:trHeight w:val="260" w:hRule="atLeast"/>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2A69A57C">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技术负责人姓名：</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66B5E5FE">
            <w:pPr>
              <w:widowControl/>
              <w:jc w:val="left"/>
              <w:rPr>
                <w:rFonts w:ascii="宋体" w:hAnsi="宋体" w:cs="宋体"/>
                <w:color w:val="000000" w:themeColor="text1"/>
                <w:sz w:val="24"/>
                <w:szCs w:val="24"/>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17D3F2E5">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技术负责人职务：</w:t>
            </w:r>
          </w:p>
        </w:tc>
        <w:tc>
          <w:tcPr>
            <w:tcW w:w="83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706C91DD">
            <w:pPr>
              <w:widowControl/>
              <w:jc w:val="left"/>
              <w:rPr>
                <w:rFonts w:ascii="Arial" w:hAnsi="Arial" w:cs="Arial"/>
                <w:color w:val="000000" w:themeColor="text1"/>
                <w:sz w:val="24"/>
                <w:szCs w:val="24"/>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56024DB8">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技术负责人电话：</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6D0CECA4">
            <w:pPr>
              <w:widowControl/>
              <w:jc w:val="left"/>
              <w:rPr>
                <w:rFonts w:ascii="Arial" w:hAnsi="Arial" w:cs="Arial"/>
                <w:color w:val="000000" w:themeColor="text1"/>
                <w:sz w:val="24"/>
                <w:szCs w:val="24"/>
                <w:highlight w:val="none"/>
                <w14:textFill>
                  <w14:solidFill>
                    <w14:schemeClr w14:val="tx1"/>
                  </w14:solidFill>
                </w14:textFill>
              </w:rPr>
            </w:pPr>
          </w:p>
        </w:tc>
      </w:tr>
      <w:tr w14:paraId="1DD4845F">
        <w:tblPrEx>
          <w:tblCellMar>
            <w:top w:w="0" w:type="dxa"/>
            <w:left w:w="0" w:type="dxa"/>
            <w:bottom w:w="0" w:type="dxa"/>
            <w:right w:w="0" w:type="dxa"/>
          </w:tblCellMar>
        </w:tblPrEx>
        <w:trPr>
          <w:trHeight w:val="260" w:hRule="atLeast"/>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4333FD1A">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联系人姓名：</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351BBACE">
            <w:pPr>
              <w:widowControl/>
              <w:jc w:val="left"/>
              <w:rPr>
                <w:rFonts w:ascii="Arial" w:hAnsi="Arial" w:cs="Arial"/>
                <w:color w:val="000000" w:themeColor="text1"/>
                <w:sz w:val="24"/>
                <w:szCs w:val="24"/>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62D64885">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联系人职务：</w:t>
            </w:r>
          </w:p>
        </w:tc>
        <w:tc>
          <w:tcPr>
            <w:tcW w:w="83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521AEFFF">
            <w:pPr>
              <w:widowControl/>
              <w:jc w:val="left"/>
              <w:rPr>
                <w:rFonts w:ascii="Arial" w:hAnsi="Arial" w:cs="Arial"/>
                <w:color w:val="000000" w:themeColor="text1"/>
                <w:sz w:val="24"/>
                <w:szCs w:val="24"/>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076893E0">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联系人电话：</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602D809E">
            <w:pPr>
              <w:widowControl/>
              <w:jc w:val="left"/>
              <w:rPr>
                <w:rFonts w:ascii="Arial" w:hAnsi="Arial" w:cs="Arial"/>
                <w:color w:val="000000" w:themeColor="text1"/>
                <w:sz w:val="24"/>
                <w:szCs w:val="24"/>
                <w:highlight w:val="none"/>
                <w14:textFill>
                  <w14:solidFill>
                    <w14:schemeClr w14:val="tx1"/>
                  </w14:solidFill>
                </w14:textFill>
              </w:rPr>
            </w:pPr>
          </w:p>
        </w:tc>
      </w:tr>
      <w:tr w14:paraId="04026916">
        <w:tblPrEx>
          <w:tblCellMar>
            <w:top w:w="0" w:type="dxa"/>
            <w:left w:w="0" w:type="dxa"/>
            <w:bottom w:w="0" w:type="dxa"/>
            <w:right w:w="0" w:type="dxa"/>
          </w:tblCellMar>
        </w:tblPrEx>
        <w:trPr>
          <w:trHeight w:val="260" w:hRule="atLeast"/>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059D8736">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联系人邮箱：</w:t>
            </w:r>
          </w:p>
        </w:tc>
        <w:tc>
          <w:tcPr>
            <w:tcW w:w="4167" w:type="pct"/>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649F8A84">
            <w:pPr>
              <w:widowControl/>
              <w:jc w:val="left"/>
              <w:rPr>
                <w:rFonts w:ascii="Arial" w:hAnsi="Arial" w:cs="Arial"/>
                <w:color w:val="000000" w:themeColor="text1"/>
                <w:sz w:val="24"/>
                <w:szCs w:val="24"/>
                <w:highlight w:val="none"/>
                <w14:textFill>
                  <w14:solidFill>
                    <w14:schemeClr w14:val="tx1"/>
                  </w14:solidFill>
                </w14:textFill>
              </w:rPr>
            </w:pPr>
          </w:p>
        </w:tc>
      </w:tr>
      <w:tr w14:paraId="667D54FC">
        <w:tblPrEx>
          <w:tblCellMar>
            <w:top w:w="0" w:type="dxa"/>
            <w:left w:w="0" w:type="dxa"/>
            <w:bottom w:w="0" w:type="dxa"/>
            <w:right w:w="0" w:type="dxa"/>
          </w:tblCellMar>
        </w:tblPrEx>
        <w:trPr>
          <w:trHeight w:val="260" w:hRule="atLeast"/>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2FB7BD6B">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企业资质名称及等级：</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3E38C215">
            <w:pPr>
              <w:widowControl/>
              <w:jc w:val="left"/>
              <w:rPr>
                <w:rFonts w:ascii="Arial" w:hAnsi="Arial" w:cs="Arial"/>
                <w:color w:val="000000" w:themeColor="text1"/>
                <w:sz w:val="24"/>
                <w:szCs w:val="24"/>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01C46EE8">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企业资质证书号：</w:t>
            </w:r>
          </w:p>
        </w:tc>
        <w:tc>
          <w:tcPr>
            <w:tcW w:w="83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649B17D9">
            <w:pPr>
              <w:widowControl/>
              <w:jc w:val="left"/>
              <w:rPr>
                <w:rFonts w:ascii="Arial" w:hAnsi="Arial" w:cs="Arial"/>
                <w:color w:val="000000" w:themeColor="text1"/>
                <w:sz w:val="24"/>
                <w:szCs w:val="24"/>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04218081">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企业资质有效期：</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453481E2">
            <w:pPr>
              <w:widowControl/>
              <w:jc w:val="left"/>
              <w:rPr>
                <w:rFonts w:ascii="Arial" w:hAnsi="Arial" w:cs="Arial"/>
                <w:color w:val="000000" w:themeColor="text1"/>
                <w:sz w:val="24"/>
                <w:szCs w:val="24"/>
                <w:highlight w:val="none"/>
                <w14:textFill>
                  <w14:solidFill>
                    <w14:schemeClr w14:val="tx1"/>
                  </w14:solidFill>
                </w14:textFill>
              </w:rPr>
            </w:pPr>
          </w:p>
        </w:tc>
      </w:tr>
      <w:tr w14:paraId="09CCC38A">
        <w:tblPrEx>
          <w:tblCellMar>
            <w:top w:w="0" w:type="dxa"/>
            <w:left w:w="0" w:type="dxa"/>
            <w:bottom w:w="0" w:type="dxa"/>
            <w:right w:w="0" w:type="dxa"/>
          </w:tblCellMar>
        </w:tblPrEx>
        <w:trPr>
          <w:trHeight w:val="520" w:hRule="atLeast"/>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20B52283">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安全许可证证书编号：</w:t>
            </w:r>
          </w:p>
        </w:tc>
        <w:tc>
          <w:tcPr>
            <w:tcW w:w="2501" w:type="pct"/>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3B78E4AA">
            <w:pPr>
              <w:widowControl/>
              <w:jc w:val="left"/>
              <w:rPr>
                <w:rFonts w:ascii="Arial" w:hAnsi="Arial" w:cs="Arial"/>
                <w:color w:val="000000" w:themeColor="text1"/>
                <w:sz w:val="24"/>
                <w:szCs w:val="24"/>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2C596EE9">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安全许可证证书有效期：</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77FDC02F">
            <w:pPr>
              <w:widowControl/>
              <w:jc w:val="left"/>
              <w:rPr>
                <w:rFonts w:ascii="Arial" w:hAnsi="Arial" w:cs="Arial"/>
                <w:color w:val="000000" w:themeColor="text1"/>
                <w:sz w:val="24"/>
                <w:szCs w:val="24"/>
                <w:highlight w:val="none"/>
                <w14:textFill>
                  <w14:solidFill>
                    <w14:schemeClr w14:val="tx1"/>
                  </w14:solidFill>
                </w14:textFill>
              </w:rPr>
            </w:pPr>
          </w:p>
        </w:tc>
      </w:tr>
      <w:tr w14:paraId="53E46ED6">
        <w:tblPrEx>
          <w:tblCellMar>
            <w:top w:w="0" w:type="dxa"/>
            <w:left w:w="0" w:type="dxa"/>
            <w:bottom w:w="0" w:type="dxa"/>
            <w:right w:w="0" w:type="dxa"/>
          </w:tblCellMar>
        </w:tblPrEx>
        <w:trPr>
          <w:trHeight w:val="260" w:hRule="atLeast"/>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0116DE36">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基本户开户行：</w:t>
            </w:r>
          </w:p>
        </w:tc>
        <w:tc>
          <w:tcPr>
            <w:tcW w:w="2501" w:type="pct"/>
            <w:gridSpan w:val="3"/>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14D5FD61">
            <w:pPr>
              <w:widowControl/>
              <w:jc w:val="left"/>
              <w:rPr>
                <w:rFonts w:ascii="Arial" w:hAnsi="Arial" w:cs="Arial"/>
                <w:color w:val="000000" w:themeColor="text1"/>
                <w:sz w:val="24"/>
                <w:szCs w:val="24"/>
                <w:highlight w:val="none"/>
                <w14:textFill>
                  <w14:solidFill>
                    <w14:schemeClr w14:val="tx1"/>
                  </w14:solidFill>
                </w14:textFill>
              </w:rPr>
            </w:pP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6B9A0F60">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基本户户名：</w:t>
            </w:r>
          </w:p>
        </w:tc>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77FF492C">
            <w:pPr>
              <w:widowControl/>
              <w:jc w:val="left"/>
              <w:rPr>
                <w:rFonts w:ascii="Arial" w:hAnsi="Arial" w:cs="Arial"/>
                <w:color w:val="000000" w:themeColor="text1"/>
                <w:sz w:val="24"/>
                <w:szCs w:val="24"/>
                <w:highlight w:val="none"/>
                <w14:textFill>
                  <w14:solidFill>
                    <w14:schemeClr w14:val="tx1"/>
                  </w14:solidFill>
                </w14:textFill>
              </w:rPr>
            </w:pPr>
          </w:p>
        </w:tc>
      </w:tr>
      <w:tr w14:paraId="46DDC526">
        <w:tblPrEx>
          <w:tblCellMar>
            <w:top w:w="0" w:type="dxa"/>
            <w:left w:w="0" w:type="dxa"/>
            <w:bottom w:w="0" w:type="dxa"/>
            <w:right w:w="0" w:type="dxa"/>
          </w:tblCellMar>
        </w:tblPrEx>
        <w:trPr>
          <w:trHeight w:val="260" w:hRule="atLeast"/>
        </w:trPr>
        <w:tc>
          <w:tcPr>
            <w:tcW w:w="833"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71BE4E3D">
            <w:pPr>
              <w:widowControl/>
              <w:jc w:val="left"/>
              <w:textAlignment w:val="bottom"/>
              <w:rPr>
                <w:rFonts w:ascii="Arial" w:hAnsi="Arial" w:cs="Arial"/>
                <w:color w:val="000000" w:themeColor="text1"/>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基本户账号：</w:t>
            </w:r>
          </w:p>
        </w:tc>
        <w:tc>
          <w:tcPr>
            <w:tcW w:w="4167" w:type="pct"/>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bottom"/>
          </w:tcPr>
          <w:p w14:paraId="2C873C39">
            <w:pPr>
              <w:widowControl/>
              <w:jc w:val="left"/>
              <w:rPr>
                <w:rFonts w:ascii="Arial" w:hAnsi="Arial" w:cs="Arial"/>
                <w:color w:val="000000" w:themeColor="text1"/>
                <w:sz w:val="24"/>
                <w:szCs w:val="24"/>
                <w:highlight w:val="none"/>
                <w14:textFill>
                  <w14:solidFill>
                    <w14:schemeClr w14:val="tx1"/>
                  </w14:solidFill>
                </w14:textFill>
              </w:rPr>
            </w:pPr>
          </w:p>
        </w:tc>
      </w:tr>
    </w:tbl>
    <w:p w14:paraId="66BFC9B8">
      <w:pPr>
        <w:snapToGrid w:val="0"/>
        <w:spacing w:line="312" w:lineRule="auto"/>
        <w:jc w:val="left"/>
        <w:rPr>
          <w:b/>
          <w:color w:val="000000" w:themeColor="text1"/>
          <w:highlight w:val="none"/>
          <w:u w:val="single"/>
          <w14:textFill>
            <w14:solidFill>
              <w14:schemeClr w14:val="tx1"/>
            </w14:solidFill>
          </w14:textFill>
        </w:rPr>
      </w:pPr>
      <w:r>
        <w:rPr>
          <w:rFonts w:hint="eastAsia"/>
          <w:b/>
          <w:color w:val="000000" w:themeColor="text1"/>
          <w:highlight w:val="none"/>
          <w:u w:val="single"/>
          <w14:textFill>
            <w14:solidFill>
              <w14:schemeClr w14:val="tx1"/>
            </w14:solidFill>
          </w14:textFill>
        </w:rPr>
        <w:t>注：</w:t>
      </w:r>
    </w:p>
    <w:p w14:paraId="6B6DC9A1">
      <w:pPr>
        <w:tabs>
          <w:tab w:val="left" w:pos="3375"/>
        </w:tabs>
        <w:snapToGrid w:val="0"/>
        <w:spacing w:line="360" w:lineRule="auto"/>
        <w:ind w:firstLine="422" w:firstLineChars="200"/>
        <w:outlineLvl w:val="2"/>
        <w:rPr>
          <w:rFonts w:ascii="宋体" w:hAnsi="宋体" w:cs="宋体"/>
          <w:b/>
          <w:highlight w:val="none"/>
        </w:rPr>
      </w:pPr>
      <w:r>
        <w:rPr>
          <w:rFonts w:hint="eastAsia"/>
          <w:b/>
          <w:color w:val="000000" w:themeColor="text1"/>
          <w:highlight w:val="none"/>
          <w14:textFill>
            <w14:solidFill>
              <w14:schemeClr w14:val="tx1"/>
            </w14:solidFill>
          </w14:textFill>
        </w:rPr>
        <w:t>提供投标人资格条件相应的佐证材料</w:t>
      </w:r>
      <w:r>
        <w:rPr>
          <w:rFonts w:hint="eastAsia" w:ascii="宋体" w:hAnsi="宋体" w:cs="宋体"/>
          <w:b/>
          <w:highlight w:val="none"/>
        </w:rPr>
        <w:t>（以下材料均须提供扫描件（或复印件）并加盖公章）：</w:t>
      </w:r>
    </w:p>
    <w:p w14:paraId="04D86FF0">
      <w:pPr>
        <w:tabs>
          <w:tab w:val="left" w:pos="3375"/>
        </w:tabs>
        <w:snapToGrid w:val="0"/>
        <w:spacing w:line="360" w:lineRule="auto"/>
        <w:ind w:firstLine="422" w:firstLineChars="200"/>
        <w:outlineLvl w:val="2"/>
        <w:rPr>
          <w:rFonts w:hint="eastAsia" w:eastAsia="宋体"/>
          <w:b/>
          <w:color w:val="000000" w:themeColor="text1"/>
          <w:highlight w:val="none"/>
          <w:lang w:val="en-US" w:eastAsia="zh-CN"/>
          <w14:textFill>
            <w14:solidFill>
              <w14:schemeClr w14:val="tx1"/>
            </w14:solidFill>
          </w14:textFill>
        </w:rPr>
      </w:pPr>
      <w:r>
        <w:rPr>
          <w:rFonts w:hint="eastAsia"/>
          <w:b/>
          <w:color w:val="000000" w:themeColor="text1"/>
          <w:highlight w:val="none"/>
          <w14:textFill>
            <w14:solidFill>
              <w14:schemeClr w14:val="tx1"/>
            </w14:solidFill>
          </w14:textFill>
        </w:rPr>
        <w:t>①建设行政主管部门颁发的建筑工程施工总承包叁级及以上资质</w:t>
      </w:r>
      <w:r>
        <w:rPr>
          <w:rFonts w:hint="eastAsia"/>
          <w:b/>
          <w:color w:val="000000" w:themeColor="text1"/>
          <w:highlight w:val="none"/>
          <w:lang w:val="en-US" w:eastAsia="zh-CN"/>
          <w14:textFill>
            <w14:solidFill>
              <w14:schemeClr w14:val="tx1"/>
            </w14:solidFill>
          </w14:textFill>
        </w:rPr>
        <w:t>证书；</w:t>
      </w:r>
    </w:p>
    <w:p w14:paraId="7B8DF96A">
      <w:pPr>
        <w:tabs>
          <w:tab w:val="left" w:pos="3375"/>
        </w:tabs>
        <w:snapToGrid w:val="0"/>
        <w:spacing w:line="360" w:lineRule="auto"/>
        <w:ind w:firstLine="422" w:firstLineChars="200"/>
        <w:outlineLvl w:val="2"/>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②省级（或以上）建设行政主管部门核发的《安全生产许可证》；</w:t>
      </w:r>
    </w:p>
    <w:p w14:paraId="4A36C2BE">
      <w:pPr>
        <w:ind w:firstLine="482"/>
        <w:jc w:val="center"/>
        <w:rPr>
          <w:b/>
          <w:bCs/>
          <w:color w:val="000000" w:themeColor="text1"/>
          <w:sz w:val="24"/>
          <w:szCs w:val="24"/>
          <w:highlight w:val="none"/>
          <w:u w:val="single"/>
          <w14:textFill>
            <w14:solidFill>
              <w14:schemeClr w14:val="tx1"/>
            </w14:solidFill>
          </w14:textFill>
        </w:rPr>
        <w:sectPr>
          <w:footerReference r:id="rId6" w:type="default"/>
          <w:pgSz w:w="11906" w:h="16838"/>
          <w:pgMar w:top="1389" w:right="1474" w:bottom="1389" w:left="1644" w:header="851" w:footer="992" w:gutter="0"/>
          <w:cols w:space="720" w:num="1"/>
          <w:docGrid w:linePitch="312" w:charSpace="0"/>
        </w:sectPr>
      </w:pPr>
    </w:p>
    <w:p w14:paraId="0E6F0DC4">
      <w:pPr>
        <w:pStyle w:val="2"/>
        <w:jc w:val="center"/>
        <w:rPr>
          <w:rFonts w:cs="宋体"/>
          <w:b/>
          <w:bCs/>
          <w:color w:val="000000" w:themeColor="text1"/>
          <w:sz w:val="30"/>
          <w:szCs w:val="30"/>
          <w:highlight w:val="none"/>
          <w14:textFill>
            <w14:solidFill>
              <w14:schemeClr w14:val="tx1"/>
            </w14:solidFill>
          </w14:textFill>
        </w:rPr>
      </w:pPr>
      <w:r>
        <w:rPr>
          <w:rFonts w:hint="eastAsia" w:cs="宋体"/>
          <w:b/>
          <w:bCs/>
          <w:color w:val="000000" w:themeColor="text1"/>
          <w:sz w:val="30"/>
          <w:szCs w:val="30"/>
          <w:highlight w:val="none"/>
          <w14:textFill>
            <w14:solidFill>
              <w14:schemeClr w14:val="tx1"/>
            </w14:solidFill>
          </w14:textFill>
        </w:rPr>
        <w:t>表2 拟投入本标段主要人员情况表</w:t>
      </w:r>
    </w:p>
    <w:tbl>
      <w:tblPr>
        <w:tblStyle w:val="16"/>
        <w:tblW w:w="4996" w:type="pct"/>
        <w:tblInd w:w="0" w:type="dxa"/>
        <w:tblLayout w:type="autofit"/>
        <w:tblCellMar>
          <w:top w:w="0" w:type="dxa"/>
          <w:left w:w="0" w:type="dxa"/>
          <w:bottom w:w="0" w:type="dxa"/>
          <w:right w:w="0" w:type="dxa"/>
        </w:tblCellMar>
      </w:tblPr>
      <w:tblGrid>
        <w:gridCol w:w="368"/>
        <w:gridCol w:w="966"/>
        <w:gridCol w:w="360"/>
        <w:gridCol w:w="434"/>
        <w:gridCol w:w="636"/>
        <w:gridCol w:w="666"/>
        <w:gridCol w:w="578"/>
        <w:gridCol w:w="372"/>
        <w:gridCol w:w="1165"/>
        <w:gridCol w:w="813"/>
        <w:gridCol w:w="813"/>
        <w:gridCol w:w="813"/>
        <w:gridCol w:w="817"/>
      </w:tblGrid>
      <w:tr w14:paraId="3008F6B6">
        <w:tblPrEx>
          <w:tblCellMar>
            <w:top w:w="0" w:type="dxa"/>
            <w:left w:w="0" w:type="dxa"/>
            <w:bottom w:w="0" w:type="dxa"/>
            <w:right w:w="0" w:type="dxa"/>
          </w:tblCellMar>
        </w:tblPrEx>
        <w:trPr>
          <w:trHeight w:val="1134" w:hRule="atLeast"/>
        </w:trPr>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1D4425D">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序号</w:t>
            </w:r>
          </w:p>
        </w:tc>
        <w:tc>
          <w:tcPr>
            <w:tcW w:w="5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5A7E6CA">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在本项目中担任职务</w:t>
            </w:r>
          </w:p>
        </w:tc>
        <w:tc>
          <w:tcPr>
            <w:tcW w:w="20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D643DCB">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姓名</w:t>
            </w:r>
          </w:p>
        </w:tc>
        <w:tc>
          <w:tcPr>
            <w:tcW w:w="24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DA0759F">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年龄</w:t>
            </w:r>
          </w:p>
        </w:tc>
        <w:tc>
          <w:tcPr>
            <w:tcW w:w="3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0F97BEB">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技术职称</w:t>
            </w: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4F65F82">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职称专业</w:t>
            </w:r>
          </w:p>
        </w:tc>
        <w:tc>
          <w:tcPr>
            <w:tcW w:w="32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E2BA46D">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工作年限</w:t>
            </w:r>
          </w:p>
        </w:tc>
        <w:tc>
          <w:tcPr>
            <w:tcW w:w="21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0E7994F">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学历</w:t>
            </w: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910326D">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学历专业</w:t>
            </w:r>
          </w:p>
        </w:tc>
        <w:tc>
          <w:tcPr>
            <w:tcW w:w="4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5F63E7C">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执业资格名称</w:t>
            </w:r>
          </w:p>
        </w:tc>
        <w:tc>
          <w:tcPr>
            <w:tcW w:w="4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A3A5270">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执业资格等级</w:t>
            </w:r>
          </w:p>
        </w:tc>
        <w:tc>
          <w:tcPr>
            <w:tcW w:w="4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8B6B27A">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执业资格编号</w:t>
            </w:r>
          </w:p>
        </w:tc>
        <w:tc>
          <w:tcPr>
            <w:tcW w:w="4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E94902C">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执业资格有效期</w:t>
            </w:r>
          </w:p>
        </w:tc>
      </w:tr>
      <w:tr w14:paraId="1AAB0E12">
        <w:tblPrEx>
          <w:tblCellMar>
            <w:top w:w="0" w:type="dxa"/>
            <w:left w:w="0" w:type="dxa"/>
            <w:bottom w:w="0" w:type="dxa"/>
            <w:right w:w="0" w:type="dxa"/>
          </w:tblCellMar>
        </w:tblPrEx>
        <w:trPr>
          <w:trHeight w:val="1134" w:hRule="atLeast"/>
        </w:trPr>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C5CE7B4">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1</w:t>
            </w:r>
          </w:p>
        </w:tc>
        <w:tc>
          <w:tcPr>
            <w:tcW w:w="5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612A2DC">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6950416">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82CBB90">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3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BF33AFA">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6C00616">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C3BD385">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081ADA5">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40EFB55">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4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6FC38A4">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4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2D1BEC7">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4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664EFB2">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6B81737">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r>
      <w:tr w14:paraId="02615D06">
        <w:tblPrEx>
          <w:tblCellMar>
            <w:top w:w="0" w:type="dxa"/>
            <w:left w:w="0" w:type="dxa"/>
            <w:bottom w:w="0" w:type="dxa"/>
            <w:right w:w="0" w:type="dxa"/>
          </w:tblCellMar>
        </w:tblPrEx>
        <w:trPr>
          <w:trHeight w:val="1134" w:hRule="atLeast"/>
        </w:trPr>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EC3C315">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r>
              <w:rPr>
                <w:rFonts w:ascii="Arial" w:hAnsi="Arial" w:cs="Arial"/>
                <w:color w:val="000000" w:themeColor="text1"/>
                <w:kern w:val="0"/>
                <w:sz w:val="24"/>
                <w:szCs w:val="24"/>
                <w:highlight w:val="none"/>
                <w14:textFill>
                  <w14:solidFill>
                    <w14:schemeClr w14:val="tx1"/>
                  </w14:solidFill>
                </w14:textFill>
              </w:rPr>
              <w:t>2</w:t>
            </w:r>
          </w:p>
        </w:tc>
        <w:tc>
          <w:tcPr>
            <w:tcW w:w="5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5F620DB">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7E92595">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7C0DD8B">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3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747ADF4A">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CB02021">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7DC6861">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F04F27D">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905D224">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4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FF70005">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4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097263EA">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4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760104B">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6FA6E2DE">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r>
      <w:tr w14:paraId="0BC534B7">
        <w:tblPrEx>
          <w:tblCellMar>
            <w:top w:w="0" w:type="dxa"/>
            <w:left w:w="0" w:type="dxa"/>
            <w:bottom w:w="0" w:type="dxa"/>
            <w:right w:w="0" w:type="dxa"/>
          </w:tblCellMar>
        </w:tblPrEx>
        <w:trPr>
          <w:trHeight w:val="1134" w:hRule="atLeast"/>
        </w:trPr>
        <w:tc>
          <w:tcPr>
            <w:tcW w:w="209"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3549764">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r>
              <w:rPr>
                <w:rFonts w:hint="eastAsia" w:ascii="Arial" w:hAnsi="Arial" w:cs="Arial"/>
                <w:color w:val="000000" w:themeColor="text1"/>
                <w:kern w:val="0"/>
                <w:sz w:val="24"/>
                <w:szCs w:val="24"/>
                <w:highlight w:val="none"/>
                <w14:textFill>
                  <w14:solidFill>
                    <w14:schemeClr w14:val="tx1"/>
                  </w14:solidFill>
                </w14:textFill>
              </w:rPr>
              <w:t>...</w:t>
            </w:r>
          </w:p>
        </w:tc>
        <w:tc>
          <w:tcPr>
            <w:tcW w:w="54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0B32F33">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9BED579">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901F83B">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3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6F3B5CC">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B56E799">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328"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1960FEB2">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333026EF">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6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E5849EF">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4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5284C5F3">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4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21F76100">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461"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9D515E7">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c>
          <w:tcPr>
            <w:tcW w:w="463" w:type="pct"/>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14:paraId="49E3FF9F">
            <w:pPr>
              <w:widowControl/>
              <w:jc w:val="center"/>
              <w:textAlignment w:val="bottom"/>
              <w:rPr>
                <w:rFonts w:ascii="Arial" w:hAnsi="Arial" w:cs="Arial"/>
                <w:color w:val="000000" w:themeColor="text1"/>
                <w:kern w:val="0"/>
                <w:sz w:val="24"/>
                <w:szCs w:val="24"/>
                <w:highlight w:val="none"/>
                <w14:textFill>
                  <w14:solidFill>
                    <w14:schemeClr w14:val="tx1"/>
                  </w14:solidFill>
                </w14:textFill>
              </w:rPr>
            </w:pPr>
          </w:p>
        </w:tc>
      </w:tr>
    </w:tbl>
    <w:p w14:paraId="11B0BF0E">
      <w:pPr>
        <w:spacing w:line="300" w:lineRule="exact"/>
        <w:ind w:firstLine="422" w:firstLineChars="200"/>
        <w:rPr>
          <w:rFonts w:ascii="宋体" w:hAnsi="宋体"/>
          <w:b/>
          <w:color w:val="000000" w:themeColor="text1"/>
          <w:highlight w:val="none"/>
          <w:u w:val="single"/>
          <w14:textFill>
            <w14:solidFill>
              <w14:schemeClr w14:val="tx1"/>
            </w14:solidFill>
          </w14:textFill>
        </w:rPr>
      </w:pPr>
      <w:r>
        <w:rPr>
          <w:rFonts w:hint="eastAsia" w:ascii="宋体" w:hAnsi="宋体"/>
          <w:b/>
          <w:color w:val="000000" w:themeColor="text1"/>
          <w:highlight w:val="none"/>
          <w:u w:val="single"/>
          <w14:textFill>
            <w14:solidFill>
              <w14:schemeClr w14:val="tx1"/>
            </w14:solidFill>
          </w14:textFill>
        </w:rPr>
        <w:t>注：此表可扩展。</w:t>
      </w:r>
    </w:p>
    <w:p w14:paraId="353491CC">
      <w:pPr>
        <w:spacing w:line="300" w:lineRule="exact"/>
        <w:ind w:firstLine="422" w:firstLineChars="200"/>
        <w:rPr>
          <w:rFonts w:ascii="宋体" w:hAnsi="宋体"/>
          <w:b/>
          <w:color w:val="000000" w:themeColor="text1"/>
          <w:highlight w:val="none"/>
          <w:u w:val="single"/>
          <w14:textFill>
            <w14:solidFill>
              <w14:schemeClr w14:val="tx1"/>
            </w14:solidFill>
          </w14:textFill>
        </w:rPr>
      </w:pPr>
      <w:r>
        <w:rPr>
          <w:rFonts w:ascii="宋体" w:hAnsi="宋体"/>
          <w:b/>
          <w:color w:val="000000" w:themeColor="text1"/>
          <w:highlight w:val="none"/>
          <w:u w:val="single"/>
          <w14:textFill>
            <w14:solidFill>
              <w14:schemeClr w14:val="tx1"/>
            </w14:solidFill>
          </w14:textFill>
        </w:rPr>
        <w:t>2.</w:t>
      </w:r>
      <w:r>
        <w:rPr>
          <w:rFonts w:hint="eastAsia" w:ascii="宋体" w:hAnsi="宋体"/>
          <w:b/>
          <w:color w:val="000000" w:themeColor="text1"/>
          <w:highlight w:val="none"/>
          <w:u w:val="single"/>
          <w14:textFill>
            <w14:solidFill>
              <w14:schemeClr w14:val="tx1"/>
            </w14:solidFill>
          </w14:textFill>
        </w:rPr>
        <w:t>人员一旦确定，中标后原则上不再变更，如需变更需征得招标人同意。</w:t>
      </w:r>
    </w:p>
    <w:p w14:paraId="075FAED0">
      <w:pPr>
        <w:ind w:firstLine="482"/>
        <w:jc w:val="left"/>
        <w:rPr>
          <w:rFonts w:ascii="宋体" w:hAnsi="宋体"/>
          <w:b/>
          <w:color w:val="000000" w:themeColor="text1"/>
          <w:highlight w:val="none"/>
          <w:u w:val="single"/>
          <w14:textFill>
            <w14:solidFill>
              <w14:schemeClr w14:val="tx1"/>
            </w14:solidFill>
          </w14:textFill>
        </w:rPr>
      </w:pPr>
    </w:p>
    <w:p w14:paraId="1EF654EA">
      <w:pPr>
        <w:tabs>
          <w:tab w:val="left" w:pos="3375"/>
        </w:tabs>
        <w:snapToGrid w:val="0"/>
        <w:spacing w:line="360" w:lineRule="auto"/>
        <w:ind w:firstLine="422" w:firstLineChars="200"/>
        <w:outlineLvl w:val="2"/>
        <w:rPr>
          <w:rFonts w:ascii="宋体" w:hAnsi="宋体" w:cs="宋体"/>
          <w:b/>
          <w:highlight w:val="none"/>
        </w:rPr>
      </w:pPr>
      <w:r>
        <w:rPr>
          <w:rFonts w:hint="eastAsia" w:ascii="宋体" w:hAnsi="宋体"/>
          <w:b/>
          <w:color w:val="000000" w:themeColor="text1"/>
          <w:highlight w:val="none"/>
          <w:u w:val="single"/>
          <w14:textFill>
            <w14:solidFill>
              <w14:schemeClr w14:val="tx1"/>
            </w14:solidFill>
          </w14:textFill>
        </w:rPr>
        <w:t>3、</w:t>
      </w:r>
      <w:r>
        <w:rPr>
          <w:rFonts w:hint="eastAsia" w:ascii="宋体" w:hAnsi="宋体"/>
          <w:b/>
          <w:color w:val="000000" w:themeColor="text1"/>
          <w:highlight w:val="none"/>
          <w14:textFill>
            <w14:solidFill>
              <w14:schemeClr w14:val="tx1"/>
            </w14:solidFill>
          </w14:textFill>
        </w:rPr>
        <w:t>提供项目经理资格条件相应的佐证材料</w:t>
      </w:r>
      <w:r>
        <w:rPr>
          <w:rFonts w:hint="eastAsia" w:ascii="宋体" w:hAnsi="宋体" w:cs="宋体"/>
          <w:b/>
          <w:highlight w:val="none"/>
        </w:rPr>
        <w:t>（以下材料均须提供扫描件（或复印件）并加盖公章）：</w:t>
      </w:r>
    </w:p>
    <w:p w14:paraId="49E063B0">
      <w:pPr>
        <w:tabs>
          <w:tab w:val="left" w:pos="3375"/>
        </w:tabs>
        <w:snapToGrid w:val="0"/>
        <w:spacing w:line="360" w:lineRule="auto"/>
        <w:ind w:firstLine="422" w:firstLineChars="200"/>
        <w:outlineLvl w:val="2"/>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①有效的二级或以上建筑工程专业注册建造师资格</w:t>
      </w:r>
      <w:r>
        <w:rPr>
          <w:rFonts w:hint="eastAsia" w:ascii="宋体" w:hAnsi="宋体"/>
          <w:b/>
          <w:color w:val="000000" w:themeColor="text1"/>
          <w:highlight w:val="none"/>
          <w:lang w:val="en-US" w:eastAsia="zh-CN"/>
          <w14:textFill>
            <w14:solidFill>
              <w14:schemeClr w14:val="tx1"/>
            </w14:solidFill>
          </w14:textFill>
        </w:rPr>
        <w:t>证书</w:t>
      </w:r>
      <w:r>
        <w:rPr>
          <w:rFonts w:hint="eastAsia" w:ascii="宋体" w:hAnsi="宋体"/>
          <w:b/>
          <w:color w:val="000000" w:themeColor="text1"/>
          <w:highlight w:val="none"/>
          <w14:textFill>
            <w14:solidFill>
              <w14:schemeClr w14:val="tx1"/>
            </w14:solidFill>
          </w14:textFill>
        </w:rPr>
        <w:t>；</w:t>
      </w:r>
    </w:p>
    <w:p w14:paraId="0915FA29">
      <w:pPr>
        <w:tabs>
          <w:tab w:val="left" w:pos="3375"/>
        </w:tabs>
        <w:snapToGrid w:val="0"/>
        <w:spacing w:line="360" w:lineRule="auto"/>
        <w:ind w:firstLine="422" w:firstLineChars="200"/>
        <w:outlineLvl w:val="2"/>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②有效的建设行政主管部门核发的《建筑施工企业项目负责人安全生产考核合格证书》（B证）</w:t>
      </w:r>
      <w:r>
        <w:rPr>
          <w:rFonts w:hint="eastAsia" w:ascii="宋体" w:hAnsi="宋体"/>
          <w:b/>
          <w:color w:val="000000" w:themeColor="text1"/>
          <w:highlight w:val="none"/>
          <w:lang w:val="en-US" w:eastAsia="zh-CN"/>
          <w14:textFill>
            <w14:solidFill>
              <w14:schemeClr w14:val="tx1"/>
            </w14:solidFill>
          </w14:textFill>
        </w:rPr>
        <w:t>证书</w:t>
      </w:r>
      <w:r>
        <w:rPr>
          <w:rFonts w:hint="eastAsia" w:ascii="宋体" w:hAnsi="宋体"/>
          <w:b/>
          <w:color w:val="000000" w:themeColor="text1"/>
          <w:highlight w:val="none"/>
          <w14:textFill>
            <w14:solidFill>
              <w14:schemeClr w14:val="tx1"/>
            </w14:solidFill>
          </w14:textFill>
        </w:rPr>
        <w:t>。</w:t>
      </w:r>
    </w:p>
    <w:p w14:paraId="166F3A11">
      <w:pPr>
        <w:tabs>
          <w:tab w:val="left" w:pos="3375"/>
        </w:tabs>
        <w:snapToGrid w:val="0"/>
        <w:spacing w:line="360" w:lineRule="auto"/>
        <w:ind w:firstLine="422" w:firstLineChars="200"/>
        <w:outlineLvl w:val="2"/>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③拟派项目经理为投标人自有人员[提供投标人（或投标人不具备法人资格的分支机构）为其缴纳的投标截止时间前三个月（2025年1月至2025年3月）中至少一个月的社保证明材料]</w:t>
      </w:r>
    </w:p>
    <w:p w14:paraId="0AAC6EA0">
      <w:pPr>
        <w:widowControl/>
        <w:ind w:firstLine="482"/>
        <w:jc w:val="center"/>
        <w:rPr>
          <w:b/>
          <w:bCs/>
          <w:color w:val="000000" w:themeColor="text1"/>
          <w:sz w:val="24"/>
          <w:szCs w:val="24"/>
          <w:highlight w:val="none"/>
          <w:u w:val="single"/>
          <w14:textFill>
            <w14:solidFill>
              <w14:schemeClr w14:val="tx1"/>
            </w14:solidFill>
          </w14:textFill>
        </w:rPr>
      </w:pPr>
    </w:p>
    <w:p w14:paraId="2AC3A940">
      <w:pPr>
        <w:widowControl/>
        <w:ind w:firstLine="482"/>
        <w:jc w:val="center"/>
        <w:rPr>
          <w:b/>
          <w:bCs/>
          <w:color w:val="000000" w:themeColor="text1"/>
          <w:sz w:val="24"/>
          <w:szCs w:val="24"/>
          <w:highlight w:val="none"/>
          <w:u w:val="single"/>
          <w14:textFill>
            <w14:solidFill>
              <w14:schemeClr w14:val="tx1"/>
            </w14:solidFill>
          </w14:textFill>
        </w:rPr>
      </w:pPr>
    </w:p>
    <w:p w14:paraId="21E7362B">
      <w:pPr>
        <w:widowControl/>
        <w:ind w:firstLine="482"/>
        <w:jc w:val="center"/>
        <w:rPr>
          <w:b/>
          <w:bCs/>
          <w:color w:val="000000" w:themeColor="text1"/>
          <w:sz w:val="24"/>
          <w:szCs w:val="24"/>
          <w:highlight w:val="none"/>
          <w:u w:val="single"/>
          <w14:textFill>
            <w14:solidFill>
              <w14:schemeClr w14:val="tx1"/>
            </w14:solidFill>
          </w14:textFill>
        </w:rPr>
      </w:pPr>
    </w:p>
    <w:p w14:paraId="121A285B">
      <w:pPr>
        <w:widowControl/>
        <w:ind w:firstLine="482"/>
        <w:jc w:val="center"/>
        <w:rPr>
          <w:b/>
          <w:bCs/>
          <w:color w:val="000000" w:themeColor="text1"/>
          <w:sz w:val="24"/>
          <w:szCs w:val="24"/>
          <w:highlight w:val="none"/>
          <w:u w:val="single"/>
          <w14:textFill>
            <w14:solidFill>
              <w14:schemeClr w14:val="tx1"/>
            </w14:solidFill>
          </w14:textFill>
        </w:rPr>
      </w:pPr>
    </w:p>
    <w:p w14:paraId="63D299B3">
      <w:pPr>
        <w:widowControl/>
        <w:ind w:firstLine="482"/>
        <w:jc w:val="center"/>
        <w:rPr>
          <w:b/>
          <w:bCs/>
          <w:color w:val="000000" w:themeColor="text1"/>
          <w:sz w:val="24"/>
          <w:szCs w:val="24"/>
          <w:highlight w:val="none"/>
          <w:u w:val="single"/>
          <w14:textFill>
            <w14:solidFill>
              <w14:schemeClr w14:val="tx1"/>
            </w14:solidFill>
          </w14:textFill>
        </w:rPr>
      </w:pPr>
    </w:p>
    <w:p w14:paraId="02D3C706">
      <w:pPr>
        <w:widowControl/>
        <w:ind w:firstLine="482"/>
        <w:jc w:val="center"/>
        <w:rPr>
          <w:b/>
          <w:bCs/>
          <w:color w:val="000000" w:themeColor="text1"/>
          <w:sz w:val="24"/>
          <w:szCs w:val="24"/>
          <w:highlight w:val="none"/>
          <w:u w:val="single"/>
          <w14:textFill>
            <w14:solidFill>
              <w14:schemeClr w14:val="tx1"/>
            </w14:solidFill>
          </w14:textFill>
        </w:rPr>
      </w:pPr>
    </w:p>
    <w:p w14:paraId="4FFBE2E1">
      <w:pPr>
        <w:pStyle w:val="7"/>
        <w:ind w:firstLine="738" w:firstLineChars="350"/>
        <w:jc w:val="center"/>
        <w:rPr>
          <w:b/>
          <w:bCs/>
          <w:color w:val="000000" w:themeColor="text1"/>
          <w:highlight w:val="none"/>
          <w:u w:val="single"/>
          <w14:textFill>
            <w14:solidFill>
              <w14:schemeClr w14:val="tx1"/>
            </w14:solidFill>
          </w14:textFill>
        </w:rPr>
        <w:sectPr>
          <w:pgSz w:w="11906" w:h="16838"/>
          <w:pgMar w:top="1389" w:right="1474" w:bottom="1389" w:left="1644" w:header="851" w:footer="992" w:gutter="0"/>
          <w:cols w:space="720" w:num="1"/>
          <w:docGrid w:linePitch="312" w:charSpace="0"/>
        </w:sectPr>
      </w:pPr>
    </w:p>
    <w:p w14:paraId="4784E625">
      <w:pPr>
        <w:spacing w:after="120"/>
        <w:jc w:val="center"/>
        <w:rPr>
          <w:rFonts w:hint="default" w:ascii="宋体" w:hAnsi="宋体" w:eastAsia="宋体"/>
          <w:b/>
          <w:color w:val="000000" w:themeColor="text1"/>
          <w:sz w:val="30"/>
          <w:szCs w:val="30"/>
          <w:highlight w:val="none"/>
          <w:lang w:val="en-US" w:eastAsia="zh-CN"/>
          <w14:textFill>
            <w14:solidFill>
              <w14:schemeClr w14:val="tx1"/>
            </w14:solidFill>
          </w14:textFill>
        </w:rPr>
      </w:pPr>
      <w:bookmarkStart w:id="257" w:name="_Toc454186136"/>
      <w:bookmarkStart w:id="258" w:name="_Toc455668324"/>
      <w:bookmarkStart w:id="259" w:name="_Toc467487406"/>
      <w:bookmarkStart w:id="260" w:name="_Toc297552050"/>
      <w:bookmarkStart w:id="261" w:name="_Toc396227814"/>
      <w:bookmarkStart w:id="262" w:name="_Toc6300"/>
      <w:bookmarkStart w:id="263" w:name="_Toc232821999"/>
      <w:bookmarkStart w:id="264" w:name="_Toc3957"/>
      <w:r>
        <w:rPr>
          <w:rFonts w:hint="eastAsia" w:ascii="宋体" w:hAnsi="宋体"/>
          <w:b/>
          <w:color w:val="000000" w:themeColor="text1"/>
          <w:sz w:val="30"/>
          <w:szCs w:val="30"/>
          <w:highlight w:val="none"/>
          <w14:textFill>
            <w14:solidFill>
              <w14:schemeClr w14:val="tx1"/>
            </w14:solidFill>
          </w14:textFill>
        </w:rPr>
        <w:t>四</w:t>
      </w:r>
      <w:r>
        <w:rPr>
          <w:rFonts w:hint="eastAsia" w:ascii="宋体" w:hAnsi="宋体"/>
          <w:b/>
          <w:color w:val="000000" w:themeColor="text1"/>
          <w:sz w:val="30"/>
          <w:szCs w:val="30"/>
          <w:highlight w:val="none"/>
          <w:lang w:eastAsia="zh-CN"/>
          <w14:textFill>
            <w14:solidFill>
              <w14:schemeClr w14:val="tx1"/>
            </w14:solidFill>
          </w14:textFill>
        </w:rPr>
        <w:t>、</w:t>
      </w:r>
      <w:r>
        <w:rPr>
          <w:rFonts w:hint="eastAsia" w:ascii="宋体" w:hAnsi="宋体"/>
          <w:b/>
          <w:color w:val="000000" w:themeColor="text1"/>
          <w:sz w:val="30"/>
          <w:szCs w:val="30"/>
          <w:highlight w:val="none"/>
          <w:lang w:val="en-US" w:eastAsia="zh-CN"/>
          <w14:textFill>
            <w14:solidFill>
              <w14:schemeClr w14:val="tx1"/>
            </w14:solidFill>
          </w14:textFill>
        </w:rPr>
        <w:t>其他资料</w:t>
      </w:r>
    </w:p>
    <w:p w14:paraId="04A31500">
      <w:pPr>
        <w:spacing w:after="120"/>
        <w:jc w:val="center"/>
        <w:rPr>
          <w:rFonts w:ascii="宋体" w:hAnsi="宋体"/>
          <w:b/>
          <w:bCs/>
          <w:color w:val="000000" w:themeColor="text1"/>
          <w:highlight w:val="none"/>
          <w14:textFill>
            <w14:solidFill>
              <w14:schemeClr w14:val="tx1"/>
            </w14:solidFill>
          </w14:textFill>
        </w:rPr>
      </w:pPr>
      <w:r>
        <w:rPr>
          <w:rFonts w:hint="eastAsia" w:ascii="宋体" w:hAnsi="宋体"/>
          <w:b/>
          <w:color w:val="000000" w:themeColor="text1"/>
          <w:sz w:val="30"/>
          <w:szCs w:val="30"/>
          <w:highlight w:val="none"/>
          <w:lang w:val="en-US" w:eastAsia="zh-CN"/>
          <w14:textFill>
            <w14:solidFill>
              <w14:schemeClr w14:val="tx1"/>
            </w14:solidFill>
          </w14:textFill>
        </w:rPr>
        <w:t>1</w:t>
      </w:r>
      <w:r>
        <w:rPr>
          <w:rFonts w:hint="eastAsia" w:ascii="宋体" w:hAnsi="宋体"/>
          <w:b/>
          <w:color w:val="000000" w:themeColor="text1"/>
          <w:sz w:val="30"/>
          <w:szCs w:val="30"/>
          <w:highlight w:val="none"/>
          <w14:textFill>
            <w14:solidFill>
              <w14:schemeClr w14:val="tx1"/>
            </w14:solidFill>
          </w14:textFill>
        </w:rPr>
        <w:t>、确保工程质量不非法分包不违法转包承诺书</w:t>
      </w:r>
      <w:bookmarkEnd w:id="257"/>
      <w:bookmarkEnd w:id="258"/>
      <w:bookmarkEnd w:id="259"/>
      <w:bookmarkEnd w:id="260"/>
      <w:bookmarkEnd w:id="261"/>
    </w:p>
    <w:p w14:paraId="693EF68C">
      <w:pPr>
        <w:jc w:val="center"/>
        <w:rPr>
          <w:rFonts w:ascii="宋体"/>
          <w:b/>
          <w:bCs/>
          <w:color w:val="000000" w:themeColor="text1"/>
          <w:sz w:val="32"/>
          <w:szCs w:val="32"/>
          <w:highlight w:val="none"/>
          <w14:textFill>
            <w14:solidFill>
              <w14:schemeClr w14:val="tx1"/>
            </w14:solidFill>
          </w14:textFill>
        </w:rPr>
      </w:pPr>
    </w:p>
    <w:p w14:paraId="65A06D6D">
      <w:pPr>
        <w:spacing w:line="360" w:lineRule="auto"/>
        <w:rPr>
          <w:rFonts w:ascii="宋体" w:cs="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致：南通交通公共</w:t>
      </w:r>
      <w:bookmarkStart w:id="265" w:name="OLE_LINK1"/>
      <w:r>
        <w:rPr>
          <w:rFonts w:hint="eastAsia" w:ascii="宋体" w:cs="宋体"/>
          <w:color w:val="000000" w:themeColor="text1"/>
          <w:sz w:val="24"/>
          <w:highlight w:val="none"/>
          <w14:textFill>
            <w14:solidFill>
              <w14:schemeClr w14:val="tx1"/>
            </w14:solidFill>
          </w14:textFill>
        </w:rPr>
        <w:t>事业</w:t>
      </w:r>
      <w:bookmarkEnd w:id="265"/>
      <w:r>
        <w:rPr>
          <w:rFonts w:hint="eastAsia" w:ascii="宋体" w:cs="宋体"/>
          <w:color w:val="000000" w:themeColor="text1"/>
          <w:sz w:val="24"/>
          <w:highlight w:val="none"/>
          <w14:textFill>
            <w14:solidFill>
              <w14:schemeClr w14:val="tx1"/>
            </w14:solidFill>
          </w14:textFill>
        </w:rPr>
        <w:t>发展中心</w:t>
      </w:r>
    </w:p>
    <w:p w14:paraId="2FCC4F2E">
      <w:pPr>
        <w:spacing w:line="360" w:lineRule="auto"/>
        <w:rPr>
          <w:rFonts w:ascii="Arial" w:hAnsi="Arial" w:cs="Arial"/>
          <w:b/>
          <w:bCs/>
          <w:color w:val="000000" w:themeColor="text1"/>
          <w:sz w:val="24"/>
          <w:highlight w:val="none"/>
          <w:u w:val="single"/>
          <w14:textFill>
            <w14:solidFill>
              <w14:schemeClr w14:val="tx1"/>
            </w14:solidFill>
          </w14:textFill>
        </w:rPr>
      </w:pPr>
    </w:p>
    <w:p w14:paraId="08754EE0">
      <w:pPr>
        <w:spacing w:line="360" w:lineRule="auto"/>
        <w:ind w:firstLine="480" w:firstLineChars="200"/>
        <w:rPr>
          <w:rFonts w:ascii="宋体"/>
          <w:color w:val="000000" w:themeColor="text1"/>
          <w:sz w:val="24"/>
          <w:highlight w:val="none"/>
          <w14:textFill>
            <w14:solidFill>
              <w14:schemeClr w14:val="tx1"/>
            </w14:solidFill>
          </w14:textFill>
        </w:rPr>
      </w:pPr>
      <w:r>
        <w:rPr>
          <w:rFonts w:hint="eastAsia" w:ascii="Arial" w:hAnsi="Arial" w:cs="宋体"/>
          <w:color w:val="000000" w:themeColor="text1"/>
          <w:sz w:val="24"/>
          <w:highlight w:val="none"/>
          <w14:textFill>
            <w14:solidFill>
              <w14:schemeClr w14:val="tx1"/>
            </w14:solidFill>
          </w14:textFill>
        </w:rPr>
        <w:t>我单位在</w:t>
      </w:r>
      <w:r>
        <w:rPr>
          <w:rFonts w:hint="eastAsia" w:ascii="Arial" w:hAnsi="Arial" w:cs="Arial"/>
          <w:color w:val="000000" w:themeColor="text1"/>
          <w:sz w:val="24"/>
          <w:highlight w:val="none"/>
          <w:u w:val="single"/>
          <w14:textFill>
            <w14:solidFill>
              <w14:schemeClr w14:val="tx1"/>
            </w14:solidFill>
          </w14:textFill>
        </w:rPr>
        <w:t xml:space="preserve">                                     </w:t>
      </w:r>
      <w:r>
        <w:rPr>
          <w:rFonts w:hint="eastAsia" w:ascii="Arial" w:hAnsi="Arial" w:cs="宋体"/>
          <w:color w:val="000000" w:themeColor="text1"/>
          <w:sz w:val="24"/>
          <w:highlight w:val="none"/>
          <w14:textFill>
            <w14:solidFill>
              <w14:schemeClr w14:val="tx1"/>
            </w14:solidFill>
          </w14:textFill>
        </w:rPr>
        <w:t>工程招标中若有幸中标，在这项工程实施过程中，我们除响应招标文件的</w:t>
      </w:r>
      <w:r>
        <w:rPr>
          <w:rFonts w:hint="eastAsia" w:ascii="宋体" w:cs="宋体"/>
          <w:color w:val="000000" w:themeColor="text1"/>
          <w:sz w:val="24"/>
          <w:highlight w:val="none"/>
          <w14:textFill>
            <w14:solidFill>
              <w14:schemeClr w14:val="tx1"/>
            </w14:solidFill>
          </w14:textFill>
        </w:rPr>
        <w:t>所有条款，认真履行合同规定的各项义务，并郑重承诺：</w:t>
      </w:r>
    </w:p>
    <w:p w14:paraId="19AE708D">
      <w:pPr>
        <w:spacing w:line="360" w:lineRule="auto"/>
        <w:ind w:firstLine="420"/>
        <w:rPr>
          <w:rFonts w:ascii="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在此项工程施工过程中，我单位一定科学计划、精心组织，确保工期和质量，并保证不非法分包、不违法转包中标工程，并随时接受业主及其代表监督。在工程实施阶段，我单位保证对本工程不进行非法分包。若因特殊原因确需调整，必须报经业主及其代表批准同意，否则，应视为我单位非法分包行为。</w:t>
      </w:r>
    </w:p>
    <w:p w14:paraId="5913BC0D">
      <w:pPr>
        <w:spacing w:line="360" w:lineRule="auto"/>
        <w:ind w:firstLine="420"/>
        <w:rPr>
          <w:rFonts w:ascii="宋体"/>
          <w:color w:val="000000" w:themeColor="text1"/>
          <w:sz w:val="24"/>
          <w:highlight w:val="none"/>
          <w14:textFill>
            <w14:solidFill>
              <w14:schemeClr w14:val="tx1"/>
            </w14:solidFill>
          </w14:textFill>
        </w:rPr>
      </w:pPr>
      <w:r>
        <w:rPr>
          <w:rFonts w:hint="eastAsia" w:ascii="宋体" w:cs="宋体"/>
          <w:color w:val="000000" w:themeColor="text1"/>
          <w:sz w:val="24"/>
          <w:highlight w:val="none"/>
          <w14:textFill>
            <w14:solidFill>
              <w14:schemeClr w14:val="tx1"/>
            </w14:solidFill>
          </w14:textFill>
        </w:rPr>
        <w:t>若我单位在项目实施过程中违背上述承诺，出现非法分包或违法转包等行为，我单位甘愿接受处罚，无条件撤出现场，并放弃二年投标资格。</w:t>
      </w:r>
    </w:p>
    <w:p w14:paraId="39506904">
      <w:pPr>
        <w:spacing w:line="360" w:lineRule="auto"/>
        <w:rPr>
          <w:rFonts w:ascii="宋体"/>
          <w:color w:val="000000" w:themeColor="text1"/>
          <w:sz w:val="24"/>
          <w:highlight w:val="none"/>
          <w14:textFill>
            <w14:solidFill>
              <w14:schemeClr w14:val="tx1"/>
            </w14:solidFill>
          </w14:textFill>
        </w:rPr>
      </w:pPr>
    </w:p>
    <w:p w14:paraId="116E2CDD">
      <w:pPr>
        <w:spacing w:line="360" w:lineRule="auto"/>
        <w:rPr>
          <w:rFonts w:ascii="宋体"/>
          <w:color w:val="000000" w:themeColor="text1"/>
          <w:sz w:val="24"/>
          <w:highlight w:val="none"/>
          <w14:textFill>
            <w14:solidFill>
              <w14:schemeClr w14:val="tx1"/>
            </w14:solidFill>
          </w14:textFill>
        </w:rPr>
      </w:pPr>
    </w:p>
    <w:p w14:paraId="5E7C2D0B">
      <w:pPr>
        <w:snapToGrid w:val="0"/>
        <w:spacing w:line="360" w:lineRule="auto"/>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承诺人：</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（盖单位公章）</w:t>
      </w:r>
      <w:r>
        <w:rPr>
          <w:rFonts w:ascii="宋体" w:hAnsi="宋体" w:cs="宋体"/>
          <w:color w:val="000000" w:themeColor="text1"/>
          <w:sz w:val="24"/>
          <w:highlight w:val="none"/>
          <w:u w:val="single"/>
          <w14:textFill>
            <w14:solidFill>
              <w14:schemeClr w14:val="tx1"/>
            </w14:solidFill>
          </w14:textFill>
        </w:rPr>
        <w:t xml:space="preserve">    </w:t>
      </w:r>
    </w:p>
    <w:p w14:paraId="7C7D11B1">
      <w:pPr>
        <w:snapToGrid w:val="0"/>
        <w:spacing w:line="360" w:lineRule="auto"/>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法定代表人或其授权委托人：</w:t>
      </w:r>
      <w:r>
        <w:rPr>
          <w:rFonts w:ascii="宋体" w:hAnsi="宋体" w:cs="宋体"/>
          <w:color w:val="000000" w:themeColor="text1"/>
          <w:sz w:val="24"/>
          <w:highlight w:val="none"/>
          <w:u w:val="single"/>
          <w14:textFill>
            <w14:solidFill>
              <w14:schemeClr w14:val="tx1"/>
            </w14:solidFill>
          </w14:textFill>
        </w:rPr>
        <w:t xml:space="preserve">   </w:t>
      </w:r>
      <w:r>
        <w:rPr>
          <w:rFonts w:hint="eastAsia" w:ascii="Arial" w:hAnsi="Arial" w:cs="宋体"/>
          <w:color w:val="000000" w:themeColor="text1"/>
          <w:sz w:val="24"/>
          <w:highlight w:val="none"/>
          <w:u w:val="single"/>
          <w14:textFill>
            <w14:solidFill>
              <w14:schemeClr w14:val="tx1"/>
            </w14:solidFill>
          </w14:textFill>
        </w:rPr>
        <w:t>（亲笔签名或签名章）</w:t>
      </w:r>
      <w:r>
        <w:rPr>
          <w:rFonts w:ascii="宋体" w:hAnsi="宋体" w:cs="宋体"/>
          <w:color w:val="000000" w:themeColor="text1"/>
          <w:sz w:val="24"/>
          <w:highlight w:val="none"/>
          <w:u w:val="single"/>
          <w14:textFill>
            <w14:solidFill>
              <w14:schemeClr w14:val="tx1"/>
            </w14:solidFill>
          </w14:textFill>
        </w:rPr>
        <w:t xml:space="preserve">  </w:t>
      </w:r>
    </w:p>
    <w:p w14:paraId="635317D1">
      <w:pPr>
        <w:keepNext/>
        <w:keepLines/>
        <w:spacing w:before="240" w:after="120" w:afterLines="50" w:line="400" w:lineRule="exact"/>
        <w:ind w:firstLine="480" w:firstLineChars="200"/>
        <w:jc w:val="right"/>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5B723400">
      <w:pPr>
        <w:spacing w:line="360" w:lineRule="auto"/>
        <w:jc w:val="center"/>
        <w:rPr>
          <w:rFonts w:ascii="宋体" w:hAnsi="宋体"/>
          <w:b/>
          <w:bCs/>
          <w:color w:val="000000" w:themeColor="text1"/>
          <w:sz w:val="30"/>
          <w:highlight w:val="none"/>
          <w14:textFill>
            <w14:solidFill>
              <w14:schemeClr w14:val="tx1"/>
            </w14:solidFill>
          </w14:textFill>
        </w:rPr>
      </w:pPr>
      <w:r>
        <w:rPr>
          <w:rFonts w:ascii="宋体" w:hAnsi="宋体"/>
          <w:b/>
          <w:color w:val="000000" w:themeColor="text1"/>
          <w:sz w:val="30"/>
          <w:szCs w:val="30"/>
          <w:highlight w:val="none"/>
          <w14:textFill>
            <w14:solidFill>
              <w14:schemeClr w14:val="tx1"/>
            </w14:solidFill>
          </w14:textFill>
        </w:rPr>
        <w:br w:type="page"/>
      </w:r>
      <w:r>
        <w:rPr>
          <w:rFonts w:hint="eastAsia" w:ascii="宋体" w:hAnsi="宋体"/>
          <w:b/>
          <w:color w:val="000000" w:themeColor="text1"/>
          <w:sz w:val="30"/>
          <w:szCs w:val="30"/>
          <w:highlight w:val="none"/>
          <w:lang w:val="en-US" w:eastAsia="zh-CN"/>
          <w14:textFill>
            <w14:solidFill>
              <w14:schemeClr w14:val="tx1"/>
            </w14:solidFill>
          </w14:textFill>
        </w:rPr>
        <w:t>2</w:t>
      </w:r>
      <w:r>
        <w:rPr>
          <w:rFonts w:hint="eastAsia" w:ascii="宋体" w:hAnsi="宋体"/>
          <w:b/>
          <w:bCs/>
          <w:color w:val="000000" w:themeColor="text1"/>
          <w:sz w:val="30"/>
          <w:highlight w:val="none"/>
          <w14:textFill>
            <w14:solidFill>
              <w14:schemeClr w14:val="tx1"/>
            </w14:solidFill>
          </w14:textFill>
        </w:rPr>
        <w:t>、拟投入项目经理任职</w:t>
      </w:r>
      <w:r>
        <w:rPr>
          <w:rFonts w:ascii="宋体" w:hAnsi="宋体"/>
          <w:b/>
          <w:bCs/>
          <w:color w:val="000000" w:themeColor="text1"/>
          <w:sz w:val="30"/>
          <w:highlight w:val="none"/>
          <w14:textFill>
            <w14:solidFill>
              <w14:schemeClr w14:val="tx1"/>
            </w14:solidFill>
          </w14:textFill>
        </w:rPr>
        <w:t>承诺</w:t>
      </w:r>
      <w:r>
        <w:rPr>
          <w:rFonts w:hint="eastAsia" w:ascii="宋体" w:hAnsi="宋体"/>
          <w:b/>
          <w:bCs/>
          <w:color w:val="000000" w:themeColor="text1"/>
          <w:sz w:val="30"/>
          <w:highlight w:val="none"/>
          <w14:textFill>
            <w14:solidFill>
              <w14:schemeClr w14:val="tx1"/>
            </w14:solidFill>
          </w14:textFill>
        </w:rPr>
        <w:t>函</w:t>
      </w:r>
    </w:p>
    <w:p w14:paraId="7F0CC722">
      <w:pPr>
        <w:spacing w:line="360" w:lineRule="auto"/>
        <w:jc w:val="left"/>
        <w:rPr>
          <w:color w:val="000000" w:themeColor="text1"/>
          <w:highlight w:val="none"/>
          <w14:textFill>
            <w14:solidFill>
              <w14:schemeClr w14:val="tx1"/>
            </w14:solidFill>
          </w14:textFill>
        </w:rPr>
      </w:pPr>
    </w:p>
    <w:p w14:paraId="14B64A4B">
      <w:pPr>
        <w:spacing w:line="360" w:lineRule="auto"/>
        <w:jc w:val="left"/>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南通市交通公共事业发展中心</w:t>
      </w:r>
      <w:r>
        <w:rPr>
          <w:rFonts w:hint="eastAsia" w:ascii="宋体"/>
          <w:color w:val="000000" w:themeColor="text1"/>
          <w:sz w:val="24"/>
          <w:highlight w:val="none"/>
          <w14:textFill>
            <w14:solidFill>
              <w14:schemeClr w14:val="tx1"/>
            </w14:solidFill>
          </w14:textFill>
        </w:rPr>
        <w:t>：</w:t>
      </w:r>
    </w:p>
    <w:p w14:paraId="6DD20176">
      <w:pPr>
        <w:spacing w:line="360" w:lineRule="auto"/>
        <w:ind w:firstLine="42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我单位自愿参加</w:t>
      </w:r>
      <w:r>
        <w:rPr>
          <w:rFonts w:ascii="Arial" w:hAnsi="Arial" w:cs="Arial"/>
          <w:b/>
          <w:color w:val="000000" w:themeColor="text1"/>
          <w:sz w:val="24"/>
          <w:highlight w:val="none"/>
          <w:u w:val="single"/>
          <w14:textFill>
            <w14:solidFill>
              <w14:schemeClr w14:val="tx1"/>
            </w14:solidFill>
          </w14:textFill>
        </w:rPr>
        <w:t xml:space="preserve">              </w:t>
      </w:r>
      <w:r>
        <w:rPr>
          <w:rFonts w:hint="eastAsia" w:ascii="Arial" w:hAnsi="Arial" w:cs="Arial"/>
          <w:b/>
          <w:color w:val="000000" w:themeColor="text1"/>
          <w:sz w:val="24"/>
          <w:highlight w:val="none"/>
          <w14:textFill>
            <w14:solidFill>
              <w14:schemeClr w14:val="tx1"/>
            </w14:solidFill>
          </w14:textFill>
        </w:rPr>
        <w:t>项目</w:t>
      </w:r>
      <w:r>
        <w:rPr>
          <w:rFonts w:hint="eastAsia" w:ascii="宋体"/>
          <w:color w:val="000000" w:themeColor="text1"/>
          <w:sz w:val="24"/>
          <w:highlight w:val="none"/>
          <w14:textFill>
            <w14:solidFill>
              <w14:schemeClr w14:val="tx1"/>
            </w14:solidFill>
          </w14:textFill>
        </w:rPr>
        <w:t>的投标活动，并郑重承诺：</w:t>
      </w:r>
    </w:p>
    <w:p w14:paraId="173B3909">
      <w:pPr>
        <w:spacing w:line="360" w:lineRule="auto"/>
        <w:ind w:firstLine="42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若我单位中标本项目，拟投入本项目的项目经理在中标后均能立即赴本项目任职,且不在本项目以外的项目兼任职务。</w:t>
      </w:r>
    </w:p>
    <w:p w14:paraId="2104C397">
      <w:pPr>
        <w:spacing w:line="360" w:lineRule="auto"/>
        <w:ind w:firstLine="42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我方如有违背承诺，愿意承担相关违约责任。</w:t>
      </w:r>
    </w:p>
    <w:p w14:paraId="5A0A15BE">
      <w:pPr>
        <w:spacing w:line="720" w:lineRule="auto"/>
        <w:ind w:firstLine="3785" w:firstLineChars="1352"/>
        <w:rPr>
          <w:rFonts w:ascii="宋体" w:hAnsi="宋体"/>
          <w:color w:val="000000" w:themeColor="text1"/>
          <w:sz w:val="28"/>
          <w:szCs w:val="28"/>
          <w:highlight w:val="none"/>
          <w14:textFill>
            <w14:solidFill>
              <w14:schemeClr w14:val="tx1"/>
            </w14:solidFill>
          </w14:textFill>
        </w:rPr>
      </w:pPr>
    </w:p>
    <w:p w14:paraId="7C11CC80">
      <w:pPr>
        <w:spacing w:line="720" w:lineRule="auto"/>
        <w:ind w:firstLine="3785" w:firstLineChars="1352"/>
        <w:rPr>
          <w:rFonts w:ascii="宋体" w:hAnsi="宋体"/>
          <w:color w:val="000000" w:themeColor="text1"/>
          <w:sz w:val="28"/>
          <w:szCs w:val="28"/>
          <w:highlight w:val="none"/>
          <w14:textFill>
            <w14:solidFill>
              <w14:schemeClr w14:val="tx1"/>
            </w14:solidFill>
          </w14:textFill>
        </w:rPr>
      </w:pPr>
    </w:p>
    <w:p w14:paraId="3497E057">
      <w:pPr>
        <w:spacing w:line="720" w:lineRule="auto"/>
        <w:ind w:firstLine="3785" w:firstLineChars="1352"/>
        <w:rPr>
          <w:rFonts w:ascii="宋体" w:hAnsi="宋体"/>
          <w:color w:val="000000" w:themeColor="text1"/>
          <w:sz w:val="28"/>
          <w:szCs w:val="28"/>
          <w:highlight w:val="none"/>
          <w14:textFill>
            <w14:solidFill>
              <w14:schemeClr w14:val="tx1"/>
            </w14:solidFill>
          </w14:textFill>
        </w:rPr>
      </w:pPr>
    </w:p>
    <w:p w14:paraId="3EA8C3A8">
      <w:pPr>
        <w:snapToGrid w:val="0"/>
        <w:spacing w:line="360" w:lineRule="auto"/>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承诺人：</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（盖单位公章）</w:t>
      </w:r>
      <w:r>
        <w:rPr>
          <w:rFonts w:ascii="宋体" w:hAnsi="宋体" w:cs="宋体"/>
          <w:color w:val="000000" w:themeColor="text1"/>
          <w:sz w:val="24"/>
          <w:highlight w:val="none"/>
          <w:u w:val="single"/>
          <w14:textFill>
            <w14:solidFill>
              <w14:schemeClr w14:val="tx1"/>
            </w14:solidFill>
          </w14:textFill>
        </w:rPr>
        <w:t xml:space="preserve">    </w:t>
      </w:r>
    </w:p>
    <w:p w14:paraId="358264FC">
      <w:pPr>
        <w:snapToGrid w:val="0"/>
        <w:spacing w:line="360" w:lineRule="auto"/>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法定代表人或其授权委托人：</w:t>
      </w:r>
      <w:r>
        <w:rPr>
          <w:rFonts w:ascii="宋体" w:hAnsi="宋体" w:cs="宋体"/>
          <w:color w:val="000000" w:themeColor="text1"/>
          <w:sz w:val="24"/>
          <w:highlight w:val="none"/>
          <w:u w:val="single"/>
          <w14:textFill>
            <w14:solidFill>
              <w14:schemeClr w14:val="tx1"/>
            </w14:solidFill>
          </w14:textFill>
        </w:rPr>
        <w:t xml:space="preserve">   </w:t>
      </w:r>
      <w:r>
        <w:rPr>
          <w:rFonts w:hint="eastAsia" w:ascii="Arial" w:hAnsi="Arial" w:cs="宋体"/>
          <w:color w:val="000000" w:themeColor="text1"/>
          <w:sz w:val="24"/>
          <w:highlight w:val="none"/>
          <w:u w:val="single"/>
          <w14:textFill>
            <w14:solidFill>
              <w14:schemeClr w14:val="tx1"/>
            </w14:solidFill>
          </w14:textFill>
        </w:rPr>
        <w:t>（亲笔签名或签名章）</w:t>
      </w:r>
      <w:r>
        <w:rPr>
          <w:rFonts w:ascii="宋体" w:hAnsi="宋体" w:cs="宋体"/>
          <w:color w:val="000000" w:themeColor="text1"/>
          <w:sz w:val="24"/>
          <w:highlight w:val="none"/>
          <w:u w:val="single"/>
          <w14:textFill>
            <w14:solidFill>
              <w14:schemeClr w14:val="tx1"/>
            </w14:solidFill>
          </w14:textFill>
        </w:rPr>
        <w:t xml:space="preserve">  </w:t>
      </w:r>
    </w:p>
    <w:p w14:paraId="11876348">
      <w:pPr>
        <w:keepNext/>
        <w:keepLines/>
        <w:spacing w:before="240" w:after="120" w:afterLines="50" w:line="400" w:lineRule="exact"/>
        <w:ind w:firstLine="480" w:firstLineChars="200"/>
        <w:jc w:val="right"/>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52E708A3">
      <w:pPr>
        <w:spacing w:line="360" w:lineRule="auto"/>
        <w:rPr>
          <w:rFonts w:ascii="宋体" w:hAnsi="宋体"/>
          <w:color w:val="000000" w:themeColor="text1"/>
          <w:sz w:val="24"/>
          <w:highlight w:val="none"/>
          <w14:textFill>
            <w14:solidFill>
              <w14:schemeClr w14:val="tx1"/>
            </w14:solidFill>
          </w14:textFill>
        </w:rPr>
      </w:pPr>
      <w:r>
        <w:rPr>
          <w:rFonts w:eastAsia="黑体"/>
          <w:color w:val="000000" w:themeColor="text1"/>
          <w:sz w:val="44"/>
          <w:szCs w:val="44"/>
          <w:highlight w:val="none"/>
          <w14:textFill>
            <w14:solidFill>
              <w14:schemeClr w14:val="tx1"/>
            </w14:solidFill>
          </w14:textFill>
        </w:rPr>
        <w:br w:type="page"/>
      </w:r>
    </w:p>
    <w:p w14:paraId="0BEA0690">
      <w:pPr>
        <w:pStyle w:val="23"/>
        <w:spacing w:before="120" w:beforeLines="50" w:after="120" w:afterLines="50"/>
        <w:rPr>
          <w:rFonts w:ascii="宋体" w:hAnsi="宋体"/>
          <w:b/>
          <w:color w:val="000000" w:themeColor="text1"/>
          <w:sz w:val="30"/>
          <w:szCs w:val="30"/>
          <w:highlight w:val="none"/>
          <w14:textFill>
            <w14:solidFill>
              <w14:schemeClr w14:val="tx1"/>
            </w14:solidFill>
          </w14:textFill>
        </w:rPr>
      </w:pPr>
      <w:r>
        <w:rPr>
          <w:rFonts w:hint="default" w:ascii="宋体" w:hAnsi="宋体"/>
          <w:b/>
          <w:color w:val="000000" w:themeColor="text1"/>
          <w:sz w:val="30"/>
          <w:szCs w:val="30"/>
          <w:highlight w:val="none"/>
          <w:lang w:val="en-US" w:eastAsia="zh-CN"/>
          <w14:textFill>
            <w14:solidFill>
              <w14:schemeClr w14:val="tx1"/>
            </w14:solidFill>
          </w14:textFill>
        </w:rPr>
        <w:t>3</w:t>
      </w:r>
      <w:r>
        <w:rPr>
          <w:rFonts w:hint="default" w:ascii="宋体" w:hAnsi="宋体"/>
          <w:b/>
          <w:color w:val="000000" w:themeColor="text1"/>
          <w:sz w:val="30"/>
          <w:szCs w:val="30"/>
          <w:highlight w:val="none"/>
          <w14:textFill>
            <w14:solidFill>
              <w14:schemeClr w14:val="tx1"/>
            </w14:solidFill>
          </w14:textFill>
        </w:rPr>
        <w:t>、</w:t>
      </w:r>
      <w:r>
        <w:rPr>
          <w:rFonts w:hint="default" w:ascii="宋体" w:hAnsi="宋体"/>
          <w:color w:val="000000" w:themeColor="text1"/>
          <w:sz w:val="30"/>
          <w:szCs w:val="30"/>
          <w:highlight w:val="none"/>
          <w14:textFill>
            <w14:solidFill>
              <w14:schemeClr w14:val="tx1"/>
            </w14:solidFill>
          </w14:textFill>
        </w:rPr>
        <w:t>投标人认为有必要提交给评标委员会的其他材料</w:t>
      </w:r>
      <w:r>
        <w:rPr>
          <w:rFonts w:hint="default" w:ascii="宋体" w:hAnsi="宋体"/>
          <w:b/>
          <w:color w:val="000000" w:themeColor="text1"/>
          <w:sz w:val="30"/>
          <w:szCs w:val="30"/>
          <w:highlight w:val="none"/>
          <w14:textFill>
            <w14:solidFill>
              <w14:schemeClr w14:val="tx1"/>
            </w14:solidFill>
          </w14:textFill>
        </w:rPr>
        <w:t>（如有）</w:t>
      </w:r>
    </w:p>
    <w:p w14:paraId="11028867">
      <w:pPr>
        <w:spacing w:line="400" w:lineRule="exact"/>
        <w:jc w:val="center"/>
        <w:rPr>
          <w:rFonts w:ascii="宋体" w:hAnsi="宋体"/>
          <w:b/>
          <w:bCs/>
          <w:color w:val="000000" w:themeColor="text1"/>
          <w:sz w:val="32"/>
          <w:szCs w:val="20"/>
          <w:highlight w:val="none"/>
          <w14:textFill>
            <w14:solidFill>
              <w14:schemeClr w14:val="tx1"/>
            </w14:solidFill>
          </w14:textFill>
        </w:rPr>
      </w:pPr>
    </w:p>
    <w:bookmarkEnd w:id="262"/>
    <w:bookmarkEnd w:id="263"/>
    <w:bookmarkEnd w:id="264"/>
    <w:p w14:paraId="5286F21A">
      <w:pPr>
        <w:jc w:val="center"/>
        <w:rPr>
          <w:color w:val="000000" w:themeColor="text1"/>
          <w:sz w:val="48"/>
          <w:szCs w:val="48"/>
          <w:highlight w:val="none"/>
          <w14:textFill>
            <w14:solidFill>
              <w14:schemeClr w14:val="tx1"/>
            </w14:solidFill>
          </w14:textFill>
        </w:rPr>
      </w:pPr>
    </w:p>
    <w:p w14:paraId="5029E4D6">
      <w:pPr>
        <w:jc w:val="center"/>
        <w:rPr>
          <w:color w:val="000000" w:themeColor="text1"/>
          <w:sz w:val="48"/>
          <w:szCs w:val="48"/>
          <w:highlight w:val="none"/>
          <w14:textFill>
            <w14:solidFill>
              <w14:schemeClr w14:val="tx1"/>
            </w14:solidFill>
          </w14:textFill>
        </w:rPr>
      </w:pPr>
    </w:p>
    <w:p w14:paraId="37BD44E0">
      <w:pPr>
        <w:jc w:val="center"/>
        <w:rPr>
          <w:color w:val="000000" w:themeColor="text1"/>
          <w:sz w:val="48"/>
          <w:szCs w:val="48"/>
          <w:highlight w:val="none"/>
          <w14:textFill>
            <w14:solidFill>
              <w14:schemeClr w14:val="tx1"/>
            </w14:solidFill>
          </w14:textFill>
        </w:rPr>
      </w:pPr>
    </w:p>
    <w:p w14:paraId="014FE1B5">
      <w:pPr>
        <w:jc w:val="center"/>
        <w:rPr>
          <w:color w:val="000000" w:themeColor="text1"/>
          <w:sz w:val="48"/>
          <w:szCs w:val="48"/>
          <w:highlight w:val="none"/>
          <w14:textFill>
            <w14:solidFill>
              <w14:schemeClr w14:val="tx1"/>
            </w14:solidFill>
          </w14:textFill>
        </w:rPr>
      </w:pPr>
    </w:p>
    <w:p w14:paraId="7642024C">
      <w:pPr>
        <w:jc w:val="center"/>
        <w:rPr>
          <w:color w:val="000000" w:themeColor="text1"/>
          <w:sz w:val="48"/>
          <w:szCs w:val="48"/>
          <w:highlight w:val="none"/>
          <w14:textFill>
            <w14:solidFill>
              <w14:schemeClr w14:val="tx1"/>
            </w14:solidFill>
          </w14:textFill>
        </w:rPr>
      </w:pPr>
    </w:p>
    <w:p w14:paraId="0A9CB5BE">
      <w:pPr>
        <w:jc w:val="center"/>
        <w:rPr>
          <w:color w:val="000000" w:themeColor="text1"/>
          <w:sz w:val="48"/>
          <w:szCs w:val="48"/>
          <w:highlight w:val="none"/>
          <w14:textFill>
            <w14:solidFill>
              <w14:schemeClr w14:val="tx1"/>
            </w14:solidFill>
          </w14:textFill>
        </w:rPr>
      </w:pPr>
    </w:p>
    <w:p w14:paraId="39DEAADA">
      <w:pPr>
        <w:jc w:val="center"/>
        <w:rPr>
          <w:color w:val="000000" w:themeColor="text1"/>
          <w:sz w:val="48"/>
          <w:szCs w:val="48"/>
          <w:highlight w:val="none"/>
          <w14:textFill>
            <w14:solidFill>
              <w14:schemeClr w14:val="tx1"/>
            </w14:solidFill>
          </w14:textFill>
        </w:rPr>
      </w:pPr>
    </w:p>
    <w:p w14:paraId="2BD9E9E7">
      <w:pPr>
        <w:jc w:val="center"/>
        <w:rPr>
          <w:color w:val="000000" w:themeColor="text1"/>
          <w:sz w:val="48"/>
          <w:szCs w:val="48"/>
          <w:highlight w:val="none"/>
          <w14:textFill>
            <w14:solidFill>
              <w14:schemeClr w14:val="tx1"/>
            </w14:solidFill>
          </w14:textFill>
        </w:rPr>
      </w:pPr>
    </w:p>
    <w:p w14:paraId="7E9FEB12">
      <w:pPr>
        <w:jc w:val="center"/>
        <w:rPr>
          <w:color w:val="000000" w:themeColor="text1"/>
          <w:sz w:val="48"/>
          <w:szCs w:val="48"/>
          <w:highlight w:val="none"/>
          <w14:textFill>
            <w14:solidFill>
              <w14:schemeClr w14:val="tx1"/>
            </w14:solidFill>
          </w14:textFill>
        </w:rPr>
      </w:pPr>
    </w:p>
    <w:p w14:paraId="52188194">
      <w:pPr>
        <w:jc w:val="center"/>
        <w:rPr>
          <w:color w:val="000000" w:themeColor="text1"/>
          <w:sz w:val="48"/>
          <w:szCs w:val="48"/>
          <w:highlight w:val="none"/>
          <w14:textFill>
            <w14:solidFill>
              <w14:schemeClr w14:val="tx1"/>
            </w14:solidFill>
          </w14:textFill>
        </w:rPr>
      </w:pPr>
    </w:p>
    <w:p w14:paraId="72A33BF2">
      <w:pPr>
        <w:jc w:val="center"/>
        <w:rPr>
          <w:color w:val="000000" w:themeColor="text1"/>
          <w:sz w:val="48"/>
          <w:szCs w:val="48"/>
          <w:highlight w:val="none"/>
          <w14:textFill>
            <w14:solidFill>
              <w14:schemeClr w14:val="tx1"/>
            </w14:solidFill>
          </w14:textFill>
        </w:rPr>
      </w:pPr>
    </w:p>
    <w:p w14:paraId="3B194483">
      <w:pPr>
        <w:jc w:val="center"/>
        <w:rPr>
          <w:color w:val="000000" w:themeColor="text1"/>
          <w:sz w:val="48"/>
          <w:szCs w:val="48"/>
          <w:highlight w:val="none"/>
          <w14:textFill>
            <w14:solidFill>
              <w14:schemeClr w14:val="tx1"/>
            </w14:solidFill>
          </w14:textFill>
        </w:rPr>
      </w:pPr>
    </w:p>
    <w:p w14:paraId="12D9077F">
      <w:pPr>
        <w:jc w:val="center"/>
        <w:rPr>
          <w:color w:val="000000" w:themeColor="text1"/>
          <w:sz w:val="48"/>
          <w:szCs w:val="48"/>
          <w:highlight w:val="none"/>
          <w14:textFill>
            <w14:solidFill>
              <w14:schemeClr w14:val="tx1"/>
            </w14:solidFill>
          </w14:textFill>
        </w:rPr>
      </w:pPr>
    </w:p>
    <w:p w14:paraId="7B010F00">
      <w:pPr>
        <w:jc w:val="center"/>
        <w:rPr>
          <w:color w:val="000000" w:themeColor="text1"/>
          <w:sz w:val="48"/>
          <w:szCs w:val="48"/>
          <w:highlight w:val="none"/>
          <w14:textFill>
            <w14:solidFill>
              <w14:schemeClr w14:val="tx1"/>
            </w14:solidFill>
          </w14:textFill>
        </w:rPr>
      </w:pPr>
    </w:p>
    <w:p w14:paraId="3ABE2D1F">
      <w:pPr>
        <w:jc w:val="center"/>
        <w:rPr>
          <w:color w:val="000000" w:themeColor="text1"/>
          <w:sz w:val="48"/>
          <w:szCs w:val="48"/>
          <w:highlight w:val="none"/>
          <w14:textFill>
            <w14:solidFill>
              <w14:schemeClr w14:val="tx1"/>
            </w14:solidFill>
          </w14:textFill>
        </w:rPr>
      </w:pPr>
    </w:p>
    <w:p w14:paraId="476FD315">
      <w:pPr>
        <w:jc w:val="center"/>
        <w:rPr>
          <w:color w:val="000000" w:themeColor="text1"/>
          <w:sz w:val="48"/>
          <w:szCs w:val="48"/>
          <w:highlight w:val="none"/>
          <w14:textFill>
            <w14:solidFill>
              <w14:schemeClr w14:val="tx1"/>
            </w14:solidFill>
          </w14:textFill>
        </w:rPr>
      </w:pPr>
    </w:p>
    <w:p w14:paraId="180B57F7">
      <w:pPr>
        <w:jc w:val="center"/>
        <w:rPr>
          <w:color w:val="000000" w:themeColor="text1"/>
          <w:sz w:val="48"/>
          <w:szCs w:val="48"/>
          <w:highlight w:val="none"/>
          <w14:textFill>
            <w14:solidFill>
              <w14:schemeClr w14:val="tx1"/>
            </w14:solidFill>
          </w14:textFill>
        </w:rPr>
      </w:pPr>
    </w:p>
    <w:p w14:paraId="34EEC521">
      <w:pPr>
        <w:jc w:val="center"/>
        <w:rPr>
          <w:color w:val="000000" w:themeColor="text1"/>
          <w:sz w:val="48"/>
          <w:szCs w:val="48"/>
          <w:highlight w:val="none"/>
          <w14:textFill>
            <w14:solidFill>
              <w14:schemeClr w14:val="tx1"/>
            </w14:solidFill>
          </w14:textFill>
        </w:rPr>
      </w:pPr>
    </w:p>
    <w:p w14:paraId="4D7445C9">
      <w:pPr>
        <w:jc w:val="center"/>
        <w:rPr>
          <w:color w:val="000000" w:themeColor="text1"/>
          <w:sz w:val="48"/>
          <w:szCs w:val="48"/>
          <w:highlight w:val="none"/>
          <w14:textFill>
            <w14:solidFill>
              <w14:schemeClr w14:val="tx1"/>
            </w14:solidFill>
          </w14:textFill>
        </w:rPr>
      </w:pPr>
    </w:p>
    <w:p w14:paraId="686C8C52">
      <w:pPr>
        <w:jc w:val="center"/>
        <w:rPr>
          <w:color w:val="000000" w:themeColor="text1"/>
          <w:sz w:val="48"/>
          <w:szCs w:val="48"/>
          <w:highlight w:val="none"/>
          <w14:textFill>
            <w14:solidFill>
              <w14:schemeClr w14:val="tx1"/>
            </w14:solidFill>
          </w14:textFill>
        </w:rPr>
      </w:pPr>
    </w:p>
    <w:p w14:paraId="6B56366D">
      <w:pPr>
        <w:jc w:val="center"/>
        <w:rPr>
          <w:color w:val="000000" w:themeColor="text1"/>
          <w:sz w:val="48"/>
          <w:szCs w:val="48"/>
          <w:highlight w:val="none"/>
          <w14:textFill>
            <w14:solidFill>
              <w14:schemeClr w14:val="tx1"/>
            </w14:solidFill>
          </w14:textFill>
        </w:rPr>
      </w:pPr>
    </w:p>
    <w:p w14:paraId="5ADAF07F">
      <w:pPr>
        <w:jc w:val="center"/>
        <w:rPr>
          <w:color w:val="000000" w:themeColor="text1"/>
          <w:sz w:val="48"/>
          <w:szCs w:val="48"/>
          <w:highlight w:val="none"/>
          <w14:textFill>
            <w14:solidFill>
              <w14:schemeClr w14:val="tx1"/>
            </w14:solidFill>
          </w14:textFill>
        </w:rPr>
      </w:pPr>
    </w:p>
    <w:p w14:paraId="72ECCBA6">
      <w:pPr>
        <w:widowControl/>
        <w:jc w:val="left"/>
        <w:rPr>
          <w:rFonts w:cs="宋体"/>
          <w:b/>
          <w:bCs/>
          <w:color w:val="000000" w:themeColor="text1"/>
          <w:sz w:val="32"/>
          <w:szCs w:val="32"/>
          <w:highlight w:val="none"/>
          <w14:textFill>
            <w14:solidFill>
              <w14:schemeClr w14:val="tx1"/>
            </w14:solidFill>
          </w14:textFill>
        </w:rPr>
      </w:pPr>
      <w:bookmarkStart w:id="266" w:name="_Toc20204"/>
      <w:r>
        <w:rPr>
          <w:rFonts w:cs="宋体"/>
          <w:b/>
          <w:bCs/>
          <w:color w:val="000000" w:themeColor="text1"/>
          <w:sz w:val="32"/>
          <w:szCs w:val="32"/>
          <w:highlight w:val="none"/>
          <w14:textFill>
            <w14:solidFill>
              <w14:schemeClr w14:val="tx1"/>
            </w14:solidFill>
          </w14:textFill>
        </w:rPr>
        <w:br w:type="page"/>
      </w:r>
    </w:p>
    <w:p w14:paraId="0ED8ADF5">
      <w:pPr>
        <w:spacing w:line="400" w:lineRule="exact"/>
        <w:outlineLvl w:val="0"/>
        <w:rPr>
          <w:color w:val="000000" w:themeColor="text1"/>
          <w:highlight w:val="none"/>
          <w14:textFill>
            <w14:solidFill>
              <w14:schemeClr w14:val="tx1"/>
            </w14:solidFill>
          </w14:textFill>
        </w:rPr>
      </w:pPr>
      <w:r>
        <w:rPr>
          <w:rFonts w:hint="eastAsia" w:cs="宋体"/>
          <w:b/>
          <w:bCs/>
          <w:color w:val="000000" w:themeColor="text1"/>
          <w:sz w:val="32"/>
          <w:szCs w:val="32"/>
          <w:highlight w:val="none"/>
          <w14:textFill>
            <w14:solidFill>
              <w14:schemeClr w14:val="tx1"/>
            </w14:solidFill>
          </w14:textFill>
        </w:rPr>
        <w:t>第二个信封封面格式</w:t>
      </w:r>
      <w:bookmarkEnd w:id="266"/>
    </w:p>
    <w:p w14:paraId="2C17E109">
      <w:pPr>
        <w:jc w:val="center"/>
        <w:rPr>
          <w:color w:val="000000" w:themeColor="text1"/>
          <w:sz w:val="28"/>
          <w:szCs w:val="28"/>
          <w:highlight w:val="none"/>
          <w14:textFill>
            <w14:solidFill>
              <w14:schemeClr w14:val="tx1"/>
            </w14:solidFill>
          </w14:textFill>
        </w:rPr>
      </w:pPr>
    </w:p>
    <w:p w14:paraId="07520B31">
      <w:pPr>
        <w:jc w:val="center"/>
        <w:rPr>
          <w:color w:val="000000" w:themeColor="text1"/>
          <w:sz w:val="44"/>
          <w:szCs w:val="44"/>
          <w:highlight w:val="none"/>
          <w14:textFill>
            <w14:solidFill>
              <w14:schemeClr w14:val="tx1"/>
            </w14:solidFill>
          </w14:textFill>
        </w:rPr>
      </w:pPr>
      <w:r>
        <w:rPr>
          <w:rFonts w:hint="eastAsia" w:cs="黑体"/>
          <w:color w:val="000000" w:themeColor="text1"/>
          <w:sz w:val="44"/>
          <w:szCs w:val="44"/>
          <w:highlight w:val="none"/>
          <w14:textFill>
            <w14:solidFill>
              <w14:schemeClr w14:val="tx1"/>
            </w14:solidFill>
          </w14:textFill>
        </w:rPr>
        <w:t>彩钢瓦屋顶修缮工程</w:t>
      </w:r>
    </w:p>
    <w:p w14:paraId="540EB6A1">
      <w:pPr>
        <w:rPr>
          <w:color w:val="000000" w:themeColor="text1"/>
          <w:sz w:val="20"/>
          <w:szCs w:val="20"/>
          <w:highlight w:val="none"/>
          <w14:textFill>
            <w14:solidFill>
              <w14:schemeClr w14:val="tx1"/>
            </w14:solidFill>
          </w14:textFill>
        </w:rPr>
      </w:pPr>
    </w:p>
    <w:p w14:paraId="21EC4975">
      <w:pPr>
        <w:rPr>
          <w:color w:val="000000" w:themeColor="text1"/>
          <w:sz w:val="20"/>
          <w:szCs w:val="20"/>
          <w:highlight w:val="none"/>
          <w14:textFill>
            <w14:solidFill>
              <w14:schemeClr w14:val="tx1"/>
            </w14:solidFill>
          </w14:textFill>
        </w:rPr>
      </w:pPr>
    </w:p>
    <w:p w14:paraId="64919206">
      <w:pPr>
        <w:rPr>
          <w:color w:val="000000" w:themeColor="text1"/>
          <w:sz w:val="20"/>
          <w:szCs w:val="20"/>
          <w:highlight w:val="none"/>
          <w14:textFill>
            <w14:solidFill>
              <w14:schemeClr w14:val="tx1"/>
            </w14:solidFill>
          </w14:textFill>
        </w:rPr>
      </w:pPr>
    </w:p>
    <w:p w14:paraId="7D4F86FD">
      <w:pPr>
        <w:jc w:val="center"/>
        <w:rPr>
          <w:color w:val="000000" w:themeColor="text1"/>
          <w:sz w:val="52"/>
          <w:szCs w:val="52"/>
          <w:highlight w:val="none"/>
          <w14:textFill>
            <w14:solidFill>
              <w14:schemeClr w14:val="tx1"/>
            </w14:solidFill>
          </w14:textFill>
        </w:rPr>
      </w:pPr>
    </w:p>
    <w:p w14:paraId="2C279EE9">
      <w:pPr>
        <w:jc w:val="center"/>
        <w:rPr>
          <w:color w:val="000000" w:themeColor="text1"/>
          <w:sz w:val="52"/>
          <w:szCs w:val="52"/>
          <w:highlight w:val="none"/>
          <w14:textFill>
            <w14:solidFill>
              <w14:schemeClr w14:val="tx1"/>
            </w14:solidFill>
          </w14:textFill>
        </w:rPr>
      </w:pPr>
    </w:p>
    <w:p w14:paraId="69E2FE20">
      <w:pPr>
        <w:jc w:val="center"/>
        <w:outlineLvl w:val="0"/>
        <w:rPr>
          <w:color w:val="000000" w:themeColor="text1"/>
          <w:sz w:val="72"/>
          <w:szCs w:val="72"/>
          <w:highlight w:val="none"/>
          <w14:textFill>
            <w14:solidFill>
              <w14:schemeClr w14:val="tx1"/>
            </w14:solidFill>
          </w14:textFill>
        </w:rPr>
      </w:pPr>
      <w:bookmarkStart w:id="267" w:name="_Toc924"/>
      <w:r>
        <w:rPr>
          <w:rFonts w:hint="eastAsia" w:cs="宋体"/>
          <w:color w:val="000000" w:themeColor="text1"/>
          <w:sz w:val="72"/>
          <w:szCs w:val="72"/>
          <w:highlight w:val="none"/>
          <w14:textFill>
            <w14:solidFill>
              <w14:schemeClr w14:val="tx1"/>
            </w14:solidFill>
          </w14:textFill>
        </w:rPr>
        <w:t>投标文件</w:t>
      </w:r>
      <w:bookmarkEnd w:id="267"/>
    </w:p>
    <w:p w14:paraId="300B9DE4">
      <w:pPr>
        <w:ind w:right="18"/>
        <w:jc w:val="center"/>
        <w:rPr>
          <w:b/>
          <w:bCs/>
          <w:color w:val="000000" w:themeColor="text1"/>
          <w:sz w:val="44"/>
          <w:szCs w:val="44"/>
          <w:highlight w:val="none"/>
          <w14:textFill>
            <w14:solidFill>
              <w14:schemeClr w14:val="tx1"/>
            </w14:solidFill>
          </w14:textFill>
        </w:rPr>
      </w:pPr>
    </w:p>
    <w:p w14:paraId="27799168">
      <w:pPr>
        <w:ind w:right="18"/>
        <w:jc w:val="center"/>
        <w:outlineLvl w:val="1"/>
        <w:rPr>
          <w:b/>
          <w:bCs/>
          <w:color w:val="000000" w:themeColor="text1"/>
          <w:sz w:val="44"/>
          <w:szCs w:val="44"/>
          <w:highlight w:val="none"/>
          <w14:textFill>
            <w14:solidFill>
              <w14:schemeClr w14:val="tx1"/>
            </w14:solidFill>
          </w14:textFill>
        </w:rPr>
      </w:pPr>
      <w:bookmarkStart w:id="268" w:name="_Toc291352487"/>
      <w:bookmarkStart w:id="269" w:name="_Toc365358516"/>
      <w:bookmarkStart w:id="270" w:name="_Toc362333683"/>
      <w:bookmarkStart w:id="271" w:name="_Toc350188287"/>
      <w:r>
        <w:rPr>
          <w:rFonts w:hint="eastAsia" w:cs="宋体"/>
          <w:b/>
          <w:bCs/>
          <w:color w:val="000000" w:themeColor="text1"/>
          <w:sz w:val="44"/>
          <w:szCs w:val="44"/>
          <w:highlight w:val="none"/>
          <w14:textFill>
            <w14:solidFill>
              <w14:schemeClr w14:val="tx1"/>
            </w14:solidFill>
          </w14:textFill>
        </w:rPr>
        <w:t>（</w:t>
      </w:r>
      <w:bookmarkEnd w:id="268"/>
      <w:bookmarkEnd w:id="269"/>
      <w:bookmarkEnd w:id="270"/>
      <w:bookmarkEnd w:id="271"/>
      <w:r>
        <w:rPr>
          <w:rFonts w:hint="eastAsia" w:cs="宋体"/>
          <w:b/>
          <w:bCs/>
          <w:color w:val="000000" w:themeColor="text1"/>
          <w:sz w:val="44"/>
          <w:szCs w:val="44"/>
          <w:highlight w:val="none"/>
          <w14:textFill>
            <w14:solidFill>
              <w14:schemeClr w14:val="tx1"/>
            </w14:solidFill>
          </w14:textFill>
        </w:rPr>
        <w:t>报价文件）</w:t>
      </w:r>
    </w:p>
    <w:p w14:paraId="4F4B7458">
      <w:pPr>
        <w:rPr>
          <w:color w:val="000000" w:themeColor="text1"/>
          <w:sz w:val="28"/>
          <w:szCs w:val="28"/>
          <w:highlight w:val="none"/>
          <w14:textFill>
            <w14:solidFill>
              <w14:schemeClr w14:val="tx1"/>
            </w14:solidFill>
          </w14:textFill>
        </w:rPr>
      </w:pPr>
    </w:p>
    <w:p w14:paraId="7357DBEE">
      <w:pPr>
        <w:rPr>
          <w:color w:val="000000" w:themeColor="text1"/>
          <w:sz w:val="28"/>
          <w:szCs w:val="28"/>
          <w:highlight w:val="none"/>
          <w14:textFill>
            <w14:solidFill>
              <w14:schemeClr w14:val="tx1"/>
            </w14:solidFill>
          </w14:textFill>
        </w:rPr>
      </w:pPr>
    </w:p>
    <w:p w14:paraId="3A5D476F">
      <w:pPr>
        <w:rPr>
          <w:color w:val="000000" w:themeColor="text1"/>
          <w:sz w:val="28"/>
          <w:szCs w:val="28"/>
          <w:highlight w:val="none"/>
          <w14:textFill>
            <w14:solidFill>
              <w14:schemeClr w14:val="tx1"/>
            </w14:solidFill>
          </w14:textFill>
        </w:rPr>
      </w:pPr>
    </w:p>
    <w:p w14:paraId="5076A861">
      <w:pPr>
        <w:rPr>
          <w:color w:val="000000" w:themeColor="text1"/>
          <w:sz w:val="28"/>
          <w:szCs w:val="28"/>
          <w:highlight w:val="none"/>
          <w14:textFill>
            <w14:solidFill>
              <w14:schemeClr w14:val="tx1"/>
            </w14:solidFill>
          </w14:textFill>
        </w:rPr>
      </w:pPr>
    </w:p>
    <w:p w14:paraId="2E974EE8">
      <w:pPr>
        <w:rPr>
          <w:color w:val="000000" w:themeColor="text1"/>
          <w:sz w:val="28"/>
          <w:szCs w:val="28"/>
          <w:highlight w:val="none"/>
          <w14:textFill>
            <w14:solidFill>
              <w14:schemeClr w14:val="tx1"/>
            </w14:solidFill>
          </w14:textFill>
        </w:rPr>
      </w:pPr>
    </w:p>
    <w:p w14:paraId="6F9D2A99">
      <w:pPr>
        <w:rPr>
          <w:color w:val="000000" w:themeColor="text1"/>
          <w:sz w:val="28"/>
          <w:szCs w:val="28"/>
          <w:highlight w:val="none"/>
          <w14:textFill>
            <w14:solidFill>
              <w14:schemeClr w14:val="tx1"/>
            </w14:solidFill>
          </w14:textFill>
        </w:rPr>
      </w:pPr>
    </w:p>
    <w:p w14:paraId="59CC3541">
      <w:pPr>
        <w:rPr>
          <w:color w:val="000000" w:themeColor="text1"/>
          <w:sz w:val="28"/>
          <w:szCs w:val="28"/>
          <w:highlight w:val="none"/>
          <w14:textFill>
            <w14:solidFill>
              <w14:schemeClr w14:val="tx1"/>
            </w14:solidFill>
          </w14:textFill>
        </w:rPr>
      </w:pPr>
    </w:p>
    <w:p w14:paraId="02165B2A">
      <w:pPr>
        <w:rPr>
          <w:color w:val="000000" w:themeColor="text1"/>
          <w:sz w:val="28"/>
          <w:szCs w:val="28"/>
          <w:highlight w:val="none"/>
          <w14:textFill>
            <w14:solidFill>
              <w14:schemeClr w14:val="tx1"/>
            </w14:solidFill>
          </w14:textFill>
        </w:rPr>
      </w:pPr>
    </w:p>
    <w:p w14:paraId="64DBD02C">
      <w:pPr>
        <w:rPr>
          <w:color w:val="000000" w:themeColor="text1"/>
          <w:sz w:val="28"/>
          <w:szCs w:val="28"/>
          <w:highlight w:val="none"/>
          <w14:textFill>
            <w14:solidFill>
              <w14:schemeClr w14:val="tx1"/>
            </w14:solidFill>
          </w14:textFill>
        </w:rPr>
      </w:pPr>
    </w:p>
    <w:p w14:paraId="65308298">
      <w:pPr>
        <w:rPr>
          <w:color w:val="000000" w:themeColor="text1"/>
          <w:sz w:val="28"/>
          <w:szCs w:val="28"/>
          <w:highlight w:val="none"/>
          <w14:textFill>
            <w14:solidFill>
              <w14:schemeClr w14:val="tx1"/>
            </w14:solidFill>
          </w14:textFill>
        </w:rPr>
      </w:pPr>
    </w:p>
    <w:p w14:paraId="4F04A327">
      <w:pPr>
        <w:rPr>
          <w:color w:val="000000" w:themeColor="text1"/>
          <w:sz w:val="28"/>
          <w:szCs w:val="28"/>
          <w:highlight w:val="none"/>
          <w14:textFill>
            <w14:solidFill>
              <w14:schemeClr w14:val="tx1"/>
            </w14:solidFill>
          </w14:textFill>
        </w:rPr>
      </w:pPr>
    </w:p>
    <w:p w14:paraId="2A2BD737">
      <w:pPr>
        <w:rPr>
          <w:color w:val="000000" w:themeColor="text1"/>
          <w:sz w:val="28"/>
          <w:szCs w:val="28"/>
          <w:highlight w:val="none"/>
          <w14:textFill>
            <w14:solidFill>
              <w14:schemeClr w14:val="tx1"/>
            </w14:solidFill>
          </w14:textFill>
        </w:rPr>
      </w:pPr>
    </w:p>
    <w:p w14:paraId="354FECE8">
      <w:pPr>
        <w:ind w:firstLine="1818" w:firstLineChars="505"/>
        <w:outlineLvl w:val="0"/>
        <w:rPr>
          <w:color w:val="000000" w:themeColor="text1"/>
          <w:sz w:val="36"/>
          <w:szCs w:val="36"/>
          <w:highlight w:val="none"/>
          <w14:textFill>
            <w14:solidFill>
              <w14:schemeClr w14:val="tx1"/>
            </w14:solidFill>
          </w14:textFill>
        </w:rPr>
      </w:pPr>
      <w:bookmarkStart w:id="272" w:name="_Toc29624"/>
      <w:r>
        <w:rPr>
          <w:rFonts w:hint="eastAsia" w:cs="宋体"/>
          <w:color w:val="000000" w:themeColor="text1"/>
          <w:sz w:val="36"/>
          <w:szCs w:val="36"/>
          <w:highlight w:val="none"/>
          <w14:textFill>
            <w14:solidFill>
              <w14:schemeClr w14:val="tx1"/>
            </w14:solidFill>
          </w14:textFill>
        </w:rPr>
        <w:t>投标人：</w:t>
      </w:r>
      <w:bookmarkEnd w:id="272"/>
    </w:p>
    <w:p w14:paraId="762E93A2">
      <w:pPr>
        <w:jc w:val="center"/>
        <w:outlineLvl w:val="0"/>
        <w:rPr>
          <w:color w:val="000000" w:themeColor="text1"/>
          <w:sz w:val="36"/>
          <w:szCs w:val="36"/>
          <w:highlight w:val="none"/>
          <w14:textFill>
            <w14:solidFill>
              <w14:schemeClr w14:val="tx1"/>
            </w14:solidFill>
          </w14:textFill>
        </w:rPr>
      </w:pPr>
      <w:bookmarkStart w:id="273" w:name="_Toc28656"/>
      <w:r>
        <w:rPr>
          <w:rFonts w:hint="eastAsia" w:cs="宋体"/>
          <w:color w:val="000000" w:themeColor="text1"/>
          <w:sz w:val="36"/>
          <w:szCs w:val="36"/>
          <w:highlight w:val="none"/>
          <w14:textFill>
            <w14:solidFill>
              <w14:schemeClr w14:val="tx1"/>
            </w14:solidFill>
          </w14:textFill>
        </w:rPr>
        <w:t>年月日</w:t>
      </w:r>
      <w:bookmarkEnd w:id="273"/>
    </w:p>
    <w:p w14:paraId="42B9DE14">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4F6D9C2">
      <w:pPr>
        <w:ind w:left="-3" w:leftChars="-405" w:hanging="847" w:hangingChars="211"/>
        <w:jc w:val="center"/>
        <w:outlineLvl w:val="0"/>
        <w:rPr>
          <w:b/>
          <w:bCs/>
          <w:color w:val="000000" w:themeColor="text1"/>
          <w:sz w:val="40"/>
          <w:szCs w:val="40"/>
          <w:highlight w:val="none"/>
          <w14:textFill>
            <w14:solidFill>
              <w14:schemeClr w14:val="tx1"/>
            </w14:solidFill>
          </w14:textFill>
        </w:rPr>
      </w:pPr>
      <w:bookmarkStart w:id="274" w:name="_Toc8468"/>
      <w:r>
        <w:rPr>
          <w:rFonts w:hint="eastAsia" w:cs="宋体"/>
          <w:b/>
          <w:bCs/>
          <w:color w:val="000000" w:themeColor="text1"/>
          <w:sz w:val="40"/>
          <w:szCs w:val="40"/>
          <w:highlight w:val="none"/>
          <w14:textFill>
            <w14:solidFill>
              <w14:schemeClr w14:val="tx1"/>
            </w14:solidFill>
          </w14:textFill>
        </w:rPr>
        <w:t>目录</w:t>
      </w:r>
      <w:bookmarkEnd w:id="274"/>
    </w:p>
    <w:p w14:paraId="6AC443B9">
      <w:pPr>
        <w:rPr>
          <w:b/>
          <w:bCs/>
          <w:color w:val="000000" w:themeColor="text1"/>
          <w:sz w:val="24"/>
          <w:szCs w:val="24"/>
          <w:highlight w:val="none"/>
          <w14:textFill>
            <w14:solidFill>
              <w14:schemeClr w14:val="tx1"/>
            </w14:solidFill>
          </w14:textFill>
        </w:rPr>
      </w:pPr>
    </w:p>
    <w:p w14:paraId="3F139BAD">
      <w:pPr>
        <w:pStyle w:val="24"/>
        <w:spacing w:before="120" w:after="120"/>
        <w:ind w:left="1680" w:leftChars="800" w:firstLine="959" w:firstLineChars="398"/>
        <w:rPr>
          <w:b/>
          <w:bCs/>
          <w:color w:val="000000" w:themeColor="text1"/>
          <w:sz w:val="24"/>
          <w:szCs w:val="24"/>
          <w:highlight w:val="none"/>
          <w14:textFill>
            <w14:solidFill>
              <w14:schemeClr w14:val="tx1"/>
            </w14:solidFill>
          </w14:textFill>
        </w:rPr>
      </w:pPr>
      <w:bookmarkStart w:id="275" w:name="_Toc243736133"/>
    </w:p>
    <w:p w14:paraId="38B2242F">
      <w:pPr>
        <w:pStyle w:val="24"/>
        <w:spacing w:before="120" w:after="120"/>
        <w:ind w:firstLine="1673" w:firstLineChars="595"/>
        <w:outlineLvl w:val="0"/>
        <w:rPr>
          <w:b/>
          <w:bCs/>
          <w:color w:val="000000" w:themeColor="text1"/>
          <w:sz w:val="28"/>
          <w:szCs w:val="28"/>
          <w:highlight w:val="none"/>
          <w14:textFill>
            <w14:solidFill>
              <w14:schemeClr w14:val="tx1"/>
            </w14:solidFill>
          </w14:textFill>
        </w:rPr>
      </w:pPr>
      <w:bookmarkStart w:id="276" w:name="_Toc14836"/>
      <w:r>
        <w:rPr>
          <w:rFonts w:hint="eastAsia" w:cs="宋体"/>
          <w:b/>
          <w:bCs/>
          <w:color w:val="000000" w:themeColor="text1"/>
          <w:sz w:val="28"/>
          <w:szCs w:val="28"/>
          <w:highlight w:val="none"/>
          <w14:textFill>
            <w14:solidFill>
              <w14:schemeClr w14:val="tx1"/>
            </w14:solidFill>
          </w14:textFill>
        </w:rPr>
        <w:t>一、投标函</w:t>
      </w:r>
      <w:bookmarkEnd w:id="276"/>
    </w:p>
    <w:p w14:paraId="53371A7E">
      <w:pPr>
        <w:pStyle w:val="24"/>
        <w:spacing w:before="120" w:after="120"/>
        <w:ind w:firstLine="1673" w:firstLineChars="595"/>
        <w:outlineLvl w:val="0"/>
        <w:rPr>
          <w:b/>
          <w:bCs/>
          <w:color w:val="000000" w:themeColor="text1"/>
          <w:sz w:val="28"/>
          <w:szCs w:val="28"/>
          <w:highlight w:val="none"/>
          <w14:textFill>
            <w14:solidFill>
              <w14:schemeClr w14:val="tx1"/>
            </w14:solidFill>
          </w14:textFill>
        </w:rPr>
      </w:pPr>
      <w:bookmarkStart w:id="277" w:name="_Toc20829"/>
      <w:r>
        <w:rPr>
          <w:rFonts w:hint="eastAsia" w:cs="宋体"/>
          <w:b/>
          <w:bCs/>
          <w:color w:val="000000" w:themeColor="text1"/>
          <w:sz w:val="28"/>
          <w:szCs w:val="28"/>
          <w:highlight w:val="none"/>
          <w14:textFill>
            <w14:solidFill>
              <w14:schemeClr w14:val="tx1"/>
            </w14:solidFill>
          </w14:textFill>
        </w:rPr>
        <w:t>二、已标价工程量清单</w:t>
      </w:r>
      <w:bookmarkEnd w:id="275"/>
      <w:bookmarkEnd w:id="277"/>
    </w:p>
    <w:p w14:paraId="43BCA136">
      <w:pPr>
        <w:jc w:val="center"/>
        <w:outlineLvl w:val="0"/>
        <w:rPr>
          <w:rFonts w:cs="宋体"/>
          <w:b/>
          <w:bCs/>
          <w:color w:val="000000" w:themeColor="text1"/>
          <w:sz w:val="30"/>
          <w:szCs w:val="30"/>
          <w:highlight w:val="none"/>
          <w14:textFill>
            <w14:solidFill>
              <w14:schemeClr w14:val="tx1"/>
            </w14:solidFill>
          </w14:textFill>
        </w:rPr>
      </w:pPr>
      <w:r>
        <w:rPr>
          <w:b/>
          <w:bCs/>
          <w:color w:val="000000" w:themeColor="text1"/>
          <w:sz w:val="30"/>
          <w:szCs w:val="30"/>
          <w:highlight w:val="none"/>
          <w14:textFill>
            <w14:solidFill>
              <w14:schemeClr w14:val="tx1"/>
            </w14:solidFill>
          </w14:textFill>
        </w:rPr>
        <w:br w:type="page"/>
      </w:r>
      <w:bookmarkStart w:id="278" w:name="_Toc28726"/>
      <w:r>
        <w:rPr>
          <w:rFonts w:hint="eastAsia" w:cs="宋体"/>
          <w:b/>
          <w:bCs/>
          <w:color w:val="000000" w:themeColor="text1"/>
          <w:sz w:val="30"/>
          <w:szCs w:val="30"/>
          <w:highlight w:val="none"/>
          <w14:textFill>
            <w14:solidFill>
              <w14:schemeClr w14:val="tx1"/>
            </w14:solidFill>
          </w14:textFill>
        </w:rPr>
        <w:t>一、投标函</w:t>
      </w:r>
      <w:bookmarkEnd w:id="278"/>
    </w:p>
    <w:p w14:paraId="162D99EB">
      <w:pPr>
        <w:jc w:val="center"/>
        <w:outlineLvl w:val="0"/>
        <w:rPr>
          <w:b/>
          <w:bCs/>
          <w:color w:val="000000" w:themeColor="text1"/>
          <w:sz w:val="30"/>
          <w:szCs w:val="30"/>
          <w:highlight w:val="none"/>
          <w14:textFill>
            <w14:solidFill>
              <w14:schemeClr w14:val="tx1"/>
            </w14:solidFill>
          </w14:textFill>
        </w:rPr>
      </w:pPr>
    </w:p>
    <w:p w14:paraId="58439DFB">
      <w:pPr>
        <w:spacing w:line="440" w:lineRule="exac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u w:val="single"/>
          <w14:textFill>
            <w14:solidFill>
              <w14:schemeClr w14:val="tx1"/>
            </w14:solidFill>
          </w14:textFill>
        </w:rPr>
        <w:t xml:space="preserve">                        </w:t>
      </w:r>
      <w:r>
        <w:rPr>
          <w:rFonts w:ascii="宋体" w:hAnsi="宋体"/>
          <w:color w:val="000000" w:themeColor="text1"/>
          <w:sz w:val="24"/>
          <w:szCs w:val="24"/>
          <w:highlight w:val="none"/>
          <w14:textFill>
            <w14:solidFill>
              <w14:schemeClr w14:val="tx1"/>
            </w14:solidFill>
          </w14:textFill>
        </w:rPr>
        <w:t>（招标人名称）：</w:t>
      </w:r>
    </w:p>
    <w:p w14:paraId="3B2F7542">
      <w:pPr>
        <w:spacing w:line="440" w:lineRule="exact"/>
        <w:rPr>
          <w:rFonts w:ascii="宋体" w:hAnsi="宋体"/>
          <w:color w:val="000000" w:themeColor="text1"/>
          <w:highlight w:val="none"/>
          <w14:textFill>
            <w14:solidFill>
              <w14:schemeClr w14:val="tx1"/>
            </w14:solidFill>
          </w14:textFill>
        </w:rPr>
      </w:pPr>
    </w:p>
    <w:p w14:paraId="4219F606">
      <w:pPr>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．我方已仔细研究</w:t>
      </w:r>
      <w:r>
        <w:rPr>
          <w:rFonts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（项目名称）施工招标文件的全部内容，在考察工程现场后，愿意以人民币</w:t>
      </w:r>
      <w:r>
        <w:rPr>
          <w:rFonts w:hAnsi="宋体"/>
          <w:color w:val="000000" w:themeColor="text1"/>
          <w:sz w:val="24"/>
          <w:highlight w:val="non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（大写）</w:t>
      </w:r>
      <w:r>
        <w:rPr>
          <w:rFonts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元（¥</w:t>
      </w:r>
      <w:r>
        <w:rPr>
          <w:rFonts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）的投标总报价，按合同约定实施和完成承包工程，修补工程中的任何缺陷。</w:t>
      </w:r>
      <w:r>
        <w:rPr>
          <w:rFonts w:hAnsi="宋体"/>
          <w:color w:val="000000" w:themeColor="text1"/>
          <w:sz w:val="24"/>
          <w:highlight w:val="none"/>
          <w14:textFill>
            <w14:solidFill>
              <w14:schemeClr w14:val="tx1"/>
            </w14:solidFill>
          </w14:textFill>
        </w:rPr>
        <w:t xml:space="preserve"> </w:t>
      </w:r>
    </w:p>
    <w:p w14:paraId="3A045C61">
      <w:pPr>
        <w:spacing w:line="360" w:lineRule="auto"/>
        <w:ind w:firstLine="480" w:firstLineChars="200"/>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．在合同协议书正式签署生效之前，本投标函连同你方的中标通知书将构成我</w:t>
      </w:r>
      <w:r>
        <w:rPr>
          <w:rFonts w:hAnsi="宋体"/>
          <w:color w:val="000000" w:themeColor="text1"/>
          <w:sz w:val="24"/>
          <w:highlight w:val="non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们双方之间共同遵守的文件，对双方具有约束力。</w:t>
      </w:r>
    </w:p>
    <w:p w14:paraId="673654AB">
      <w:pPr>
        <w:spacing w:line="360" w:lineRule="auto"/>
        <w:ind w:firstLine="480" w:firstLineChars="200"/>
        <w:rPr>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 xml:space="preserve"> 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（其他补充说明）。</w:t>
      </w:r>
    </w:p>
    <w:p w14:paraId="08E8261A">
      <w:pPr>
        <w:spacing w:line="360" w:lineRule="auto"/>
        <w:rPr>
          <w:color w:val="000000" w:themeColor="text1"/>
          <w:sz w:val="24"/>
          <w:highlight w:val="none"/>
          <w14:textFill>
            <w14:solidFill>
              <w14:schemeClr w14:val="tx1"/>
            </w14:solidFill>
          </w14:textFill>
        </w:rPr>
      </w:pPr>
    </w:p>
    <w:p w14:paraId="2D92709E">
      <w:pPr>
        <w:spacing w:line="360" w:lineRule="auto"/>
        <w:jc w:val="right"/>
        <w:rPr>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投标人：</w:t>
      </w:r>
      <w:r>
        <w:rPr>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(盖单位章)</w:t>
      </w:r>
    </w:p>
    <w:p w14:paraId="5767AD95">
      <w:pPr>
        <w:spacing w:line="360" w:lineRule="auto"/>
        <w:jc w:val="right"/>
        <w:rPr>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法定代表人或</w:t>
      </w:r>
      <w:r>
        <w:rPr>
          <w:rFonts w:hint="eastAsia" w:ascii="宋体" w:hAnsi="宋体" w:cs="宋体"/>
          <w:color w:val="000000" w:themeColor="text1"/>
          <w:sz w:val="24"/>
          <w:highlight w:val="none"/>
          <w14:textFill>
            <w14:solidFill>
              <w14:schemeClr w14:val="tx1"/>
            </w14:solidFill>
          </w14:textFill>
        </w:rPr>
        <w:t>授权委托</w:t>
      </w:r>
      <w:r>
        <w:rPr>
          <w:rFonts w:hAnsi="宋体"/>
          <w:color w:val="000000" w:themeColor="text1"/>
          <w:sz w:val="24"/>
          <w:highlight w:val="none"/>
          <w14:textFill>
            <w14:solidFill>
              <w14:schemeClr w14:val="tx1"/>
            </w14:solidFill>
          </w14:textFill>
        </w:rPr>
        <w:t>人：</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亲笔签名或签名章</w:t>
      </w:r>
      <w:r>
        <w:rPr>
          <w:rFonts w:hAnsi="宋体"/>
          <w:color w:val="000000" w:themeColor="text1"/>
          <w:sz w:val="24"/>
          <w:highlight w:val="none"/>
          <w14:textFill>
            <w14:solidFill>
              <w14:schemeClr w14:val="tx1"/>
            </w14:solidFill>
          </w14:textFill>
        </w:rPr>
        <w:t>)</w:t>
      </w:r>
    </w:p>
    <w:p w14:paraId="4EBCB20E">
      <w:pPr>
        <w:wordWrap w:val="0"/>
        <w:spacing w:line="360" w:lineRule="auto"/>
        <w:jc w:val="right"/>
        <w:rPr>
          <w:color w:val="000000" w:themeColor="text1"/>
          <w:sz w:val="24"/>
          <w:highlight w:val="none"/>
          <w:u w:val="single"/>
          <w14:textFill>
            <w14:solidFill>
              <w14:schemeClr w14:val="tx1"/>
            </w14:solidFill>
          </w14:textFill>
        </w:rPr>
      </w:pPr>
      <w:r>
        <w:rPr>
          <w:rFonts w:hAnsi="宋体"/>
          <w:color w:val="000000" w:themeColor="text1"/>
          <w:sz w:val="24"/>
          <w:highlight w:val="none"/>
          <w14:textFill>
            <w14:solidFill>
              <w14:schemeClr w14:val="tx1"/>
            </w14:solidFill>
          </w14:textFill>
        </w:rPr>
        <w:t>地址：</w:t>
      </w:r>
      <w:r>
        <w:rPr>
          <w:rFonts w:hAnsi="宋体"/>
          <w:color w:val="000000" w:themeColor="text1"/>
          <w:sz w:val="24"/>
          <w:highlight w:val="none"/>
          <w:u w:val="single"/>
          <w14:textFill>
            <w14:solidFill>
              <w14:schemeClr w14:val="tx1"/>
            </w14:solidFill>
          </w14:textFill>
        </w:rPr>
        <w:t xml:space="preserve">                                        </w:t>
      </w:r>
    </w:p>
    <w:p w14:paraId="2E7401FA">
      <w:pPr>
        <w:wordWrap w:val="0"/>
        <w:spacing w:line="360" w:lineRule="auto"/>
        <w:jc w:val="right"/>
        <w:rPr>
          <w:color w:val="000000" w:themeColor="text1"/>
          <w:sz w:val="24"/>
          <w:highlight w:val="none"/>
          <w:u w:val="single"/>
          <w14:textFill>
            <w14:solidFill>
              <w14:schemeClr w14:val="tx1"/>
            </w14:solidFill>
          </w14:textFill>
        </w:rPr>
      </w:pPr>
      <w:r>
        <w:rPr>
          <w:rFonts w:hAnsi="宋体"/>
          <w:color w:val="000000" w:themeColor="text1"/>
          <w:sz w:val="24"/>
          <w:highlight w:val="none"/>
          <w14:textFill>
            <w14:solidFill>
              <w14:schemeClr w14:val="tx1"/>
            </w14:solidFill>
          </w14:textFill>
        </w:rPr>
        <w:t>网址：</w:t>
      </w:r>
      <w:r>
        <w:rPr>
          <w:rFonts w:hAnsi="宋体"/>
          <w:color w:val="000000" w:themeColor="text1"/>
          <w:sz w:val="24"/>
          <w:highlight w:val="none"/>
          <w:u w:val="single"/>
          <w14:textFill>
            <w14:solidFill>
              <w14:schemeClr w14:val="tx1"/>
            </w14:solidFill>
          </w14:textFill>
        </w:rPr>
        <w:t xml:space="preserve">                                        </w:t>
      </w:r>
    </w:p>
    <w:p w14:paraId="70D30332">
      <w:pPr>
        <w:wordWrap w:val="0"/>
        <w:spacing w:line="360" w:lineRule="auto"/>
        <w:jc w:val="right"/>
        <w:rPr>
          <w:color w:val="000000" w:themeColor="text1"/>
          <w:sz w:val="24"/>
          <w:highlight w:val="none"/>
          <w:u w:val="single"/>
          <w14:textFill>
            <w14:solidFill>
              <w14:schemeClr w14:val="tx1"/>
            </w14:solidFill>
          </w14:textFill>
        </w:rPr>
      </w:pPr>
      <w:r>
        <w:rPr>
          <w:rFonts w:hAnsi="宋体"/>
          <w:color w:val="000000" w:themeColor="text1"/>
          <w:sz w:val="24"/>
          <w:highlight w:val="none"/>
          <w14:textFill>
            <w14:solidFill>
              <w14:schemeClr w14:val="tx1"/>
            </w14:solidFill>
          </w14:textFill>
        </w:rPr>
        <w:t>电话：</w:t>
      </w:r>
      <w:r>
        <w:rPr>
          <w:rFonts w:hAnsi="宋体"/>
          <w:color w:val="000000" w:themeColor="text1"/>
          <w:sz w:val="24"/>
          <w:highlight w:val="none"/>
          <w:u w:val="single"/>
          <w14:textFill>
            <w14:solidFill>
              <w14:schemeClr w14:val="tx1"/>
            </w14:solidFill>
          </w14:textFill>
        </w:rPr>
        <w:t xml:space="preserve">                                        </w:t>
      </w:r>
    </w:p>
    <w:p w14:paraId="19CEC865">
      <w:pPr>
        <w:wordWrap w:val="0"/>
        <w:spacing w:line="360" w:lineRule="auto"/>
        <w:jc w:val="right"/>
        <w:rPr>
          <w:color w:val="000000" w:themeColor="text1"/>
          <w:sz w:val="24"/>
          <w:highlight w:val="none"/>
          <w:u w:val="single"/>
          <w14:textFill>
            <w14:solidFill>
              <w14:schemeClr w14:val="tx1"/>
            </w14:solidFill>
          </w14:textFill>
        </w:rPr>
      </w:pPr>
      <w:r>
        <w:rPr>
          <w:rFonts w:hAnsi="宋体"/>
          <w:color w:val="000000" w:themeColor="text1"/>
          <w:sz w:val="24"/>
          <w:highlight w:val="none"/>
          <w14:textFill>
            <w14:solidFill>
              <w14:schemeClr w14:val="tx1"/>
            </w14:solidFill>
          </w14:textFill>
        </w:rPr>
        <w:t>传真：</w:t>
      </w:r>
      <w:r>
        <w:rPr>
          <w:rFonts w:hAnsi="宋体"/>
          <w:color w:val="000000" w:themeColor="text1"/>
          <w:sz w:val="24"/>
          <w:highlight w:val="none"/>
          <w:u w:val="single"/>
          <w14:textFill>
            <w14:solidFill>
              <w14:schemeClr w14:val="tx1"/>
            </w14:solidFill>
          </w14:textFill>
        </w:rPr>
        <w:t xml:space="preserve">                                        </w:t>
      </w:r>
    </w:p>
    <w:p w14:paraId="4D2AF8D6">
      <w:pPr>
        <w:wordWrap w:val="0"/>
        <w:spacing w:line="360" w:lineRule="auto"/>
        <w:jc w:val="right"/>
        <w:rPr>
          <w:color w:val="000000" w:themeColor="text1"/>
          <w:sz w:val="24"/>
          <w:highlight w:val="none"/>
          <w:u w:val="single"/>
          <w14:textFill>
            <w14:solidFill>
              <w14:schemeClr w14:val="tx1"/>
            </w14:solidFill>
          </w14:textFill>
        </w:rPr>
      </w:pPr>
      <w:r>
        <w:rPr>
          <w:rFonts w:hAnsi="宋体"/>
          <w:color w:val="000000" w:themeColor="text1"/>
          <w:sz w:val="24"/>
          <w:highlight w:val="non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邮政编码</w:t>
      </w:r>
      <w:r>
        <w:rPr>
          <w:rFonts w:hAnsi="宋体"/>
          <w:color w:val="000000" w:themeColor="text1"/>
          <w:sz w:val="24"/>
          <w:highlight w:val="none"/>
          <w14:textFill>
            <w14:solidFill>
              <w14:schemeClr w14:val="tx1"/>
            </w14:solidFill>
          </w14:textFill>
        </w:rPr>
        <w:t>：</w:t>
      </w:r>
      <w:r>
        <w:rPr>
          <w:rFonts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u w:val="single"/>
          <w14:textFill>
            <w14:solidFill>
              <w14:schemeClr w14:val="tx1"/>
            </w14:solidFill>
          </w14:textFill>
        </w:rPr>
        <w:t xml:space="preserve">  </w:t>
      </w:r>
    </w:p>
    <w:p w14:paraId="255E05D5">
      <w:pPr>
        <w:wordWrap w:val="0"/>
        <w:spacing w:line="420" w:lineRule="exact"/>
        <w:ind w:firstLine="4320" w:firstLineChars="1800"/>
        <w:rPr>
          <w:rFonts w:ascii="宋体" w:hAnsi="宋体"/>
          <w:b/>
          <w:color w:val="000000" w:themeColor="text1"/>
          <w:sz w:val="30"/>
          <w:szCs w:val="30"/>
          <w:highlight w:val="none"/>
          <w14:textFill>
            <w14:solidFill>
              <w14:schemeClr w14:val="tx1"/>
            </w14:solidFill>
          </w14:textFill>
        </w:rPr>
      </w:pPr>
      <w:r>
        <w:rPr>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日</w:t>
      </w:r>
    </w:p>
    <w:p w14:paraId="5FECDFA3">
      <w:pPr>
        <w:adjustRightInd w:val="0"/>
        <w:snapToGrid w:val="0"/>
        <w:spacing w:line="360" w:lineRule="auto"/>
        <w:jc w:val="center"/>
        <w:rPr>
          <w:b/>
          <w:bCs/>
          <w:color w:val="000000" w:themeColor="text1"/>
          <w:sz w:val="30"/>
          <w:szCs w:val="30"/>
          <w:highlight w:val="none"/>
          <w14:textFill>
            <w14:solidFill>
              <w14:schemeClr w14:val="tx1"/>
            </w14:solidFill>
          </w14:textFill>
        </w:rPr>
      </w:pPr>
      <w:r>
        <w:rPr>
          <w:rFonts w:ascii="宋体" w:hAnsi="宋体"/>
          <w:b/>
          <w:color w:val="000000" w:themeColor="text1"/>
          <w:sz w:val="30"/>
          <w:szCs w:val="30"/>
          <w:highlight w:val="none"/>
          <w14:textFill>
            <w14:solidFill>
              <w14:schemeClr w14:val="tx1"/>
            </w14:solidFill>
          </w14:textFill>
        </w:rPr>
        <w:br w:type="page"/>
      </w:r>
      <w:bookmarkStart w:id="279" w:name="_Toc732"/>
      <w:r>
        <w:rPr>
          <w:rFonts w:hint="eastAsia" w:cs="宋体"/>
          <w:b/>
          <w:bCs/>
          <w:color w:val="000000" w:themeColor="text1"/>
          <w:sz w:val="30"/>
          <w:szCs w:val="30"/>
          <w:highlight w:val="none"/>
          <w14:textFill>
            <w14:solidFill>
              <w14:schemeClr w14:val="tx1"/>
            </w14:solidFill>
          </w14:textFill>
        </w:rPr>
        <w:t>二、工程量清单</w:t>
      </w:r>
      <w:bookmarkEnd w:id="279"/>
    </w:p>
    <w:p w14:paraId="2DF804A5">
      <w:pPr>
        <w:wordWrap w:val="0"/>
        <w:adjustRightInd w:val="0"/>
        <w:snapToGrid w:val="0"/>
        <w:spacing w:line="360" w:lineRule="auto"/>
        <w:rPr>
          <w:b/>
          <w:bCs/>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项目名称：彩钢瓦屋顶修缮工程                         单位：人民币 元</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1141"/>
        <w:gridCol w:w="961"/>
        <w:gridCol w:w="1598"/>
        <w:gridCol w:w="1948"/>
        <w:gridCol w:w="1881"/>
      </w:tblGrid>
      <w:tr w14:paraId="0525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16" w:type="pct"/>
            <w:vAlign w:val="center"/>
          </w:tcPr>
          <w:p w14:paraId="1603C32A">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名称</w:t>
            </w:r>
          </w:p>
        </w:tc>
        <w:tc>
          <w:tcPr>
            <w:tcW w:w="634" w:type="pct"/>
            <w:vAlign w:val="center"/>
          </w:tcPr>
          <w:p w14:paraId="767C95A1">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计量单位</w:t>
            </w:r>
          </w:p>
        </w:tc>
        <w:tc>
          <w:tcPr>
            <w:tcW w:w="533" w:type="pct"/>
            <w:vAlign w:val="center"/>
          </w:tcPr>
          <w:p w14:paraId="4DD3F47F">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数量</w:t>
            </w:r>
          </w:p>
        </w:tc>
        <w:tc>
          <w:tcPr>
            <w:tcW w:w="888" w:type="pct"/>
            <w:vAlign w:val="center"/>
          </w:tcPr>
          <w:p w14:paraId="02F6FEB3">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综合单价（元）</w:t>
            </w:r>
          </w:p>
        </w:tc>
        <w:tc>
          <w:tcPr>
            <w:tcW w:w="1082" w:type="pct"/>
            <w:vAlign w:val="center"/>
          </w:tcPr>
          <w:p w14:paraId="7328DCF7">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合价（元）</w:t>
            </w:r>
          </w:p>
        </w:tc>
        <w:tc>
          <w:tcPr>
            <w:tcW w:w="1044" w:type="pct"/>
            <w:vAlign w:val="center"/>
          </w:tcPr>
          <w:p w14:paraId="6F1A02ED">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备注</w:t>
            </w:r>
          </w:p>
        </w:tc>
      </w:tr>
      <w:tr w14:paraId="07AB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16" w:type="pct"/>
            <w:vAlign w:val="center"/>
          </w:tcPr>
          <w:p w14:paraId="3752B7C0">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屋面彩钢瓦防腐翻新</w:t>
            </w:r>
          </w:p>
        </w:tc>
        <w:tc>
          <w:tcPr>
            <w:tcW w:w="634" w:type="pct"/>
            <w:vAlign w:val="center"/>
          </w:tcPr>
          <w:p w14:paraId="0F47E4F6">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平方</w:t>
            </w:r>
          </w:p>
        </w:tc>
        <w:tc>
          <w:tcPr>
            <w:tcW w:w="533" w:type="pct"/>
            <w:vAlign w:val="center"/>
          </w:tcPr>
          <w:p w14:paraId="6426FCD6">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3000</w:t>
            </w:r>
          </w:p>
        </w:tc>
        <w:tc>
          <w:tcPr>
            <w:tcW w:w="888" w:type="pct"/>
            <w:vAlign w:val="center"/>
          </w:tcPr>
          <w:p w14:paraId="4C277AD8">
            <w:pPr>
              <w:widowControl/>
              <w:adjustRightInd w:val="0"/>
              <w:snapToGrid w:val="0"/>
              <w:jc w:val="center"/>
              <w:rPr>
                <w:rFonts w:asciiTheme="minorEastAsia" w:hAnsiTheme="minorEastAsia" w:eastAsiaTheme="minorEastAsia" w:cstheme="minorEastAsia"/>
                <w:color w:val="000000"/>
                <w:kern w:val="0"/>
                <w:highlight w:val="none"/>
                <w:lang w:bidi="ar"/>
              </w:rPr>
            </w:pPr>
          </w:p>
        </w:tc>
        <w:tc>
          <w:tcPr>
            <w:tcW w:w="1082" w:type="pct"/>
            <w:vAlign w:val="center"/>
          </w:tcPr>
          <w:p w14:paraId="283AF372">
            <w:pPr>
              <w:widowControl/>
              <w:adjustRightInd w:val="0"/>
              <w:snapToGrid w:val="0"/>
              <w:jc w:val="center"/>
              <w:rPr>
                <w:rFonts w:asciiTheme="minorEastAsia" w:hAnsiTheme="minorEastAsia" w:eastAsiaTheme="minorEastAsia" w:cstheme="minorEastAsia"/>
                <w:color w:val="000000"/>
                <w:kern w:val="0"/>
                <w:highlight w:val="none"/>
                <w:lang w:bidi="ar"/>
              </w:rPr>
            </w:pPr>
          </w:p>
        </w:tc>
        <w:tc>
          <w:tcPr>
            <w:tcW w:w="1044" w:type="pct"/>
            <w:vAlign w:val="center"/>
          </w:tcPr>
          <w:p w14:paraId="1590147F">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屋面清理，屋面打磨，刷漆</w:t>
            </w:r>
          </w:p>
        </w:tc>
      </w:tr>
      <w:tr w14:paraId="4FC5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16" w:type="pct"/>
            <w:vAlign w:val="center"/>
          </w:tcPr>
          <w:p w14:paraId="03AFA89F">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彩钢瓦防水包边</w:t>
            </w:r>
          </w:p>
        </w:tc>
        <w:tc>
          <w:tcPr>
            <w:tcW w:w="634" w:type="pct"/>
            <w:vAlign w:val="center"/>
          </w:tcPr>
          <w:p w14:paraId="1BEFED5A">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米</w:t>
            </w:r>
          </w:p>
        </w:tc>
        <w:tc>
          <w:tcPr>
            <w:tcW w:w="533" w:type="pct"/>
            <w:vAlign w:val="center"/>
          </w:tcPr>
          <w:p w14:paraId="38FA5896">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130</w:t>
            </w:r>
          </w:p>
        </w:tc>
        <w:tc>
          <w:tcPr>
            <w:tcW w:w="888" w:type="pct"/>
            <w:vAlign w:val="center"/>
          </w:tcPr>
          <w:p w14:paraId="1B2452D2">
            <w:pPr>
              <w:widowControl/>
              <w:adjustRightInd w:val="0"/>
              <w:snapToGrid w:val="0"/>
              <w:jc w:val="center"/>
              <w:rPr>
                <w:rFonts w:asciiTheme="minorEastAsia" w:hAnsiTheme="minorEastAsia" w:eastAsiaTheme="minorEastAsia" w:cstheme="minorEastAsia"/>
                <w:color w:val="000000"/>
                <w:kern w:val="0"/>
                <w:highlight w:val="none"/>
                <w:lang w:bidi="ar"/>
              </w:rPr>
            </w:pPr>
          </w:p>
        </w:tc>
        <w:tc>
          <w:tcPr>
            <w:tcW w:w="1082" w:type="pct"/>
            <w:vAlign w:val="center"/>
          </w:tcPr>
          <w:p w14:paraId="09A878E0">
            <w:pPr>
              <w:widowControl/>
              <w:adjustRightInd w:val="0"/>
              <w:snapToGrid w:val="0"/>
              <w:jc w:val="center"/>
              <w:rPr>
                <w:rFonts w:asciiTheme="minorEastAsia" w:hAnsiTheme="minorEastAsia" w:eastAsiaTheme="minorEastAsia" w:cstheme="minorEastAsia"/>
                <w:color w:val="000000"/>
                <w:kern w:val="0"/>
                <w:highlight w:val="none"/>
                <w:lang w:bidi="ar"/>
              </w:rPr>
            </w:pPr>
          </w:p>
        </w:tc>
        <w:tc>
          <w:tcPr>
            <w:tcW w:w="1044" w:type="pct"/>
            <w:vAlign w:val="center"/>
          </w:tcPr>
          <w:p w14:paraId="55EF87FC">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彩钢瓦防水包边条更换，破损边条拆除</w:t>
            </w:r>
          </w:p>
        </w:tc>
      </w:tr>
      <w:tr w14:paraId="0F0AC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16" w:type="pct"/>
            <w:vAlign w:val="center"/>
          </w:tcPr>
          <w:p w14:paraId="1F68F1A2">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彩钢瓦破损修补</w:t>
            </w:r>
          </w:p>
        </w:tc>
        <w:tc>
          <w:tcPr>
            <w:tcW w:w="634" w:type="pct"/>
            <w:vAlign w:val="center"/>
          </w:tcPr>
          <w:p w14:paraId="4CD3520D">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项</w:t>
            </w:r>
          </w:p>
        </w:tc>
        <w:tc>
          <w:tcPr>
            <w:tcW w:w="533" w:type="pct"/>
            <w:vAlign w:val="center"/>
          </w:tcPr>
          <w:p w14:paraId="4A7993AC">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1</w:t>
            </w:r>
          </w:p>
        </w:tc>
        <w:tc>
          <w:tcPr>
            <w:tcW w:w="888" w:type="pct"/>
            <w:vAlign w:val="center"/>
          </w:tcPr>
          <w:p w14:paraId="2DA48772">
            <w:pPr>
              <w:widowControl/>
              <w:adjustRightInd w:val="0"/>
              <w:snapToGrid w:val="0"/>
              <w:jc w:val="center"/>
              <w:rPr>
                <w:rFonts w:asciiTheme="minorEastAsia" w:hAnsiTheme="minorEastAsia" w:eastAsiaTheme="minorEastAsia" w:cstheme="minorEastAsia"/>
                <w:color w:val="000000"/>
                <w:kern w:val="0"/>
                <w:highlight w:val="none"/>
                <w:lang w:bidi="ar"/>
              </w:rPr>
            </w:pPr>
          </w:p>
        </w:tc>
        <w:tc>
          <w:tcPr>
            <w:tcW w:w="1082" w:type="pct"/>
            <w:vAlign w:val="center"/>
          </w:tcPr>
          <w:p w14:paraId="50E1E61E">
            <w:pPr>
              <w:widowControl/>
              <w:adjustRightInd w:val="0"/>
              <w:snapToGrid w:val="0"/>
              <w:jc w:val="center"/>
              <w:rPr>
                <w:rFonts w:asciiTheme="minorEastAsia" w:hAnsiTheme="minorEastAsia" w:eastAsiaTheme="minorEastAsia" w:cstheme="minorEastAsia"/>
                <w:color w:val="000000"/>
                <w:kern w:val="0"/>
                <w:highlight w:val="none"/>
                <w:lang w:bidi="ar"/>
              </w:rPr>
            </w:pPr>
          </w:p>
        </w:tc>
        <w:tc>
          <w:tcPr>
            <w:tcW w:w="1044" w:type="pct"/>
            <w:vAlign w:val="center"/>
          </w:tcPr>
          <w:p w14:paraId="0CDAD115">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顶面腐蚀部位彩钢瓦修补</w:t>
            </w:r>
          </w:p>
        </w:tc>
      </w:tr>
      <w:tr w14:paraId="48FB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16" w:type="pct"/>
            <w:vAlign w:val="center"/>
          </w:tcPr>
          <w:p w14:paraId="7DBDC3A3">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彩钢瓦U型包边条</w:t>
            </w:r>
          </w:p>
        </w:tc>
        <w:tc>
          <w:tcPr>
            <w:tcW w:w="634" w:type="pct"/>
            <w:vAlign w:val="center"/>
          </w:tcPr>
          <w:p w14:paraId="575AD363">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米</w:t>
            </w:r>
          </w:p>
        </w:tc>
        <w:tc>
          <w:tcPr>
            <w:tcW w:w="533" w:type="pct"/>
            <w:vAlign w:val="center"/>
          </w:tcPr>
          <w:p w14:paraId="57ABA8CA">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70</w:t>
            </w:r>
          </w:p>
        </w:tc>
        <w:tc>
          <w:tcPr>
            <w:tcW w:w="888" w:type="pct"/>
            <w:vAlign w:val="center"/>
          </w:tcPr>
          <w:p w14:paraId="0C80D9CF">
            <w:pPr>
              <w:widowControl/>
              <w:adjustRightInd w:val="0"/>
              <w:snapToGrid w:val="0"/>
              <w:jc w:val="center"/>
              <w:rPr>
                <w:rFonts w:asciiTheme="minorEastAsia" w:hAnsiTheme="minorEastAsia" w:eastAsiaTheme="minorEastAsia" w:cstheme="minorEastAsia"/>
                <w:color w:val="000000"/>
                <w:kern w:val="0"/>
                <w:highlight w:val="none"/>
                <w:lang w:bidi="ar"/>
              </w:rPr>
            </w:pPr>
          </w:p>
        </w:tc>
        <w:tc>
          <w:tcPr>
            <w:tcW w:w="1082" w:type="pct"/>
            <w:vAlign w:val="center"/>
          </w:tcPr>
          <w:p w14:paraId="7FABACDB">
            <w:pPr>
              <w:widowControl/>
              <w:adjustRightInd w:val="0"/>
              <w:snapToGrid w:val="0"/>
              <w:jc w:val="center"/>
              <w:rPr>
                <w:rFonts w:asciiTheme="minorEastAsia" w:hAnsiTheme="minorEastAsia" w:eastAsiaTheme="minorEastAsia" w:cstheme="minorEastAsia"/>
                <w:color w:val="000000"/>
                <w:kern w:val="0"/>
                <w:highlight w:val="none"/>
                <w:lang w:bidi="ar"/>
              </w:rPr>
            </w:pPr>
          </w:p>
        </w:tc>
        <w:tc>
          <w:tcPr>
            <w:tcW w:w="1044" w:type="pct"/>
            <w:vAlign w:val="center"/>
          </w:tcPr>
          <w:p w14:paraId="5CE0BF98">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缺失包边条更换，安装</w:t>
            </w:r>
          </w:p>
        </w:tc>
      </w:tr>
      <w:tr w14:paraId="188C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16" w:type="pct"/>
            <w:vAlign w:val="center"/>
          </w:tcPr>
          <w:p w14:paraId="227E5519">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设备登高费</w:t>
            </w:r>
          </w:p>
        </w:tc>
        <w:tc>
          <w:tcPr>
            <w:tcW w:w="634" w:type="pct"/>
            <w:vAlign w:val="center"/>
          </w:tcPr>
          <w:p w14:paraId="257FC4F8">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项</w:t>
            </w:r>
          </w:p>
        </w:tc>
        <w:tc>
          <w:tcPr>
            <w:tcW w:w="533" w:type="pct"/>
            <w:vAlign w:val="center"/>
          </w:tcPr>
          <w:p w14:paraId="069E6E56">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1</w:t>
            </w:r>
          </w:p>
        </w:tc>
        <w:tc>
          <w:tcPr>
            <w:tcW w:w="888" w:type="pct"/>
            <w:vAlign w:val="center"/>
          </w:tcPr>
          <w:p w14:paraId="1D14AF48">
            <w:pPr>
              <w:widowControl/>
              <w:adjustRightInd w:val="0"/>
              <w:snapToGrid w:val="0"/>
              <w:jc w:val="center"/>
              <w:rPr>
                <w:rFonts w:asciiTheme="minorEastAsia" w:hAnsiTheme="minorEastAsia" w:eastAsiaTheme="minorEastAsia" w:cstheme="minorEastAsia"/>
                <w:color w:val="000000"/>
                <w:kern w:val="0"/>
                <w:highlight w:val="none"/>
                <w:lang w:bidi="ar"/>
              </w:rPr>
            </w:pPr>
          </w:p>
        </w:tc>
        <w:tc>
          <w:tcPr>
            <w:tcW w:w="1082" w:type="pct"/>
            <w:vAlign w:val="center"/>
          </w:tcPr>
          <w:p w14:paraId="7086855C">
            <w:pPr>
              <w:widowControl/>
              <w:adjustRightInd w:val="0"/>
              <w:snapToGrid w:val="0"/>
              <w:jc w:val="center"/>
              <w:rPr>
                <w:rFonts w:asciiTheme="minorEastAsia" w:hAnsiTheme="minorEastAsia" w:eastAsiaTheme="minorEastAsia" w:cstheme="minorEastAsia"/>
                <w:color w:val="000000"/>
                <w:kern w:val="0"/>
                <w:highlight w:val="none"/>
                <w:lang w:bidi="ar"/>
              </w:rPr>
            </w:pPr>
          </w:p>
        </w:tc>
        <w:tc>
          <w:tcPr>
            <w:tcW w:w="1044" w:type="pct"/>
            <w:vAlign w:val="center"/>
          </w:tcPr>
          <w:p w14:paraId="709F9C12">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吊车登高费</w:t>
            </w:r>
          </w:p>
        </w:tc>
      </w:tr>
      <w:tr w14:paraId="7733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16" w:type="pct"/>
            <w:vAlign w:val="center"/>
          </w:tcPr>
          <w:p w14:paraId="50D325BB">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垃圾清运费</w:t>
            </w:r>
          </w:p>
        </w:tc>
        <w:tc>
          <w:tcPr>
            <w:tcW w:w="634" w:type="pct"/>
            <w:vAlign w:val="center"/>
          </w:tcPr>
          <w:p w14:paraId="10FDD4D6">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项</w:t>
            </w:r>
          </w:p>
        </w:tc>
        <w:tc>
          <w:tcPr>
            <w:tcW w:w="533" w:type="pct"/>
            <w:vAlign w:val="center"/>
          </w:tcPr>
          <w:p w14:paraId="7274CC77">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1</w:t>
            </w:r>
          </w:p>
        </w:tc>
        <w:tc>
          <w:tcPr>
            <w:tcW w:w="888" w:type="pct"/>
            <w:vAlign w:val="center"/>
          </w:tcPr>
          <w:p w14:paraId="2F900ACC">
            <w:pPr>
              <w:widowControl/>
              <w:adjustRightInd w:val="0"/>
              <w:snapToGrid w:val="0"/>
              <w:jc w:val="center"/>
              <w:rPr>
                <w:rFonts w:asciiTheme="minorEastAsia" w:hAnsiTheme="minorEastAsia" w:eastAsiaTheme="minorEastAsia" w:cstheme="minorEastAsia"/>
                <w:color w:val="000000"/>
                <w:kern w:val="0"/>
                <w:highlight w:val="none"/>
                <w:lang w:bidi="ar"/>
              </w:rPr>
            </w:pPr>
          </w:p>
        </w:tc>
        <w:tc>
          <w:tcPr>
            <w:tcW w:w="1082" w:type="pct"/>
            <w:vAlign w:val="center"/>
          </w:tcPr>
          <w:p w14:paraId="682D2BA8">
            <w:pPr>
              <w:widowControl/>
              <w:adjustRightInd w:val="0"/>
              <w:snapToGrid w:val="0"/>
              <w:jc w:val="center"/>
              <w:rPr>
                <w:rFonts w:asciiTheme="minorEastAsia" w:hAnsiTheme="minorEastAsia" w:eastAsiaTheme="minorEastAsia" w:cstheme="minorEastAsia"/>
                <w:color w:val="000000"/>
                <w:kern w:val="0"/>
                <w:highlight w:val="none"/>
                <w:lang w:bidi="ar"/>
              </w:rPr>
            </w:pPr>
          </w:p>
        </w:tc>
        <w:tc>
          <w:tcPr>
            <w:tcW w:w="1044" w:type="pct"/>
            <w:vAlign w:val="center"/>
          </w:tcPr>
          <w:p w14:paraId="16D55299">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建筑垃圾清运费</w:t>
            </w:r>
          </w:p>
        </w:tc>
      </w:tr>
      <w:tr w14:paraId="6D745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84" w:type="pct"/>
            <w:gridSpan w:val="3"/>
            <w:vAlign w:val="center"/>
          </w:tcPr>
          <w:p w14:paraId="05D649D1">
            <w:pPr>
              <w:widowControl/>
              <w:adjustRightInd w:val="0"/>
              <w:snapToGrid w:val="0"/>
              <w:jc w:val="center"/>
              <w:rPr>
                <w:rFonts w:asciiTheme="minorEastAsia" w:hAnsiTheme="minorEastAsia" w:eastAsiaTheme="minorEastAsia" w:cstheme="minorEastAsia"/>
                <w:color w:val="000000"/>
                <w:kern w:val="0"/>
                <w:highlight w:val="none"/>
                <w:lang w:bidi="ar"/>
              </w:rPr>
            </w:pPr>
            <w:r>
              <w:rPr>
                <w:rFonts w:hint="eastAsia" w:asciiTheme="minorEastAsia" w:hAnsiTheme="minorEastAsia" w:eastAsiaTheme="minorEastAsia" w:cstheme="minorEastAsia"/>
                <w:color w:val="000000"/>
                <w:kern w:val="0"/>
                <w:highlight w:val="none"/>
                <w:lang w:bidi="ar"/>
              </w:rPr>
              <w:t>合计（元）</w:t>
            </w:r>
          </w:p>
        </w:tc>
        <w:tc>
          <w:tcPr>
            <w:tcW w:w="3015" w:type="pct"/>
            <w:gridSpan w:val="3"/>
            <w:vAlign w:val="center"/>
          </w:tcPr>
          <w:p w14:paraId="12F36479">
            <w:pPr>
              <w:widowControl/>
              <w:adjustRightInd w:val="0"/>
              <w:snapToGrid w:val="0"/>
              <w:jc w:val="center"/>
              <w:rPr>
                <w:rFonts w:asciiTheme="minorEastAsia" w:hAnsiTheme="minorEastAsia" w:eastAsiaTheme="minorEastAsia" w:cstheme="minorEastAsia"/>
                <w:color w:val="000000"/>
                <w:kern w:val="0"/>
                <w:highlight w:val="none"/>
                <w:lang w:bidi="ar"/>
              </w:rPr>
            </w:pPr>
          </w:p>
        </w:tc>
      </w:tr>
    </w:tbl>
    <w:p w14:paraId="3AFC0496">
      <w:pPr>
        <w:wordWrap w:val="0"/>
        <w:adjustRightInd w:val="0"/>
        <w:snapToGrid w:val="0"/>
        <w:spacing w:line="360" w:lineRule="auto"/>
        <w:rPr>
          <w:b/>
          <w:bCs/>
          <w:color w:val="000000" w:themeColor="text1"/>
          <w:sz w:val="24"/>
          <w:szCs w:val="24"/>
          <w:highlight w:val="none"/>
          <w14:textFill>
            <w14:solidFill>
              <w14:schemeClr w14:val="tx1"/>
            </w14:solidFill>
          </w14:textFill>
        </w:rPr>
      </w:pPr>
    </w:p>
    <w:p w14:paraId="5511CE45">
      <w:pPr>
        <w:snapToGrid w:val="0"/>
        <w:spacing w:line="360" w:lineRule="auto"/>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（盖单位公章）</w:t>
      </w:r>
      <w:r>
        <w:rPr>
          <w:rFonts w:ascii="宋体" w:hAnsi="宋体" w:cs="宋体"/>
          <w:color w:val="000000" w:themeColor="text1"/>
          <w:sz w:val="24"/>
          <w:highlight w:val="none"/>
          <w:u w:val="single"/>
          <w14:textFill>
            <w14:solidFill>
              <w14:schemeClr w14:val="tx1"/>
            </w14:solidFill>
          </w14:textFill>
        </w:rPr>
        <w:t xml:space="preserve">    </w:t>
      </w:r>
    </w:p>
    <w:p w14:paraId="3DB4A822">
      <w:pPr>
        <w:snapToGrid w:val="0"/>
        <w:spacing w:line="360" w:lineRule="auto"/>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法定代表人或其授权委托人：</w:t>
      </w:r>
      <w:r>
        <w:rPr>
          <w:rFonts w:ascii="宋体" w:hAnsi="宋体" w:cs="宋体"/>
          <w:color w:val="000000" w:themeColor="text1"/>
          <w:sz w:val="24"/>
          <w:highlight w:val="none"/>
          <w:u w:val="single"/>
          <w14:textFill>
            <w14:solidFill>
              <w14:schemeClr w14:val="tx1"/>
            </w14:solidFill>
          </w14:textFill>
        </w:rPr>
        <w:t xml:space="preserve">   </w:t>
      </w:r>
      <w:r>
        <w:rPr>
          <w:rFonts w:hint="eastAsia" w:ascii="Arial" w:hAnsi="Arial" w:cs="宋体"/>
          <w:color w:val="000000" w:themeColor="text1"/>
          <w:sz w:val="24"/>
          <w:highlight w:val="none"/>
          <w:u w:val="single"/>
          <w14:textFill>
            <w14:solidFill>
              <w14:schemeClr w14:val="tx1"/>
            </w14:solidFill>
          </w14:textFill>
        </w:rPr>
        <w:t>（亲笔签名或签名章）</w:t>
      </w:r>
      <w:r>
        <w:rPr>
          <w:rFonts w:ascii="宋体" w:hAnsi="宋体" w:cs="宋体"/>
          <w:color w:val="000000" w:themeColor="text1"/>
          <w:sz w:val="24"/>
          <w:highlight w:val="none"/>
          <w:u w:val="single"/>
          <w14:textFill>
            <w14:solidFill>
              <w14:schemeClr w14:val="tx1"/>
            </w14:solidFill>
          </w14:textFill>
        </w:rPr>
        <w:t xml:space="preserve">  </w:t>
      </w:r>
    </w:p>
    <w:p w14:paraId="29AD54CC">
      <w:pPr>
        <w:keepNext/>
        <w:keepLines/>
        <w:spacing w:before="240" w:after="120" w:afterLines="50" w:line="400" w:lineRule="exact"/>
        <w:ind w:firstLine="480" w:firstLineChars="200"/>
        <w:jc w:val="right"/>
        <w:outlineLvl w:val="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4672464E">
      <w:pPr>
        <w:pStyle w:val="25"/>
        <w:adjustRightInd w:val="0"/>
        <w:snapToGrid w:val="0"/>
        <w:spacing w:beforeLines="0" w:line="360" w:lineRule="auto"/>
        <w:ind w:firstLine="472" w:firstLineChars="196"/>
        <w:jc w:val="both"/>
        <w:rPr>
          <w:rFonts w:ascii="Times New Roman" w:hAnsi="Times New Roman" w:eastAsia="宋体" w:cs="Times New Roman"/>
          <w:color w:val="000000" w:themeColor="text1"/>
          <w:sz w:val="24"/>
          <w:szCs w:val="24"/>
          <w:highlight w:val="none"/>
          <w14:textFill>
            <w14:solidFill>
              <w14:schemeClr w14:val="tx1"/>
            </w14:solidFill>
          </w14:textFill>
        </w:rPr>
      </w:pPr>
    </w:p>
    <w:p w14:paraId="69B323F8">
      <w:pPr>
        <w:widowControl/>
        <w:jc w:val="left"/>
        <w:rPr>
          <w:color w:val="000000" w:themeColor="text1"/>
          <w:sz w:val="48"/>
          <w:szCs w:val="48"/>
          <w:highlight w:val="none"/>
          <w14:textFill>
            <w14:solidFill>
              <w14:schemeClr w14:val="tx1"/>
            </w14:solidFill>
          </w14:textFill>
        </w:rPr>
      </w:pPr>
    </w:p>
    <w:p w14:paraId="572ED3EF">
      <w:pPr>
        <w:rPr>
          <w:highlight w:val="none"/>
        </w:rPr>
      </w:pPr>
    </w:p>
    <w:sectPr>
      <w:footerReference r:id="rId7" w:type="default"/>
      <w:pgSz w:w="11905" w:h="16838"/>
      <w:pgMar w:top="1389" w:right="1474" w:bottom="1389" w:left="1644" w:header="850"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3Font_0">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163BA">
    <w:pPr>
      <w:spacing w:line="200" w:lineRule="exact"/>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3275C">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D53275C">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0E1D1">
    <w:pPr>
      <w:pStyle w:val="1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F91436">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BF91436">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B353C">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C43BC">
                          <w:pPr>
                            <w:pStyle w:val="1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CDC43BC">
                    <w:pPr>
                      <w:pStyle w:val="1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C4149">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CA19B">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E6CA19B">
                    <w:pPr>
                      <w:pStyle w:val="1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6EF3C">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E1542"/>
    <w:multiLevelType w:val="singleLevel"/>
    <w:tmpl w:val="009E154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C4E7E"/>
    <w:rsid w:val="043B1F2D"/>
    <w:rsid w:val="052A53FB"/>
    <w:rsid w:val="0620235A"/>
    <w:rsid w:val="0C3B4EC0"/>
    <w:rsid w:val="0E480E31"/>
    <w:rsid w:val="107B2FAF"/>
    <w:rsid w:val="10FC5772"/>
    <w:rsid w:val="17846A61"/>
    <w:rsid w:val="18910E95"/>
    <w:rsid w:val="18ED2570"/>
    <w:rsid w:val="1B79458F"/>
    <w:rsid w:val="1D4D182F"/>
    <w:rsid w:val="1D8F1E47"/>
    <w:rsid w:val="1F8B4890"/>
    <w:rsid w:val="202251F5"/>
    <w:rsid w:val="240422A6"/>
    <w:rsid w:val="255E0351"/>
    <w:rsid w:val="2584425C"/>
    <w:rsid w:val="285A5748"/>
    <w:rsid w:val="28DE3C83"/>
    <w:rsid w:val="29420EB1"/>
    <w:rsid w:val="2ACF7D27"/>
    <w:rsid w:val="2AE5579D"/>
    <w:rsid w:val="2CBC42DB"/>
    <w:rsid w:val="2CCC7F97"/>
    <w:rsid w:val="2F9B4539"/>
    <w:rsid w:val="30872CAA"/>
    <w:rsid w:val="320F30FF"/>
    <w:rsid w:val="32146967"/>
    <w:rsid w:val="3316226B"/>
    <w:rsid w:val="372E4027"/>
    <w:rsid w:val="38037262"/>
    <w:rsid w:val="38AA1DD4"/>
    <w:rsid w:val="3AEE7DE7"/>
    <w:rsid w:val="3C88781A"/>
    <w:rsid w:val="3D4E0F7F"/>
    <w:rsid w:val="3FB13A48"/>
    <w:rsid w:val="40CD665F"/>
    <w:rsid w:val="44226CC2"/>
    <w:rsid w:val="44627A06"/>
    <w:rsid w:val="448E4357"/>
    <w:rsid w:val="451C7BB5"/>
    <w:rsid w:val="47744EFD"/>
    <w:rsid w:val="47DC187E"/>
    <w:rsid w:val="49D24CE6"/>
    <w:rsid w:val="4C771B75"/>
    <w:rsid w:val="4E3917D8"/>
    <w:rsid w:val="4FB37368"/>
    <w:rsid w:val="527C6137"/>
    <w:rsid w:val="53A5521A"/>
    <w:rsid w:val="56CB31E9"/>
    <w:rsid w:val="592F5CB1"/>
    <w:rsid w:val="59883613"/>
    <w:rsid w:val="5ACD5782"/>
    <w:rsid w:val="5AFB13A2"/>
    <w:rsid w:val="5E2C4E7E"/>
    <w:rsid w:val="60432042"/>
    <w:rsid w:val="606049A2"/>
    <w:rsid w:val="61736957"/>
    <w:rsid w:val="63C74D38"/>
    <w:rsid w:val="66F2031E"/>
    <w:rsid w:val="67191D4F"/>
    <w:rsid w:val="67C049E6"/>
    <w:rsid w:val="6861368C"/>
    <w:rsid w:val="69C4796D"/>
    <w:rsid w:val="6A0409EC"/>
    <w:rsid w:val="6AD14E1A"/>
    <w:rsid w:val="6EAB7730"/>
    <w:rsid w:val="759E7FEF"/>
    <w:rsid w:val="76564426"/>
    <w:rsid w:val="76D96E05"/>
    <w:rsid w:val="78F10436"/>
    <w:rsid w:val="79660E24"/>
    <w:rsid w:val="79BD2A0E"/>
    <w:rsid w:val="7B191EC6"/>
    <w:rsid w:val="7CD442F6"/>
    <w:rsid w:val="7E5C2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paragraph" w:styleId="6">
    <w:name w:val="heading 4"/>
    <w:basedOn w:val="1"/>
    <w:next w:val="1"/>
    <w:qFormat/>
    <w:uiPriority w:val="99"/>
    <w:pPr>
      <w:keepNext/>
      <w:keepLines/>
      <w:spacing w:before="280" w:after="290" w:line="376" w:lineRule="auto"/>
      <w:outlineLvl w:val="3"/>
    </w:pPr>
    <w:rPr>
      <w:rFonts w:ascii="Arial" w:hAnsi="Arial" w:eastAsia="黑体" w:cs="Arial"/>
      <w:b/>
      <w:bCs/>
      <w:sz w:val="28"/>
      <w:szCs w:val="28"/>
    </w:rPr>
  </w:style>
  <w:style w:type="character" w:default="1" w:styleId="18">
    <w:name w:val="Default Paragraph Font"/>
    <w:semiHidden/>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7">
    <w:name w:val="Normal Indent"/>
    <w:basedOn w:val="1"/>
    <w:qFormat/>
    <w:uiPriority w:val="99"/>
    <w:pPr>
      <w:ind w:firstLine="420" w:firstLineChars="200"/>
    </w:pPr>
  </w:style>
  <w:style w:type="paragraph" w:styleId="8">
    <w:name w:val="Body Text 3"/>
    <w:basedOn w:val="1"/>
    <w:qFormat/>
    <w:uiPriority w:val="99"/>
    <w:rPr>
      <w:rFonts w:ascii="宋体" w:cs="宋体"/>
      <w:sz w:val="24"/>
      <w:szCs w:val="24"/>
    </w:rPr>
  </w:style>
  <w:style w:type="paragraph" w:styleId="9">
    <w:name w:val="Body Text Indent"/>
    <w:basedOn w:val="1"/>
    <w:next w:val="10"/>
    <w:qFormat/>
    <w:uiPriority w:val="99"/>
    <w:pPr>
      <w:spacing w:after="120"/>
      <w:ind w:left="420" w:leftChars="200"/>
    </w:pPr>
  </w:style>
  <w:style w:type="paragraph" w:styleId="10">
    <w:name w:val="envelope return"/>
    <w:basedOn w:val="1"/>
    <w:qFormat/>
    <w:uiPriority w:val="99"/>
    <w:pPr>
      <w:snapToGrid w:val="0"/>
      <w:spacing w:line="360" w:lineRule="auto"/>
      <w:ind w:firstLine="200" w:firstLineChars="200"/>
    </w:pPr>
    <w:rPr>
      <w:rFonts w:ascii="Arial" w:hAnsi="Arial" w:eastAsia="仿宋_GB2312" w:cs="Arial"/>
      <w:sz w:val="24"/>
    </w:rPr>
  </w:style>
  <w:style w:type="paragraph" w:styleId="11">
    <w:name w:val="Body Text Indent 2"/>
    <w:basedOn w:val="1"/>
    <w:qFormat/>
    <w:uiPriority w:val="99"/>
    <w:pPr>
      <w:spacing w:after="120" w:line="480" w:lineRule="auto"/>
      <w:ind w:left="420" w:leftChars="200"/>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9"/>
    <w:unhideWhenUsed/>
    <w:qFormat/>
    <w:uiPriority w:val="99"/>
    <w:pPr>
      <w:ind w:firstLine="420" w:firstLineChars="200"/>
    </w:pPr>
    <w:rPr>
      <w:szCs w:val="24"/>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paragraph" w:customStyle="1" w:styleId="20">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21">
    <w:name w:val="样式 标题 3 + (中文) 黑体 小四 非加粗 段前: 7.8 磅 段后: 0 磅 行距: 固定值 20 磅"/>
    <w:basedOn w:val="5"/>
    <w:next w:val="1"/>
    <w:qFormat/>
    <w:uiPriority w:val="99"/>
    <w:pPr>
      <w:spacing w:before="0" w:after="0" w:line="400" w:lineRule="exact"/>
    </w:pPr>
    <w:rPr>
      <w:rFonts w:eastAsia="黑体"/>
      <w:b w:val="0"/>
      <w:bCs w:val="0"/>
      <w:sz w:val="24"/>
      <w:szCs w:val="24"/>
    </w:rPr>
  </w:style>
  <w:style w:type="paragraph" w:styleId="22">
    <w:name w:val="List Paragraph"/>
    <w:basedOn w:val="1"/>
    <w:qFormat/>
    <w:uiPriority w:val="99"/>
    <w:pPr>
      <w:ind w:firstLine="420" w:firstLineChars="200"/>
    </w:pPr>
  </w:style>
  <w:style w:type="paragraph" w:customStyle="1" w:styleId="23">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b/>
      <w:bCs/>
      <w:sz w:val="32"/>
      <w:szCs w:val="20"/>
    </w:rPr>
  </w:style>
  <w:style w:type="paragraph" w:customStyle="1" w:styleId="24">
    <w:name w:val="样式1"/>
    <w:basedOn w:val="1"/>
    <w:qFormat/>
    <w:uiPriority w:val="99"/>
    <w:rPr>
      <w:sz w:val="18"/>
      <w:szCs w:val="18"/>
    </w:rPr>
  </w:style>
  <w:style w:type="paragraph" w:customStyle="1" w:styleId="25">
    <w:name w:val="格式1"/>
    <w:basedOn w:val="1"/>
    <w:qFormat/>
    <w:uiPriority w:val="99"/>
    <w:pPr>
      <w:spacing w:beforeLines="50"/>
      <w:jc w:val="center"/>
    </w:pPr>
    <w:rPr>
      <w:rFonts w:ascii="黑体" w:hAnsi="宋体" w:eastAsia="黑体" w:cs="黑体"/>
      <w:b/>
      <w:bCs/>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6211</Words>
  <Characters>6875</Characters>
  <Lines>0</Lines>
  <Paragraphs>0</Paragraphs>
  <TotalTime>0</TotalTime>
  <ScaleCrop>false</ScaleCrop>
  <LinksUpToDate>false</LinksUpToDate>
  <CharactersWithSpaces>6998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2025-04-11T01:42:00Z</dcterms:created>
  <dc:creator>  坚强</dc:creator>
  <cp:lastModifiedBy>WPS_1542117345</cp:lastModifiedBy>
  <dcterms:modified xsi:type="dcterms:W3CDTF">2025-04-14T06:25:17Z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4EEF99C5B4564BBAB5B1107FD1D68E22_11</vt:lpwstr>
  </property>
  <property fmtid="{D5CDD505-2E9C-101B-9397-08002B2CF9AE}" pid="4" name="KSOTemplateDocerSaveRecord">
    <vt:lpwstr>eyJoZGlkIjoiYTJkODg0NjgxNmM0NGJhZmU2YjFjZDliYjVhYWJiMTUiLCJ1c2VySWQiOiI0Mjc4NTY2NzMifQ==</vt:lpwstr>
  </property>
</Properties>
</file>