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pacing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</w:rPr>
        <w:t>2023年</w:t>
      </w:r>
      <w:r>
        <w:rPr>
          <w:rFonts w:hint="eastAsia" w:eastAsia="方正小标宋简体" w:cs="Times New Roman"/>
          <w:spacing w:val="0"/>
          <w:sz w:val="40"/>
          <w:szCs w:val="40"/>
          <w:lang w:eastAsia="zh-CN"/>
        </w:rPr>
        <w:t>四</w:t>
      </w:r>
      <w:r>
        <w:rPr>
          <w:rFonts w:hint="eastAsia" w:ascii="Times New Roman" w:hAnsi="Times New Roman" w:eastAsia="方正小标宋简体" w:cs="Times New Roman"/>
          <w:spacing w:val="0"/>
          <w:sz w:val="40"/>
          <w:szCs w:val="40"/>
          <w:lang w:eastAsia="zh-CN"/>
        </w:rPr>
        <w:t>季度</w:t>
      </w:r>
      <w:r>
        <w:rPr>
          <w:rFonts w:hint="default" w:ascii="Times New Roman" w:hAnsi="Times New Roman" w:eastAsia="方正小标宋简体" w:cs="Times New Roman"/>
          <w:spacing w:val="0"/>
          <w:sz w:val="40"/>
          <w:szCs w:val="40"/>
        </w:rPr>
        <w:t>南通交通经济运行</w:t>
      </w:r>
      <w:r>
        <w:rPr>
          <w:rFonts w:hint="eastAsia" w:eastAsia="方正小标宋简体" w:cs="Times New Roman"/>
          <w:spacing w:val="0"/>
          <w:sz w:val="40"/>
          <w:szCs w:val="40"/>
          <w:lang w:eastAsia="zh-CN"/>
        </w:rPr>
        <w:t>快报</w:t>
      </w:r>
    </w:p>
    <w:p>
      <w:pPr>
        <w:numPr>
          <w:ilvl w:val="0"/>
          <w:numId w:val="0"/>
        </w:numPr>
        <w:ind w:firstLine="640" w:firstLineChars="200"/>
        <w:rPr>
          <w:rStyle w:val="5"/>
          <w:rFonts w:hint="eastAsia" w:ascii="方正楷体简体" w:hAnsi="方正楷体简体" w:eastAsia="方正楷体简体" w:cs="方正楷体简体"/>
          <w:b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一、固定资产投资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  <w:t>2023年省厅下达南通市交通建设投资计划为253.3亿元，1-12月份全市完成投资348.7亿元，占年度计划的137.7%，同比增长34.2%，为全市扩大有效投资、稳定经济增长发挥了“压舱石”作用。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二、客货运输量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b/>
          <w:bCs w:val="0"/>
          <w:sz w:val="32"/>
          <w:szCs w:val="28"/>
        </w:rPr>
      </w:pPr>
      <w:r>
        <w:rPr>
          <w:rFonts w:hint="eastAsia"/>
          <w:b/>
          <w:bCs w:val="0"/>
          <w:sz w:val="32"/>
          <w:szCs w:val="28"/>
        </w:rPr>
        <w:t>（</w:t>
      </w:r>
      <w:r>
        <w:rPr>
          <w:rFonts w:hint="eastAsia"/>
          <w:b/>
          <w:bCs w:val="0"/>
          <w:sz w:val="32"/>
          <w:szCs w:val="28"/>
          <w:lang w:val="en-US" w:eastAsia="zh-CN"/>
        </w:rPr>
        <w:t>1</w:t>
      </w:r>
      <w:r>
        <w:rPr>
          <w:rFonts w:hint="eastAsia"/>
          <w:b/>
          <w:bCs w:val="0"/>
          <w:sz w:val="32"/>
          <w:szCs w:val="28"/>
        </w:rPr>
        <w:t>）公路运输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公路客运方面，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~12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月份，全市累计完成公路客运量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1676万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人次，旅客周转量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14.3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亿人公里，同比分别增长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75.1%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80.2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公路货运方面，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~12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月份，共完成公路货运量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12891万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吨，货物周转量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260.3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亿吨公里，同比分别增长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11.7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%和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12.1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</w:t>
      </w:r>
      <w:r>
        <w:rPr>
          <w:rStyle w:val="5"/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Times New Roman" w:hAnsi="Times New Roman" w:cs="Times New Roman"/>
          <w:b/>
          <w:bCs w:val="0"/>
          <w:sz w:val="32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sz w:val="32"/>
          <w:szCs w:val="28"/>
          <w:lang w:val="en-US" w:eastAsia="zh-CN"/>
        </w:rPr>
        <w:t>（2）</w:t>
      </w:r>
      <w:r>
        <w:rPr>
          <w:rFonts w:hint="default" w:ascii="Times New Roman" w:hAnsi="Times New Roman" w:cs="Times New Roman"/>
          <w:b/>
          <w:bCs w:val="0"/>
          <w:sz w:val="32"/>
          <w:szCs w:val="28"/>
          <w:lang w:val="en-US" w:eastAsia="zh-CN"/>
        </w:rPr>
        <w:t>水路运</w:t>
      </w:r>
      <w:r>
        <w:rPr>
          <w:rFonts w:hint="eastAsia" w:ascii="Times New Roman" w:hAnsi="Times New Roman" w:cs="Times New Roman"/>
          <w:b/>
          <w:bCs w:val="0"/>
          <w:sz w:val="32"/>
          <w:szCs w:val="28"/>
          <w:lang w:val="en-US" w:eastAsia="zh-CN"/>
        </w:rPr>
        <w:t>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1~12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月份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全市完成水路货运量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12585万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吨，同比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增长</w:t>
      </w:r>
      <w:r>
        <w:rPr>
          <w:rStyle w:val="5"/>
          <w:rFonts w:hint="eastAsia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14.8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%</w:t>
      </w:r>
      <w:r>
        <w:rPr>
          <w:rStyle w:val="5"/>
          <w:rFonts w:hint="eastAsia" w:eastAsia="方正仿宋_GBK" w:cs="Times New Roman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；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货物周转量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1008.6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亿吨公里</w:t>
      </w:r>
      <w:r>
        <w:rPr>
          <w:rStyle w:val="5"/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同比增长12.9%</w:t>
      </w:r>
      <w:bookmarkStart w:id="0" w:name="_GoBack"/>
      <w:bookmarkEnd w:id="0"/>
      <w:r>
        <w:rPr>
          <w:rStyle w:val="5"/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三、港口生产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Style w:val="5"/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1-1</w:t>
      </w:r>
      <w:r>
        <w:rPr>
          <w:rStyle w:val="5"/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2月，南通港口完成货物吞吐量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3436</w:t>
      </w:r>
      <w:r>
        <w:rPr>
          <w:rStyle w:val="5"/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2万吨，同比增长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9.</w:t>
      </w:r>
      <w:r>
        <w:rPr>
          <w:rStyle w:val="5"/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（</w:t>
      </w:r>
      <w:r>
        <w:rPr>
          <w:rStyle w:val="5"/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其中沿江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Style w:val="5"/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5874万吨，同比下降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Style w:val="5"/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</w:t>
      </w:r>
      <w:r>
        <w:rPr>
          <w:rStyle w:val="5"/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，沿海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4</w:t>
      </w:r>
      <w:r>
        <w:rPr>
          <w:rStyle w:val="5"/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984万吨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）；</w:t>
      </w:r>
      <w:r>
        <w:rPr>
          <w:rStyle w:val="5"/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集装箱完成206.9万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TEU</w:t>
      </w:r>
      <w:r>
        <w:rPr>
          <w:rStyle w:val="5"/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，同比下降8.5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</w:t>
      </w:r>
      <w:r>
        <w:rPr>
          <w:rStyle w:val="5"/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（其中沿江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Style w:val="5"/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94.2万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TEU</w:t>
      </w:r>
      <w:r>
        <w:rPr>
          <w:rStyle w:val="5"/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，沿海10.1万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TEU</w:t>
      </w:r>
      <w:r>
        <w:rPr>
          <w:rStyle w:val="5"/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，内河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Style w:val="5"/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7万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TEU</w:t>
      </w:r>
      <w:r>
        <w:rPr>
          <w:rStyle w:val="5"/>
          <w:rFonts w:hint="eastAsia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四、航空运输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1~12月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，机场完成旅客吞吐量</w:t>
      </w:r>
      <w:r>
        <w:rPr>
          <w:rFonts w:hint="eastAsia" w:cs="Times New Roman"/>
          <w:sz w:val="32"/>
          <w:szCs w:val="32"/>
          <w:lang w:val="en-US" w:eastAsia="zh-CN"/>
        </w:rPr>
        <w:t>365.9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万人，同比增长</w:t>
      </w:r>
      <w:r>
        <w:rPr>
          <w:rFonts w:hint="eastAsia" w:cs="Times New Roman"/>
          <w:sz w:val="32"/>
          <w:szCs w:val="32"/>
          <w:lang w:val="en-US" w:eastAsia="zh-CN"/>
        </w:rPr>
        <w:t>113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%；</w:t>
      </w:r>
      <w:r>
        <w:rPr>
          <w:rFonts w:hint="eastAsia" w:cs="Times New Roman"/>
          <w:sz w:val="32"/>
          <w:szCs w:val="32"/>
          <w:lang w:val="en-US" w:eastAsia="zh-CN"/>
        </w:rPr>
        <w:t>累计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完成货邮吞吐量</w:t>
      </w:r>
      <w:r>
        <w:rPr>
          <w:rFonts w:hint="eastAsia" w:cs="Times New Roman"/>
          <w:sz w:val="32"/>
          <w:szCs w:val="32"/>
          <w:lang w:val="en-US" w:eastAsia="zh-CN"/>
        </w:rPr>
        <w:t>6.02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万吨，同比</w:t>
      </w:r>
      <w:r>
        <w:rPr>
          <w:rFonts w:hint="eastAsia" w:cs="Times New Roman"/>
          <w:sz w:val="32"/>
          <w:szCs w:val="32"/>
          <w:lang w:val="en-US" w:eastAsia="zh-CN"/>
        </w:rPr>
        <w:t>增长11.1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五、铁路运输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1~12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月，铁路完成旅客运输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1203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万人，同比增长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134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%；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累计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完成货物运输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245.9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万吨，同比增长</w:t>
      </w:r>
      <w:r>
        <w:rPr>
          <w:rStyle w:val="5"/>
          <w:rFonts w:hint="eastAsia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2.4</w:t>
      </w:r>
      <w:r>
        <w:rPr>
          <w:rStyle w:val="5"/>
          <w:rFonts w:hint="default" w:ascii="Times New Roman" w:hAnsi="Times New Roman" w:eastAsia="方正仿宋_GBK" w:cs="Times New Roman"/>
          <w:b w:val="0"/>
          <w:color w:val="auto"/>
          <w:spacing w:val="0"/>
          <w:sz w:val="32"/>
          <w:szCs w:val="32"/>
          <w:highlight w:val="none"/>
          <w:lang w:val="en-US" w:eastAsia="zh-CN"/>
        </w:rPr>
        <w:t>%。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E3FA0"/>
    <w:rsid w:val="41CC11FC"/>
    <w:rsid w:val="5A8E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2023-10-17T01:20:00Z</dcterms:created>
  <dc:creator>Administrator</dc:creator>
  <cp:lastModifiedBy>Administrator</cp:lastModifiedBy>
  <dcterms:modified xsi:type="dcterms:W3CDTF">2024-01-17T06:06:59Z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8A4D3AB815E841D08872AB89E6F90974</vt:lpwstr>
  </property>
</Properties>
</file>