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u w:val="single"/>
        </w:rPr>
      </w:pPr>
    </w:p>
    <w:p>
      <w:pPr>
        <w:jc w:val="center"/>
        <w:rPr>
          <w:sz w:val="28"/>
          <w:szCs w:val="28"/>
          <w:u w:val="single"/>
        </w:rPr>
      </w:pPr>
    </w:p>
    <w:p>
      <w:pPr>
        <w:jc w:val="center"/>
        <w:rPr>
          <w:rFonts w:ascii="黑体" w:hAnsi="黑体" w:eastAsia="黑体"/>
          <w:sz w:val="36"/>
          <w:szCs w:val="36"/>
        </w:rPr>
      </w:pPr>
    </w:p>
    <w:p>
      <w:pPr>
        <w:jc w:val="center"/>
        <w:rPr>
          <w:rFonts w:hint="eastAsia" w:ascii="黑体" w:hAnsi="黑体" w:eastAsia="黑体"/>
          <w:sz w:val="44"/>
          <w:szCs w:val="44"/>
        </w:rPr>
      </w:pPr>
      <w:r>
        <w:rPr>
          <w:rFonts w:hint="eastAsia" w:ascii="黑体" w:hAnsi="黑体" w:eastAsia="黑体"/>
          <w:sz w:val="44"/>
          <w:szCs w:val="44"/>
        </w:rPr>
        <w:t>南通市交通公共事业发展中心</w:t>
      </w:r>
    </w:p>
    <w:p>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2023年招标代理服务项目</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招标文件</w:t>
      </w:r>
    </w:p>
    <w:p>
      <w:pPr>
        <w:autoSpaceDE w:val="0"/>
        <w:autoSpaceDN w:val="0"/>
        <w:adjustRightInd w:val="0"/>
        <w:spacing w:before="4" w:line="100" w:lineRule="exact"/>
        <w:jc w:val="left"/>
        <w:rPr>
          <w:rFonts w:ascii="黑体" w:hAnsi="黑体" w:eastAsia="黑体" w:cs="宋体"/>
          <w:kern w:val="0"/>
          <w:sz w:val="10"/>
          <w:szCs w:val="10"/>
        </w:rPr>
      </w:pPr>
    </w:p>
    <w:p>
      <w:pPr>
        <w:autoSpaceDE w:val="0"/>
        <w:autoSpaceDN w:val="0"/>
        <w:adjustRightInd w:val="0"/>
        <w:spacing w:line="200" w:lineRule="exact"/>
        <w:jc w:val="left"/>
        <w:rPr>
          <w:rFonts w:ascii="黑体" w:hAnsi="黑体" w:eastAsia="黑体" w:cs="宋体"/>
          <w:kern w:val="0"/>
          <w:sz w:val="20"/>
          <w:szCs w:val="20"/>
        </w:rPr>
      </w:pPr>
    </w:p>
    <w:p>
      <w:pPr>
        <w:jc w:val="center"/>
        <w:rPr>
          <w:rFonts w:ascii="黑体" w:hAnsi="黑体" w:eastAsia="黑体"/>
          <w:bCs/>
          <w:sz w:val="32"/>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28"/>
          <w:szCs w:val="28"/>
        </w:rPr>
      </w:pPr>
    </w:p>
    <w:p>
      <w:pPr>
        <w:jc w:val="center"/>
        <w:rPr>
          <w:rFonts w:ascii="黑体" w:hAnsi="黑体" w:eastAsia="黑体"/>
          <w:position w:val="-3"/>
          <w:sz w:val="28"/>
          <w:szCs w:val="28"/>
        </w:rPr>
      </w:pPr>
      <w:r>
        <w:rPr>
          <w:rFonts w:hint="eastAsia" w:ascii="黑体" w:hAnsi="黑体" w:eastAsia="黑体"/>
          <w:sz w:val="28"/>
          <w:szCs w:val="28"/>
        </w:rPr>
        <w:t>招标人：南通市交通公共事业发展中心</w:t>
      </w:r>
    </w:p>
    <w:p>
      <w:pPr>
        <w:jc w:val="center"/>
        <w:rPr>
          <w:sz w:val="32"/>
          <w:szCs w:val="32"/>
        </w:rPr>
      </w:pPr>
      <w:r>
        <w:rPr>
          <w:rFonts w:hint="eastAsia" w:ascii="黑体" w:hAnsi="黑体" w:eastAsia="黑体" w:cs="黑体"/>
          <w:position w:val="-3"/>
          <w:sz w:val="28"/>
          <w:szCs w:val="28"/>
        </w:rPr>
        <w:t>二〇二</w:t>
      </w:r>
      <w:r>
        <w:rPr>
          <w:rFonts w:hint="eastAsia" w:ascii="黑体" w:hAnsi="黑体" w:eastAsia="黑体" w:cs="黑体"/>
          <w:position w:val="-3"/>
          <w:sz w:val="28"/>
          <w:szCs w:val="28"/>
          <w:lang w:val="en-US" w:eastAsia="zh-CN"/>
        </w:rPr>
        <w:t>三</w:t>
      </w:r>
      <w:r>
        <w:rPr>
          <w:rFonts w:hint="eastAsia" w:ascii="黑体" w:hAnsi="黑体" w:eastAsia="黑体" w:cs="黑体"/>
          <w:position w:val="-3"/>
          <w:sz w:val="28"/>
          <w:szCs w:val="28"/>
        </w:rPr>
        <w:t>年</w:t>
      </w:r>
      <w:r>
        <w:rPr>
          <w:rFonts w:hint="eastAsia" w:ascii="黑体" w:hAnsi="黑体" w:eastAsia="黑体" w:cs="黑体"/>
          <w:position w:val="-3"/>
          <w:sz w:val="28"/>
          <w:szCs w:val="28"/>
          <w:lang w:val="en-US" w:eastAsia="zh-CN"/>
        </w:rPr>
        <w:t>一</w:t>
      </w:r>
      <w:r>
        <w:rPr>
          <w:rFonts w:hint="eastAsia" w:ascii="黑体" w:hAnsi="黑体" w:eastAsia="黑体" w:cs="黑体"/>
          <w:position w:val="-3"/>
          <w:sz w:val="28"/>
          <w:szCs w:val="28"/>
        </w:rPr>
        <w:t>月</w:t>
      </w:r>
    </w:p>
    <w:p/>
    <w:p>
      <w:pPr>
        <w:tabs>
          <w:tab w:val="left" w:pos="3260"/>
          <w:tab w:val="left" w:pos="4340"/>
          <w:tab w:val="left" w:pos="5540"/>
        </w:tabs>
        <w:autoSpaceDE w:val="0"/>
        <w:autoSpaceDN w:val="0"/>
        <w:adjustRightInd w:val="0"/>
        <w:spacing w:line="300" w:lineRule="exact"/>
        <w:ind w:right="-20"/>
        <w:jc w:val="center"/>
        <w:rPr>
          <w:sz w:val="32"/>
          <w:szCs w:val="32"/>
        </w:rPr>
      </w:pPr>
    </w:p>
    <w:p/>
    <w:p>
      <w:p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jc w:val="center"/>
      </w:pPr>
      <w:r>
        <w:rPr>
          <w:rFonts w:hint="eastAsia"/>
        </w:rPr>
        <w:t>目</w:t>
      </w:r>
      <w:r>
        <w:tab/>
      </w:r>
      <w:r>
        <w:rPr>
          <w:rFonts w:hint="eastAsia"/>
        </w:rPr>
        <w:t>录</w:t>
      </w:r>
    </w:p>
    <w:p>
      <w:pPr>
        <w:pStyle w:val="32"/>
        <w:tabs>
          <w:tab w:val="right" w:leader="dot" w:pos="8306"/>
        </w:tabs>
      </w:pPr>
      <w:r>
        <w:fldChar w:fldCharType="begin"/>
      </w:r>
      <w:r>
        <w:instrText xml:space="preserve">TOC \o "1-3" \h \z \u</w:instrText>
      </w:r>
      <w:r>
        <w:fldChar w:fldCharType="separate"/>
      </w:r>
      <w:r>
        <w:fldChar w:fldCharType="begin"/>
      </w:r>
      <w:r>
        <w:instrText xml:space="preserve"> HYPERLINK \l _Toc769 </w:instrText>
      </w:r>
      <w:r>
        <w:fldChar w:fldCharType="separate"/>
      </w:r>
      <w:r>
        <w:rPr>
          <w:rFonts w:hint="eastAsia"/>
        </w:rPr>
        <w:t>第一章</w:t>
      </w:r>
      <w:r>
        <w:t xml:space="preserve"> </w:t>
      </w:r>
      <w:r>
        <w:rPr>
          <w:rFonts w:hint="eastAsia"/>
        </w:rPr>
        <w:t>招标公告</w:t>
      </w:r>
      <w:r>
        <w:tab/>
      </w:r>
      <w:r>
        <w:fldChar w:fldCharType="begin"/>
      </w:r>
      <w:r>
        <w:instrText xml:space="preserve"> PAGEREF _Toc769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_Toc23505 </w:instrText>
      </w:r>
      <w:r>
        <w:fldChar w:fldCharType="separate"/>
      </w:r>
      <w:r>
        <w:rPr>
          <w:rFonts w:hint="eastAsia"/>
        </w:rPr>
        <w:t>1.</w:t>
      </w:r>
      <w:r>
        <w:t xml:space="preserve">  </w:t>
      </w:r>
      <w:r>
        <w:rPr>
          <w:rFonts w:hint="eastAsia"/>
        </w:rPr>
        <w:t>招标条件</w:t>
      </w:r>
      <w:r>
        <w:tab/>
      </w:r>
      <w:r>
        <w:fldChar w:fldCharType="begin"/>
      </w:r>
      <w:r>
        <w:instrText xml:space="preserve"> PAGEREF _Toc23505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_Toc28839 </w:instrText>
      </w:r>
      <w:r>
        <w:fldChar w:fldCharType="separate"/>
      </w:r>
      <w:r>
        <w:rPr>
          <w:rFonts w:hint="eastAsia"/>
        </w:rPr>
        <w:t>2.</w:t>
      </w:r>
      <w:r>
        <w:t xml:space="preserve">  </w:t>
      </w:r>
      <w:r>
        <w:rPr>
          <w:rFonts w:hint="eastAsia"/>
        </w:rPr>
        <w:t>招标范围</w:t>
      </w:r>
      <w:r>
        <w:tab/>
      </w:r>
      <w:r>
        <w:fldChar w:fldCharType="begin"/>
      </w:r>
      <w:r>
        <w:instrText xml:space="preserve"> PAGEREF _Toc28839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_Toc12356 </w:instrText>
      </w:r>
      <w:r>
        <w:fldChar w:fldCharType="separate"/>
      </w:r>
      <w:r>
        <w:rPr>
          <w:rFonts w:hint="eastAsia"/>
        </w:rPr>
        <w:t>3.</w:t>
      </w:r>
      <w:r>
        <w:t xml:space="preserve">  </w:t>
      </w:r>
      <w:r>
        <w:rPr>
          <w:rFonts w:hint="eastAsia"/>
        </w:rPr>
        <w:t>投标人资格要求</w:t>
      </w:r>
      <w:r>
        <w:tab/>
      </w:r>
      <w:r>
        <w:fldChar w:fldCharType="begin"/>
      </w:r>
      <w:r>
        <w:instrText xml:space="preserve"> PAGEREF _Toc12356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_Toc9029 </w:instrText>
      </w:r>
      <w:r>
        <w:fldChar w:fldCharType="separate"/>
      </w:r>
      <w:r>
        <w:rPr>
          <w:rFonts w:hint="eastAsia"/>
        </w:rPr>
        <w:t>4.</w:t>
      </w:r>
      <w:r>
        <w:t xml:space="preserve">  </w:t>
      </w:r>
      <w:r>
        <w:rPr>
          <w:rFonts w:hint="eastAsia"/>
        </w:rPr>
        <w:t>招标文件获取</w:t>
      </w:r>
      <w:r>
        <w:tab/>
      </w:r>
      <w:r>
        <w:fldChar w:fldCharType="begin"/>
      </w:r>
      <w:r>
        <w:instrText xml:space="preserve"> PAGEREF _Toc9029 \h </w:instrText>
      </w:r>
      <w:r>
        <w:fldChar w:fldCharType="separate"/>
      </w:r>
      <w:r>
        <w:t>5</w:t>
      </w:r>
      <w:r>
        <w:fldChar w:fldCharType="end"/>
      </w:r>
      <w:r>
        <w:fldChar w:fldCharType="end"/>
      </w:r>
    </w:p>
    <w:p>
      <w:pPr>
        <w:pStyle w:val="37"/>
        <w:tabs>
          <w:tab w:val="right" w:leader="dot" w:pos="8306"/>
        </w:tabs>
      </w:pPr>
      <w:r>
        <w:fldChar w:fldCharType="begin"/>
      </w:r>
      <w:r>
        <w:instrText xml:space="preserve"> HYPERLINK \l _Toc28713 </w:instrText>
      </w:r>
      <w:r>
        <w:fldChar w:fldCharType="separate"/>
      </w:r>
      <w:r>
        <w:rPr>
          <w:rFonts w:hint="eastAsia"/>
        </w:rPr>
        <w:t>5.</w:t>
      </w:r>
      <w:r>
        <w:t xml:space="preserve">  </w:t>
      </w:r>
      <w:r>
        <w:rPr>
          <w:rFonts w:hint="eastAsia"/>
        </w:rPr>
        <w:t>投标文件的递交</w:t>
      </w:r>
      <w:r>
        <w:tab/>
      </w:r>
      <w:r>
        <w:fldChar w:fldCharType="begin"/>
      </w:r>
      <w:r>
        <w:instrText xml:space="preserve"> PAGEREF _Toc28713 \h </w:instrText>
      </w:r>
      <w:r>
        <w:fldChar w:fldCharType="separate"/>
      </w:r>
      <w:r>
        <w:t>5</w:t>
      </w:r>
      <w:r>
        <w:fldChar w:fldCharType="end"/>
      </w:r>
      <w:r>
        <w:fldChar w:fldCharType="end"/>
      </w:r>
    </w:p>
    <w:p>
      <w:pPr>
        <w:pStyle w:val="37"/>
        <w:tabs>
          <w:tab w:val="right" w:leader="dot" w:pos="8306"/>
        </w:tabs>
      </w:pPr>
      <w:r>
        <w:fldChar w:fldCharType="begin"/>
      </w:r>
      <w:r>
        <w:instrText xml:space="preserve"> HYPERLINK \l _Toc9589 </w:instrText>
      </w:r>
      <w:r>
        <w:fldChar w:fldCharType="separate"/>
      </w:r>
      <w:r>
        <w:rPr>
          <w:rFonts w:hint="eastAsia"/>
        </w:rPr>
        <w:t>6.</w:t>
      </w:r>
      <w:r>
        <w:t xml:space="preserve">  </w:t>
      </w:r>
      <w:r>
        <w:rPr>
          <w:rFonts w:hint="eastAsia"/>
        </w:rPr>
        <w:t>发布公告的媒介</w:t>
      </w:r>
      <w:r>
        <w:tab/>
      </w:r>
      <w:r>
        <w:fldChar w:fldCharType="begin"/>
      </w:r>
      <w:r>
        <w:instrText xml:space="preserve"> PAGEREF _Toc9589 \h </w:instrText>
      </w:r>
      <w:r>
        <w:fldChar w:fldCharType="separate"/>
      </w:r>
      <w:r>
        <w:t>6</w:t>
      </w:r>
      <w:r>
        <w:fldChar w:fldCharType="end"/>
      </w:r>
      <w:r>
        <w:fldChar w:fldCharType="end"/>
      </w:r>
    </w:p>
    <w:p>
      <w:pPr>
        <w:pStyle w:val="37"/>
        <w:tabs>
          <w:tab w:val="right" w:leader="dot" w:pos="8306"/>
        </w:tabs>
      </w:pPr>
      <w:r>
        <w:fldChar w:fldCharType="begin"/>
      </w:r>
      <w:r>
        <w:instrText xml:space="preserve"> HYPERLINK \l _Toc18582 </w:instrText>
      </w:r>
      <w:r>
        <w:fldChar w:fldCharType="separate"/>
      </w:r>
      <w:r>
        <w:rPr>
          <w:rFonts w:hint="eastAsia"/>
        </w:rPr>
        <w:t>7.</w:t>
      </w:r>
      <w:r>
        <w:t xml:space="preserve">  </w:t>
      </w:r>
      <w:r>
        <w:rPr>
          <w:rFonts w:hint="eastAsia"/>
        </w:rPr>
        <w:t>联系方式</w:t>
      </w:r>
      <w:r>
        <w:tab/>
      </w:r>
      <w:r>
        <w:fldChar w:fldCharType="begin"/>
      </w:r>
      <w:r>
        <w:instrText xml:space="preserve"> PAGEREF _Toc18582 \h </w:instrText>
      </w:r>
      <w:r>
        <w:fldChar w:fldCharType="separate"/>
      </w:r>
      <w:r>
        <w:t>6</w:t>
      </w:r>
      <w:r>
        <w:fldChar w:fldCharType="end"/>
      </w:r>
      <w:r>
        <w:fldChar w:fldCharType="end"/>
      </w:r>
    </w:p>
    <w:p>
      <w:pPr>
        <w:pStyle w:val="32"/>
        <w:tabs>
          <w:tab w:val="right" w:leader="dot" w:pos="8306"/>
        </w:tabs>
      </w:pPr>
      <w:r>
        <w:fldChar w:fldCharType="begin"/>
      </w:r>
      <w:r>
        <w:instrText xml:space="preserve"> HYPERLINK \l _Toc4436 </w:instrText>
      </w:r>
      <w:r>
        <w:fldChar w:fldCharType="separate"/>
      </w:r>
      <w:r>
        <w:rPr>
          <w:rFonts w:hint="eastAsia"/>
        </w:rPr>
        <w:t>第二章</w:t>
      </w:r>
      <w:r>
        <w:t xml:space="preserve"> </w:t>
      </w:r>
      <w:r>
        <w:rPr>
          <w:rFonts w:hint="eastAsia"/>
        </w:rPr>
        <w:t>投标人须知</w:t>
      </w:r>
      <w:r>
        <w:tab/>
      </w:r>
      <w:r>
        <w:fldChar w:fldCharType="begin"/>
      </w:r>
      <w:r>
        <w:instrText xml:space="preserve"> PAGEREF _Toc4436 \h </w:instrText>
      </w:r>
      <w:r>
        <w:fldChar w:fldCharType="separate"/>
      </w:r>
      <w:r>
        <w:t>7</w:t>
      </w:r>
      <w:r>
        <w:fldChar w:fldCharType="end"/>
      </w:r>
      <w:r>
        <w:fldChar w:fldCharType="end"/>
      </w:r>
    </w:p>
    <w:p>
      <w:pPr>
        <w:pStyle w:val="37"/>
        <w:tabs>
          <w:tab w:val="right" w:leader="dot" w:pos="8306"/>
        </w:tabs>
      </w:pPr>
      <w:r>
        <w:fldChar w:fldCharType="begin"/>
      </w:r>
      <w:r>
        <w:instrText xml:space="preserve"> HYPERLINK \l _Toc28456 </w:instrText>
      </w:r>
      <w:r>
        <w:fldChar w:fldCharType="separate"/>
      </w:r>
      <w:r>
        <w:t xml:space="preserve">1.  </w:t>
      </w:r>
      <w:r>
        <w:rPr>
          <w:rFonts w:hint="eastAsia"/>
        </w:rPr>
        <w:t>总则</w:t>
      </w:r>
      <w:r>
        <w:tab/>
      </w:r>
      <w:r>
        <w:fldChar w:fldCharType="begin"/>
      </w:r>
      <w:r>
        <w:instrText xml:space="preserve"> PAGEREF _Toc28456 \h </w:instrText>
      </w:r>
      <w:r>
        <w:fldChar w:fldCharType="separate"/>
      </w:r>
      <w:r>
        <w:t>9</w:t>
      </w:r>
      <w:r>
        <w:fldChar w:fldCharType="end"/>
      </w:r>
      <w:r>
        <w:fldChar w:fldCharType="end"/>
      </w:r>
    </w:p>
    <w:p>
      <w:pPr>
        <w:pStyle w:val="24"/>
        <w:tabs>
          <w:tab w:val="right" w:leader="dot" w:pos="8306"/>
        </w:tabs>
      </w:pPr>
      <w:r>
        <w:fldChar w:fldCharType="begin"/>
      </w:r>
      <w:r>
        <w:instrText xml:space="preserve"> HYPERLINK \l _Toc564 </w:instrText>
      </w:r>
      <w:r>
        <w:fldChar w:fldCharType="separate"/>
      </w:r>
      <w:r>
        <w:t xml:space="preserve">1.1 </w:t>
      </w:r>
      <w:r>
        <w:rPr>
          <w:rFonts w:hint="eastAsia"/>
        </w:rPr>
        <w:t>项目概况</w:t>
      </w:r>
      <w:r>
        <w:tab/>
      </w:r>
      <w:r>
        <w:fldChar w:fldCharType="begin"/>
      </w:r>
      <w:r>
        <w:instrText xml:space="preserve"> PAGEREF _Toc564 \h </w:instrText>
      </w:r>
      <w:r>
        <w:fldChar w:fldCharType="separate"/>
      </w:r>
      <w:r>
        <w:t>9</w:t>
      </w:r>
      <w:r>
        <w:fldChar w:fldCharType="end"/>
      </w:r>
      <w:r>
        <w:fldChar w:fldCharType="end"/>
      </w:r>
    </w:p>
    <w:p>
      <w:pPr>
        <w:pStyle w:val="24"/>
        <w:tabs>
          <w:tab w:val="right" w:leader="dot" w:pos="8306"/>
        </w:tabs>
      </w:pPr>
      <w:r>
        <w:fldChar w:fldCharType="begin"/>
      </w:r>
      <w:r>
        <w:instrText xml:space="preserve"> HYPERLINK \l _Toc1383 </w:instrText>
      </w:r>
      <w:r>
        <w:fldChar w:fldCharType="separate"/>
      </w:r>
      <w:r>
        <w:t xml:space="preserve">1.2 </w:t>
      </w:r>
      <w:r>
        <w:rPr>
          <w:rFonts w:hint="eastAsia"/>
        </w:rPr>
        <w:t>资金来源和落实情况</w:t>
      </w:r>
      <w:r>
        <w:tab/>
      </w:r>
      <w:r>
        <w:fldChar w:fldCharType="begin"/>
      </w:r>
      <w:r>
        <w:instrText xml:space="preserve"> PAGEREF _Toc1383 \h </w:instrText>
      </w:r>
      <w:r>
        <w:fldChar w:fldCharType="separate"/>
      </w:r>
      <w:r>
        <w:t>9</w:t>
      </w:r>
      <w:r>
        <w:fldChar w:fldCharType="end"/>
      </w:r>
      <w:r>
        <w:fldChar w:fldCharType="end"/>
      </w:r>
    </w:p>
    <w:p>
      <w:pPr>
        <w:pStyle w:val="24"/>
        <w:tabs>
          <w:tab w:val="right" w:leader="dot" w:pos="8306"/>
        </w:tabs>
      </w:pPr>
      <w:r>
        <w:fldChar w:fldCharType="begin"/>
      </w:r>
      <w:r>
        <w:instrText xml:space="preserve"> HYPERLINK \l _Toc16629 </w:instrText>
      </w:r>
      <w:r>
        <w:fldChar w:fldCharType="separate"/>
      </w:r>
      <w:r>
        <w:t xml:space="preserve">1.3 </w:t>
      </w:r>
      <w:r>
        <w:rPr>
          <w:rFonts w:hint="eastAsia"/>
        </w:rPr>
        <w:t>招标范围、服务周期和质量要求</w:t>
      </w:r>
      <w:r>
        <w:tab/>
      </w:r>
      <w:r>
        <w:fldChar w:fldCharType="begin"/>
      </w:r>
      <w:r>
        <w:instrText xml:space="preserve"> PAGEREF _Toc16629 \h </w:instrText>
      </w:r>
      <w:r>
        <w:fldChar w:fldCharType="separate"/>
      </w:r>
      <w:r>
        <w:t>9</w:t>
      </w:r>
      <w:r>
        <w:fldChar w:fldCharType="end"/>
      </w:r>
      <w:r>
        <w:fldChar w:fldCharType="end"/>
      </w:r>
    </w:p>
    <w:p>
      <w:pPr>
        <w:pStyle w:val="24"/>
        <w:tabs>
          <w:tab w:val="right" w:leader="dot" w:pos="8306"/>
        </w:tabs>
      </w:pPr>
      <w:r>
        <w:fldChar w:fldCharType="begin"/>
      </w:r>
      <w:r>
        <w:instrText xml:space="preserve"> HYPERLINK \l _Toc4170 </w:instrText>
      </w:r>
      <w:r>
        <w:fldChar w:fldCharType="separate"/>
      </w:r>
      <w:r>
        <w:t xml:space="preserve">1.4 </w:t>
      </w:r>
      <w:r>
        <w:rPr>
          <w:rFonts w:hint="eastAsia"/>
        </w:rPr>
        <w:t>投标人资格要求</w:t>
      </w:r>
      <w:r>
        <w:tab/>
      </w:r>
      <w:r>
        <w:fldChar w:fldCharType="begin"/>
      </w:r>
      <w:r>
        <w:instrText xml:space="preserve"> PAGEREF _Toc4170 \h </w:instrText>
      </w:r>
      <w:r>
        <w:fldChar w:fldCharType="separate"/>
      </w:r>
      <w:r>
        <w:t>9</w:t>
      </w:r>
      <w:r>
        <w:fldChar w:fldCharType="end"/>
      </w:r>
      <w:r>
        <w:fldChar w:fldCharType="end"/>
      </w:r>
    </w:p>
    <w:p>
      <w:pPr>
        <w:pStyle w:val="24"/>
        <w:tabs>
          <w:tab w:val="right" w:leader="dot" w:pos="8306"/>
        </w:tabs>
      </w:pPr>
      <w:r>
        <w:fldChar w:fldCharType="begin"/>
      </w:r>
      <w:r>
        <w:instrText xml:space="preserve"> HYPERLINK \l _Toc26623 </w:instrText>
      </w:r>
      <w:r>
        <w:fldChar w:fldCharType="separate"/>
      </w:r>
      <w:r>
        <w:t xml:space="preserve">1.5 </w:t>
      </w:r>
      <w:r>
        <w:rPr>
          <w:rFonts w:hint="eastAsia"/>
        </w:rPr>
        <w:t>费用承担</w:t>
      </w:r>
      <w:r>
        <w:tab/>
      </w:r>
      <w:r>
        <w:fldChar w:fldCharType="begin"/>
      </w:r>
      <w:r>
        <w:instrText xml:space="preserve"> PAGEREF _Toc26623 \h </w:instrText>
      </w:r>
      <w:r>
        <w:fldChar w:fldCharType="separate"/>
      </w:r>
      <w:r>
        <w:t>9</w:t>
      </w:r>
      <w:r>
        <w:fldChar w:fldCharType="end"/>
      </w:r>
      <w:r>
        <w:fldChar w:fldCharType="end"/>
      </w:r>
    </w:p>
    <w:p>
      <w:pPr>
        <w:pStyle w:val="24"/>
        <w:tabs>
          <w:tab w:val="right" w:leader="dot" w:pos="8306"/>
        </w:tabs>
      </w:pPr>
      <w:r>
        <w:fldChar w:fldCharType="begin"/>
      </w:r>
      <w:r>
        <w:instrText xml:space="preserve"> HYPERLINK \l _Toc27832 </w:instrText>
      </w:r>
      <w:r>
        <w:fldChar w:fldCharType="separate"/>
      </w:r>
      <w:r>
        <w:t xml:space="preserve">1.6 </w:t>
      </w:r>
      <w:r>
        <w:rPr>
          <w:rFonts w:hint="eastAsia"/>
        </w:rPr>
        <w:t>保密</w:t>
      </w:r>
      <w:r>
        <w:tab/>
      </w:r>
      <w:r>
        <w:fldChar w:fldCharType="begin"/>
      </w:r>
      <w:r>
        <w:instrText xml:space="preserve"> PAGEREF _Toc27832 \h </w:instrText>
      </w:r>
      <w:r>
        <w:fldChar w:fldCharType="separate"/>
      </w:r>
      <w:r>
        <w:t>9</w:t>
      </w:r>
      <w:r>
        <w:fldChar w:fldCharType="end"/>
      </w:r>
      <w:r>
        <w:fldChar w:fldCharType="end"/>
      </w:r>
    </w:p>
    <w:p>
      <w:pPr>
        <w:pStyle w:val="24"/>
        <w:tabs>
          <w:tab w:val="right" w:leader="dot" w:pos="8306"/>
        </w:tabs>
      </w:pPr>
      <w:r>
        <w:fldChar w:fldCharType="begin"/>
      </w:r>
      <w:r>
        <w:instrText xml:space="preserve"> HYPERLINK \l _Toc25651 </w:instrText>
      </w:r>
      <w:r>
        <w:fldChar w:fldCharType="separate"/>
      </w:r>
      <w:r>
        <w:t xml:space="preserve">1.7 </w:t>
      </w:r>
      <w:r>
        <w:rPr>
          <w:rFonts w:hint="eastAsia"/>
        </w:rPr>
        <w:t>语言文字</w:t>
      </w:r>
      <w:r>
        <w:tab/>
      </w:r>
      <w:r>
        <w:fldChar w:fldCharType="begin"/>
      </w:r>
      <w:r>
        <w:instrText xml:space="preserve"> PAGEREF _Toc25651 \h </w:instrText>
      </w:r>
      <w:r>
        <w:fldChar w:fldCharType="separate"/>
      </w:r>
      <w:r>
        <w:t>10</w:t>
      </w:r>
      <w:r>
        <w:fldChar w:fldCharType="end"/>
      </w:r>
      <w:r>
        <w:fldChar w:fldCharType="end"/>
      </w:r>
    </w:p>
    <w:p>
      <w:pPr>
        <w:pStyle w:val="24"/>
        <w:tabs>
          <w:tab w:val="right" w:leader="dot" w:pos="8306"/>
        </w:tabs>
      </w:pPr>
      <w:r>
        <w:fldChar w:fldCharType="begin"/>
      </w:r>
      <w:r>
        <w:instrText xml:space="preserve"> HYPERLINK \l _Toc12607 </w:instrText>
      </w:r>
      <w:r>
        <w:fldChar w:fldCharType="separate"/>
      </w:r>
      <w:r>
        <w:t xml:space="preserve">1.8 </w:t>
      </w:r>
      <w:r>
        <w:rPr>
          <w:rFonts w:hint="eastAsia"/>
        </w:rPr>
        <w:t>计量单位</w:t>
      </w:r>
      <w:r>
        <w:tab/>
      </w:r>
      <w:r>
        <w:fldChar w:fldCharType="begin"/>
      </w:r>
      <w:r>
        <w:instrText xml:space="preserve"> PAGEREF _Toc12607 \h </w:instrText>
      </w:r>
      <w:r>
        <w:fldChar w:fldCharType="separate"/>
      </w:r>
      <w:r>
        <w:t>10</w:t>
      </w:r>
      <w:r>
        <w:fldChar w:fldCharType="end"/>
      </w:r>
      <w:r>
        <w:fldChar w:fldCharType="end"/>
      </w:r>
    </w:p>
    <w:p>
      <w:pPr>
        <w:pStyle w:val="24"/>
        <w:tabs>
          <w:tab w:val="right" w:leader="dot" w:pos="8306"/>
        </w:tabs>
      </w:pPr>
      <w:r>
        <w:fldChar w:fldCharType="begin"/>
      </w:r>
      <w:r>
        <w:instrText xml:space="preserve"> HYPERLINK \l _Toc8788 </w:instrText>
      </w:r>
      <w:r>
        <w:fldChar w:fldCharType="separate"/>
      </w:r>
      <w:r>
        <w:t xml:space="preserve">1.9 </w:t>
      </w:r>
      <w:r>
        <w:rPr>
          <w:rFonts w:hint="eastAsia"/>
        </w:rPr>
        <w:t>踏勘现场</w:t>
      </w:r>
      <w:r>
        <w:tab/>
      </w:r>
      <w:r>
        <w:fldChar w:fldCharType="begin"/>
      </w:r>
      <w:r>
        <w:instrText xml:space="preserve"> PAGEREF _Toc8788 \h </w:instrText>
      </w:r>
      <w:r>
        <w:fldChar w:fldCharType="separate"/>
      </w:r>
      <w:r>
        <w:t>10</w:t>
      </w:r>
      <w:r>
        <w:fldChar w:fldCharType="end"/>
      </w:r>
      <w:r>
        <w:fldChar w:fldCharType="end"/>
      </w:r>
    </w:p>
    <w:p>
      <w:pPr>
        <w:pStyle w:val="24"/>
        <w:tabs>
          <w:tab w:val="right" w:leader="dot" w:pos="8306"/>
        </w:tabs>
      </w:pPr>
      <w:r>
        <w:fldChar w:fldCharType="begin"/>
      </w:r>
      <w:r>
        <w:instrText xml:space="preserve"> HYPERLINK \l _Toc11864 </w:instrText>
      </w:r>
      <w:r>
        <w:fldChar w:fldCharType="separate"/>
      </w:r>
      <w:r>
        <w:t xml:space="preserve">1.10 </w:t>
      </w:r>
      <w:r>
        <w:rPr>
          <w:rFonts w:hint="eastAsia"/>
        </w:rPr>
        <w:t>投标预备会</w:t>
      </w:r>
      <w:r>
        <w:tab/>
      </w:r>
      <w:r>
        <w:fldChar w:fldCharType="begin"/>
      </w:r>
      <w:r>
        <w:instrText xml:space="preserve"> PAGEREF _Toc11864 \h </w:instrText>
      </w:r>
      <w:r>
        <w:fldChar w:fldCharType="separate"/>
      </w:r>
      <w:r>
        <w:t>10</w:t>
      </w:r>
      <w:r>
        <w:fldChar w:fldCharType="end"/>
      </w:r>
      <w:r>
        <w:fldChar w:fldCharType="end"/>
      </w:r>
    </w:p>
    <w:p>
      <w:pPr>
        <w:pStyle w:val="24"/>
        <w:tabs>
          <w:tab w:val="right" w:leader="dot" w:pos="8306"/>
        </w:tabs>
      </w:pPr>
      <w:r>
        <w:fldChar w:fldCharType="begin"/>
      </w:r>
      <w:r>
        <w:instrText xml:space="preserve"> HYPERLINK \l _Toc29872 </w:instrText>
      </w:r>
      <w:r>
        <w:fldChar w:fldCharType="separate"/>
      </w:r>
      <w:r>
        <w:t xml:space="preserve">1.11 </w:t>
      </w:r>
      <w:r>
        <w:rPr>
          <w:rFonts w:hint="eastAsia"/>
        </w:rPr>
        <w:t>分包</w:t>
      </w:r>
      <w:r>
        <w:tab/>
      </w:r>
      <w:r>
        <w:fldChar w:fldCharType="begin"/>
      </w:r>
      <w:r>
        <w:instrText xml:space="preserve"> PAGEREF _Toc29872 \h </w:instrText>
      </w:r>
      <w:r>
        <w:fldChar w:fldCharType="separate"/>
      </w:r>
      <w:r>
        <w:t>10</w:t>
      </w:r>
      <w:r>
        <w:fldChar w:fldCharType="end"/>
      </w:r>
      <w:r>
        <w:fldChar w:fldCharType="end"/>
      </w:r>
    </w:p>
    <w:p>
      <w:pPr>
        <w:pStyle w:val="24"/>
        <w:tabs>
          <w:tab w:val="right" w:leader="dot" w:pos="8306"/>
        </w:tabs>
      </w:pPr>
      <w:r>
        <w:fldChar w:fldCharType="begin"/>
      </w:r>
      <w:r>
        <w:instrText xml:space="preserve"> HYPERLINK \l _Toc2542 </w:instrText>
      </w:r>
      <w:r>
        <w:fldChar w:fldCharType="separate"/>
      </w:r>
      <w:r>
        <w:t xml:space="preserve">1.12 </w:t>
      </w:r>
      <w:r>
        <w:rPr>
          <w:rFonts w:hint="eastAsia"/>
        </w:rPr>
        <w:t>偏离</w:t>
      </w:r>
      <w:r>
        <w:tab/>
      </w:r>
      <w:r>
        <w:fldChar w:fldCharType="begin"/>
      </w:r>
      <w:r>
        <w:instrText xml:space="preserve"> PAGEREF _Toc2542 \h </w:instrText>
      </w:r>
      <w:r>
        <w:fldChar w:fldCharType="separate"/>
      </w:r>
      <w:r>
        <w:t>10</w:t>
      </w:r>
      <w:r>
        <w:fldChar w:fldCharType="end"/>
      </w:r>
      <w:r>
        <w:fldChar w:fldCharType="end"/>
      </w:r>
    </w:p>
    <w:p>
      <w:pPr>
        <w:pStyle w:val="37"/>
        <w:tabs>
          <w:tab w:val="right" w:leader="dot" w:pos="8306"/>
        </w:tabs>
        <w:rPr>
          <w:rFonts w:hint="eastAsia" w:eastAsia="宋体"/>
          <w:lang w:val="en-US" w:eastAsia="zh-CN"/>
        </w:rPr>
      </w:pPr>
      <w:r>
        <w:fldChar w:fldCharType="begin"/>
      </w:r>
      <w:r>
        <w:instrText xml:space="preserve"> HYPERLINK \l _Toc23312 </w:instrText>
      </w:r>
      <w:r>
        <w:fldChar w:fldCharType="separate"/>
      </w:r>
      <w:r>
        <w:t xml:space="preserve">2.  </w:t>
      </w:r>
      <w:r>
        <w:rPr>
          <w:rFonts w:hint="eastAsia"/>
        </w:rPr>
        <w:t>招标文件</w:t>
      </w:r>
      <w:r>
        <w:tab/>
      </w:r>
      <w:r>
        <w:fldChar w:fldCharType="begin"/>
      </w:r>
      <w:r>
        <w:instrText xml:space="preserve"> PAGEREF _Toc23312 \h </w:instrText>
      </w:r>
      <w:r>
        <w:fldChar w:fldCharType="separate"/>
      </w:r>
      <w:r>
        <w:t>10</w:t>
      </w:r>
      <w:r>
        <w:fldChar w:fldCharType="end"/>
      </w:r>
      <w:r>
        <w:fldChar w:fldCharType="end"/>
      </w:r>
      <w:r>
        <w:rPr>
          <w:rFonts w:hint="eastAsia"/>
          <w:lang w:val="en-US" w:eastAsia="zh-CN"/>
        </w:rPr>
        <w:t xml:space="preserve"> </w:t>
      </w:r>
    </w:p>
    <w:p>
      <w:pPr>
        <w:pStyle w:val="24"/>
        <w:tabs>
          <w:tab w:val="right" w:leader="dot" w:pos="8306"/>
        </w:tabs>
      </w:pPr>
      <w:r>
        <w:fldChar w:fldCharType="begin"/>
      </w:r>
      <w:r>
        <w:instrText xml:space="preserve"> HYPERLINK \l _Toc6152 </w:instrText>
      </w:r>
      <w:r>
        <w:fldChar w:fldCharType="separate"/>
      </w:r>
      <w:r>
        <w:t xml:space="preserve">2.1 </w:t>
      </w:r>
      <w:r>
        <w:rPr>
          <w:rFonts w:hint="eastAsia"/>
        </w:rPr>
        <w:t>招标文件的组成</w:t>
      </w:r>
      <w:r>
        <w:tab/>
      </w:r>
      <w:r>
        <w:fldChar w:fldCharType="begin"/>
      </w:r>
      <w:r>
        <w:instrText xml:space="preserve"> PAGEREF _Toc6152 \h </w:instrText>
      </w:r>
      <w:r>
        <w:fldChar w:fldCharType="separate"/>
      </w:r>
      <w:r>
        <w:t>10</w:t>
      </w:r>
      <w:r>
        <w:fldChar w:fldCharType="end"/>
      </w:r>
      <w:r>
        <w:fldChar w:fldCharType="end"/>
      </w:r>
    </w:p>
    <w:p>
      <w:pPr>
        <w:pStyle w:val="24"/>
        <w:tabs>
          <w:tab w:val="right" w:leader="dot" w:pos="8306"/>
        </w:tabs>
      </w:pPr>
      <w:r>
        <w:fldChar w:fldCharType="begin"/>
      </w:r>
      <w:r>
        <w:instrText xml:space="preserve"> HYPERLINK \l _Toc26428 </w:instrText>
      </w:r>
      <w:r>
        <w:fldChar w:fldCharType="separate"/>
      </w:r>
      <w:r>
        <w:t xml:space="preserve">2.2 </w:t>
      </w:r>
      <w:r>
        <w:rPr>
          <w:rFonts w:hint="eastAsia"/>
        </w:rPr>
        <w:t>招标文件的澄清</w:t>
      </w:r>
      <w:r>
        <w:tab/>
      </w:r>
      <w:r>
        <w:fldChar w:fldCharType="begin"/>
      </w:r>
      <w:r>
        <w:instrText xml:space="preserve"> PAGEREF _Toc26428 \h </w:instrText>
      </w:r>
      <w:r>
        <w:fldChar w:fldCharType="separate"/>
      </w:r>
      <w:r>
        <w:t>10</w:t>
      </w:r>
      <w:r>
        <w:fldChar w:fldCharType="end"/>
      </w:r>
      <w:r>
        <w:fldChar w:fldCharType="end"/>
      </w:r>
    </w:p>
    <w:p>
      <w:pPr>
        <w:pStyle w:val="24"/>
        <w:tabs>
          <w:tab w:val="right" w:leader="dot" w:pos="8306"/>
        </w:tabs>
      </w:pPr>
      <w:r>
        <w:fldChar w:fldCharType="begin"/>
      </w:r>
      <w:r>
        <w:instrText xml:space="preserve"> HYPERLINK \l _Toc25019 </w:instrText>
      </w:r>
      <w:r>
        <w:fldChar w:fldCharType="separate"/>
      </w:r>
      <w:r>
        <w:t xml:space="preserve">2.3 </w:t>
      </w:r>
      <w:r>
        <w:rPr>
          <w:rFonts w:hint="eastAsia"/>
        </w:rPr>
        <w:t>招标文件的修改</w:t>
      </w:r>
      <w:r>
        <w:tab/>
      </w:r>
      <w:r>
        <w:fldChar w:fldCharType="begin"/>
      </w:r>
      <w:r>
        <w:instrText xml:space="preserve"> PAGEREF _Toc25019 \h </w:instrText>
      </w:r>
      <w:r>
        <w:fldChar w:fldCharType="separate"/>
      </w:r>
      <w:r>
        <w:t>11</w:t>
      </w:r>
      <w:r>
        <w:fldChar w:fldCharType="end"/>
      </w:r>
      <w:r>
        <w:fldChar w:fldCharType="end"/>
      </w:r>
    </w:p>
    <w:p>
      <w:pPr>
        <w:pStyle w:val="37"/>
        <w:tabs>
          <w:tab w:val="right" w:leader="dot" w:pos="8306"/>
        </w:tabs>
      </w:pPr>
      <w:r>
        <w:fldChar w:fldCharType="begin"/>
      </w:r>
      <w:r>
        <w:instrText xml:space="preserve"> HYPERLINK \l _Toc2714 </w:instrText>
      </w:r>
      <w:r>
        <w:fldChar w:fldCharType="separate"/>
      </w:r>
      <w:r>
        <w:t xml:space="preserve">3.  </w:t>
      </w:r>
      <w:r>
        <w:rPr>
          <w:rFonts w:hint="eastAsia"/>
        </w:rPr>
        <w:t>投标文件</w:t>
      </w:r>
      <w:r>
        <w:tab/>
      </w:r>
      <w:r>
        <w:fldChar w:fldCharType="begin"/>
      </w:r>
      <w:r>
        <w:instrText xml:space="preserve"> PAGEREF _Toc2714 \h </w:instrText>
      </w:r>
      <w:r>
        <w:fldChar w:fldCharType="separate"/>
      </w:r>
      <w:r>
        <w:t>11</w:t>
      </w:r>
      <w:r>
        <w:fldChar w:fldCharType="end"/>
      </w:r>
      <w:r>
        <w:fldChar w:fldCharType="end"/>
      </w:r>
    </w:p>
    <w:p>
      <w:pPr>
        <w:pStyle w:val="24"/>
        <w:tabs>
          <w:tab w:val="right" w:leader="dot" w:pos="8306"/>
        </w:tabs>
      </w:pPr>
      <w:r>
        <w:fldChar w:fldCharType="begin"/>
      </w:r>
      <w:r>
        <w:instrText xml:space="preserve"> HYPERLINK \l _Toc5340 </w:instrText>
      </w:r>
      <w:r>
        <w:fldChar w:fldCharType="separate"/>
      </w:r>
      <w:r>
        <w:t xml:space="preserve">3.1 </w:t>
      </w:r>
      <w:r>
        <w:rPr>
          <w:rFonts w:hint="eastAsia"/>
        </w:rPr>
        <w:t>投标文件的组成</w:t>
      </w:r>
      <w:r>
        <w:tab/>
      </w:r>
      <w:r>
        <w:fldChar w:fldCharType="begin"/>
      </w:r>
      <w:r>
        <w:instrText xml:space="preserve"> PAGEREF _Toc5340 \h </w:instrText>
      </w:r>
      <w:r>
        <w:fldChar w:fldCharType="separate"/>
      </w:r>
      <w:r>
        <w:t>11</w:t>
      </w:r>
      <w:r>
        <w:fldChar w:fldCharType="end"/>
      </w:r>
      <w:r>
        <w:fldChar w:fldCharType="end"/>
      </w:r>
    </w:p>
    <w:p>
      <w:pPr>
        <w:pStyle w:val="24"/>
        <w:tabs>
          <w:tab w:val="right" w:leader="dot" w:pos="8306"/>
        </w:tabs>
      </w:pPr>
      <w:r>
        <w:fldChar w:fldCharType="begin"/>
      </w:r>
      <w:r>
        <w:instrText xml:space="preserve"> HYPERLINK \l _Toc15782 </w:instrText>
      </w:r>
      <w:r>
        <w:fldChar w:fldCharType="separate"/>
      </w:r>
      <w:r>
        <w:t xml:space="preserve">3.2 </w:t>
      </w:r>
      <w:r>
        <w:rPr>
          <w:rFonts w:hint="eastAsia"/>
        </w:rPr>
        <w:t>投标报价</w:t>
      </w:r>
      <w:r>
        <w:tab/>
      </w:r>
      <w:r>
        <w:fldChar w:fldCharType="begin"/>
      </w:r>
      <w:r>
        <w:instrText xml:space="preserve"> PAGEREF _Toc15782 \h </w:instrText>
      </w:r>
      <w:r>
        <w:fldChar w:fldCharType="separate"/>
      </w:r>
      <w:r>
        <w:t>11</w:t>
      </w:r>
      <w:r>
        <w:fldChar w:fldCharType="end"/>
      </w:r>
      <w:r>
        <w:fldChar w:fldCharType="end"/>
      </w:r>
    </w:p>
    <w:p>
      <w:pPr>
        <w:pStyle w:val="24"/>
        <w:tabs>
          <w:tab w:val="right" w:leader="dot" w:pos="8306"/>
        </w:tabs>
      </w:pPr>
      <w:r>
        <w:fldChar w:fldCharType="begin"/>
      </w:r>
      <w:r>
        <w:instrText xml:space="preserve"> HYPERLINK \l _Toc10757 </w:instrText>
      </w:r>
      <w:r>
        <w:fldChar w:fldCharType="separate"/>
      </w:r>
      <w:r>
        <w:t xml:space="preserve">3.3 </w:t>
      </w:r>
      <w:r>
        <w:rPr>
          <w:rFonts w:hint="eastAsia"/>
        </w:rPr>
        <w:t>投标有效期</w:t>
      </w:r>
      <w:r>
        <w:tab/>
      </w:r>
      <w:r>
        <w:fldChar w:fldCharType="begin"/>
      </w:r>
      <w:r>
        <w:instrText xml:space="preserve"> PAGEREF _Toc10757 \h </w:instrText>
      </w:r>
      <w:r>
        <w:fldChar w:fldCharType="separate"/>
      </w:r>
      <w:r>
        <w:t>11</w:t>
      </w:r>
      <w:r>
        <w:fldChar w:fldCharType="end"/>
      </w:r>
      <w:r>
        <w:fldChar w:fldCharType="end"/>
      </w:r>
    </w:p>
    <w:p>
      <w:pPr>
        <w:pStyle w:val="24"/>
        <w:tabs>
          <w:tab w:val="right" w:leader="dot" w:pos="8306"/>
        </w:tabs>
      </w:pPr>
      <w:r>
        <w:fldChar w:fldCharType="begin"/>
      </w:r>
      <w:r>
        <w:instrText xml:space="preserve"> HYPERLINK \l _Toc14430 </w:instrText>
      </w:r>
      <w:r>
        <w:fldChar w:fldCharType="separate"/>
      </w:r>
      <w:r>
        <w:t xml:space="preserve">3.4 </w:t>
      </w:r>
      <w:r>
        <w:rPr>
          <w:rFonts w:hint="eastAsia"/>
        </w:rPr>
        <w:t>投标保证金</w:t>
      </w:r>
      <w:r>
        <w:tab/>
      </w:r>
      <w:r>
        <w:fldChar w:fldCharType="begin"/>
      </w:r>
      <w:r>
        <w:instrText xml:space="preserve"> PAGEREF _Toc14430 \h </w:instrText>
      </w:r>
      <w:r>
        <w:fldChar w:fldCharType="separate"/>
      </w:r>
      <w:r>
        <w:t>12</w:t>
      </w:r>
      <w:r>
        <w:fldChar w:fldCharType="end"/>
      </w:r>
      <w:r>
        <w:fldChar w:fldCharType="end"/>
      </w:r>
    </w:p>
    <w:p>
      <w:pPr>
        <w:pStyle w:val="24"/>
        <w:tabs>
          <w:tab w:val="right" w:leader="dot" w:pos="8306"/>
        </w:tabs>
      </w:pPr>
      <w:r>
        <w:fldChar w:fldCharType="begin"/>
      </w:r>
      <w:r>
        <w:instrText xml:space="preserve"> HYPERLINK \l _Toc15332 </w:instrText>
      </w:r>
      <w:r>
        <w:fldChar w:fldCharType="separate"/>
      </w:r>
      <w:r>
        <w:t xml:space="preserve">3.5 </w:t>
      </w:r>
      <w:r>
        <w:rPr>
          <w:rFonts w:hint="eastAsia"/>
        </w:rPr>
        <w:t>资格审查资料</w:t>
      </w:r>
      <w:r>
        <w:tab/>
      </w:r>
      <w:r>
        <w:fldChar w:fldCharType="begin"/>
      </w:r>
      <w:r>
        <w:instrText xml:space="preserve"> PAGEREF _Toc15332 \h </w:instrText>
      </w:r>
      <w:r>
        <w:fldChar w:fldCharType="separate"/>
      </w:r>
      <w:r>
        <w:t>12</w:t>
      </w:r>
      <w:r>
        <w:fldChar w:fldCharType="end"/>
      </w:r>
      <w:r>
        <w:fldChar w:fldCharType="end"/>
      </w:r>
    </w:p>
    <w:p>
      <w:pPr>
        <w:pStyle w:val="24"/>
        <w:tabs>
          <w:tab w:val="right" w:leader="dot" w:pos="8306"/>
        </w:tabs>
      </w:pPr>
      <w:r>
        <w:fldChar w:fldCharType="begin"/>
      </w:r>
      <w:r>
        <w:instrText xml:space="preserve"> HYPERLINK \l _Toc27346 </w:instrText>
      </w:r>
      <w:r>
        <w:fldChar w:fldCharType="separate"/>
      </w:r>
      <w:r>
        <w:t xml:space="preserve">3.6 </w:t>
      </w:r>
      <w:r>
        <w:rPr>
          <w:rFonts w:hint="eastAsia"/>
        </w:rPr>
        <w:t>备选投标方案</w:t>
      </w:r>
      <w:r>
        <w:tab/>
      </w:r>
      <w:r>
        <w:fldChar w:fldCharType="begin"/>
      </w:r>
      <w:r>
        <w:instrText xml:space="preserve"> PAGEREF _Toc27346 \h </w:instrText>
      </w:r>
      <w:r>
        <w:fldChar w:fldCharType="separate"/>
      </w:r>
      <w:r>
        <w:t>12</w:t>
      </w:r>
      <w:r>
        <w:fldChar w:fldCharType="end"/>
      </w:r>
      <w:r>
        <w:fldChar w:fldCharType="end"/>
      </w:r>
    </w:p>
    <w:p>
      <w:pPr>
        <w:pStyle w:val="24"/>
        <w:tabs>
          <w:tab w:val="right" w:leader="dot" w:pos="8306"/>
        </w:tabs>
      </w:pPr>
      <w:r>
        <w:fldChar w:fldCharType="begin"/>
      </w:r>
      <w:r>
        <w:instrText xml:space="preserve"> HYPERLINK \l _Toc8691 </w:instrText>
      </w:r>
      <w:r>
        <w:fldChar w:fldCharType="separate"/>
      </w:r>
      <w:r>
        <w:t xml:space="preserve">3.7 </w:t>
      </w:r>
      <w:r>
        <w:rPr>
          <w:rFonts w:hint="eastAsia"/>
        </w:rPr>
        <w:t>投标文件的编制</w:t>
      </w:r>
      <w:r>
        <w:tab/>
      </w:r>
      <w:r>
        <w:fldChar w:fldCharType="begin"/>
      </w:r>
      <w:r>
        <w:instrText xml:space="preserve"> PAGEREF _Toc8691 \h </w:instrText>
      </w:r>
      <w:r>
        <w:fldChar w:fldCharType="separate"/>
      </w:r>
      <w:r>
        <w:t>12</w:t>
      </w:r>
      <w:r>
        <w:fldChar w:fldCharType="end"/>
      </w:r>
      <w:r>
        <w:fldChar w:fldCharType="end"/>
      </w:r>
    </w:p>
    <w:p>
      <w:pPr>
        <w:pStyle w:val="37"/>
        <w:tabs>
          <w:tab w:val="right" w:leader="dot" w:pos="8306"/>
        </w:tabs>
      </w:pPr>
      <w:r>
        <w:fldChar w:fldCharType="begin"/>
      </w:r>
      <w:r>
        <w:instrText xml:space="preserve"> HYPERLINK \l _Toc8061 </w:instrText>
      </w:r>
      <w:r>
        <w:fldChar w:fldCharType="separate"/>
      </w:r>
      <w:r>
        <w:t xml:space="preserve">4.  </w:t>
      </w:r>
      <w:r>
        <w:rPr>
          <w:rFonts w:hint="eastAsia"/>
        </w:rPr>
        <w:t>投标</w:t>
      </w:r>
      <w:r>
        <w:tab/>
      </w:r>
      <w:r>
        <w:fldChar w:fldCharType="begin"/>
      </w:r>
      <w:r>
        <w:instrText xml:space="preserve"> PAGEREF _Toc8061 \h </w:instrText>
      </w:r>
      <w:r>
        <w:fldChar w:fldCharType="separate"/>
      </w:r>
      <w:r>
        <w:t>12</w:t>
      </w:r>
      <w:r>
        <w:fldChar w:fldCharType="end"/>
      </w:r>
      <w:r>
        <w:fldChar w:fldCharType="end"/>
      </w:r>
    </w:p>
    <w:p>
      <w:pPr>
        <w:pStyle w:val="24"/>
        <w:tabs>
          <w:tab w:val="right" w:leader="dot" w:pos="8306"/>
        </w:tabs>
      </w:pPr>
      <w:r>
        <w:fldChar w:fldCharType="begin"/>
      </w:r>
      <w:r>
        <w:instrText xml:space="preserve"> HYPERLINK \l _Toc12812 </w:instrText>
      </w:r>
      <w:r>
        <w:fldChar w:fldCharType="separate"/>
      </w:r>
      <w:r>
        <w:t xml:space="preserve">4.1 </w:t>
      </w:r>
      <w:r>
        <w:rPr>
          <w:rFonts w:hint="eastAsia"/>
        </w:rPr>
        <w:t>投标文件的密封和标记</w:t>
      </w:r>
      <w:r>
        <w:tab/>
      </w:r>
      <w:r>
        <w:fldChar w:fldCharType="begin"/>
      </w:r>
      <w:r>
        <w:instrText xml:space="preserve"> PAGEREF _Toc12812 \h </w:instrText>
      </w:r>
      <w:r>
        <w:fldChar w:fldCharType="separate"/>
      </w:r>
      <w:r>
        <w:t>12</w:t>
      </w:r>
      <w:r>
        <w:fldChar w:fldCharType="end"/>
      </w:r>
      <w:r>
        <w:fldChar w:fldCharType="end"/>
      </w:r>
    </w:p>
    <w:p>
      <w:pPr>
        <w:pStyle w:val="24"/>
        <w:tabs>
          <w:tab w:val="right" w:leader="dot" w:pos="8306"/>
        </w:tabs>
      </w:pPr>
      <w:r>
        <w:fldChar w:fldCharType="begin"/>
      </w:r>
      <w:r>
        <w:instrText xml:space="preserve"> HYPERLINK \l _Toc15628 </w:instrText>
      </w:r>
      <w:r>
        <w:fldChar w:fldCharType="separate"/>
      </w:r>
      <w:r>
        <w:t xml:space="preserve">4.2 </w:t>
      </w:r>
      <w:r>
        <w:rPr>
          <w:rFonts w:hint="eastAsia"/>
        </w:rPr>
        <w:t>投标文件的递交</w:t>
      </w:r>
      <w:r>
        <w:tab/>
      </w:r>
      <w:r>
        <w:fldChar w:fldCharType="begin"/>
      </w:r>
      <w:r>
        <w:instrText xml:space="preserve"> PAGEREF _Toc15628 \h </w:instrText>
      </w:r>
      <w:r>
        <w:fldChar w:fldCharType="separate"/>
      </w:r>
      <w:r>
        <w:t>12</w:t>
      </w:r>
      <w:r>
        <w:fldChar w:fldCharType="end"/>
      </w:r>
      <w:r>
        <w:fldChar w:fldCharType="end"/>
      </w:r>
    </w:p>
    <w:p>
      <w:pPr>
        <w:pStyle w:val="24"/>
        <w:tabs>
          <w:tab w:val="right" w:leader="dot" w:pos="8306"/>
        </w:tabs>
      </w:pPr>
      <w:r>
        <w:fldChar w:fldCharType="begin"/>
      </w:r>
      <w:r>
        <w:instrText xml:space="preserve"> HYPERLINK \l _Toc26481 </w:instrText>
      </w:r>
      <w:r>
        <w:fldChar w:fldCharType="separate"/>
      </w:r>
      <w:r>
        <w:t xml:space="preserve">4.3 </w:t>
      </w:r>
      <w:r>
        <w:rPr>
          <w:rFonts w:hint="eastAsia"/>
        </w:rPr>
        <w:t>投标文件的修改与撤回</w:t>
      </w:r>
      <w:r>
        <w:tab/>
      </w:r>
      <w:r>
        <w:fldChar w:fldCharType="begin"/>
      </w:r>
      <w:r>
        <w:instrText xml:space="preserve"> PAGEREF _Toc26481 \h </w:instrText>
      </w:r>
      <w:r>
        <w:fldChar w:fldCharType="separate"/>
      </w:r>
      <w:r>
        <w:t>13</w:t>
      </w:r>
      <w:r>
        <w:fldChar w:fldCharType="end"/>
      </w:r>
      <w:r>
        <w:fldChar w:fldCharType="end"/>
      </w:r>
    </w:p>
    <w:p>
      <w:pPr>
        <w:pStyle w:val="37"/>
        <w:tabs>
          <w:tab w:val="right" w:leader="dot" w:pos="8306"/>
        </w:tabs>
      </w:pPr>
      <w:r>
        <w:fldChar w:fldCharType="begin"/>
      </w:r>
      <w:r>
        <w:instrText xml:space="preserve"> HYPERLINK \l _Toc3010 </w:instrText>
      </w:r>
      <w:r>
        <w:fldChar w:fldCharType="separate"/>
      </w:r>
      <w:r>
        <w:t xml:space="preserve">5.  </w:t>
      </w:r>
      <w:r>
        <w:rPr>
          <w:rFonts w:hint="eastAsia"/>
        </w:rPr>
        <w:t>开标</w:t>
      </w:r>
      <w:r>
        <w:tab/>
      </w:r>
      <w:r>
        <w:fldChar w:fldCharType="begin"/>
      </w:r>
      <w:r>
        <w:instrText xml:space="preserve"> PAGEREF _Toc3010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_Toc25409 </w:instrText>
      </w:r>
      <w:r>
        <w:fldChar w:fldCharType="separate"/>
      </w:r>
      <w:r>
        <w:t xml:space="preserve">5.1 </w:t>
      </w:r>
      <w:r>
        <w:rPr>
          <w:rFonts w:hint="eastAsia"/>
        </w:rPr>
        <w:t>开标时间和地点</w:t>
      </w:r>
      <w:r>
        <w:tab/>
      </w:r>
      <w:r>
        <w:fldChar w:fldCharType="begin"/>
      </w:r>
      <w:r>
        <w:instrText xml:space="preserve"> PAGEREF _Toc25409 \h </w:instrText>
      </w:r>
      <w:r>
        <w:fldChar w:fldCharType="separate"/>
      </w:r>
      <w:r>
        <w:t>13</w:t>
      </w:r>
      <w:r>
        <w:fldChar w:fldCharType="end"/>
      </w:r>
      <w:r>
        <w:fldChar w:fldCharType="end"/>
      </w:r>
    </w:p>
    <w:p>
      <w:pPr>
        <w:pStyle w:val="37"/>
        <w:tabs>
          <w:tab w:val="right" w:leader="dot" w:pos="8306"/>
        </w:tabs>
      </w:pPr>
      <w:r>
        <w:fldChar w:fldCharType="begin"/>
      </w:r>
      <w:r>
        <w:instrText xml:space="preserve"> HYPERLINK \l _Toc17052 </w:instrText>
      </w:r>
      <w:r>
        <w:fldChar w:fldCharType="separate"/>
      </w:r>
      <w:r>
        <w:t xml:space="preserve">6. </w:t>
      </w:r>
      <w:r>
        <w:rPr>
          <w:rFonts w:hint="eastAsia"/>
        </w:rPr>
        <w:t>评标</w:t>
      </w:r>
      <w:r>
        <w:tab/>
      </w:r>
      <w:r>
        <w:fldChar w:fldCharType="begin"/>
      </w:r>
      <w:r>
        <w:instrText xml:space="preserve"> PAGEREF _Toc17052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_Toc6517 </w:instrText>
      </w:r>
      <w:r>
        <w:fldChar w:fldCharType="separate"/>
      </w:r>
      <w:r>
        <w:t xml:space="preserve">6.1 </w:t>
      </w:r>
      <w:r>
        <w:rPr>
          <w:rFonts w:hint="eastAsia"/>
        </w:rPr>
        <w:t>评标委员会</w:t>
      </w:r>
      <w:r>
        <w:tab/>
      </w:r>
      <w:r>
        <w:fldChar w:fldCharType="begin"/>
      </w:r>
      <w:r>
        <w:instrText xml:space="preserve"> PAGEREF _Toc6517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_Toc729 </w:instrText>
      </w:r>
      <w:r>
        <w:fldChar w:fldCharType="separate"/>
      </w:r>
      <w:r>
        <w:t xml:space="preserve">6.2 </w:t>
      </w:r>
      <w:r>
        <w:rPr>
          <w:rFonts w:hint="eastAsia"/>
        </w:rPr>
        <w:t>评标原则</w:t>
      </w:r>
      <w:r>
        <w:tab/>
      </w:r>
      <w:r>
        <w:fldChar w:fldCharType="begin"/>
      </w:r>
      <w:r>
        <w:instrText xml:space="preserve"> PAGEREF _Toc729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_Toc22229 </w:instrText>
      </w:r>
      <w:r>
        <w:fldChar w:fldCharType="separate"/>
      </w:r>
      <w:r>
        <w:t xml:space="preserve">6.3 </w:t>
      </w:r>
      <w:r>
        <w:rPr>
          <w:rFonts w:hint="eastAsia"/>
        </w:rPr>
        <w:t>评标</w:t>
      </w:r>
      <w:r>
        <w:tab/>
      </w:r>
      <w:r>
        <w:fldChar w:fldCharType="begin"/>
      </w:r>
      <w:r>
        <w:instrText xml:space="preserve"> PAGEREF _Toc22229 \h </w:instrText>
      </w:r>
      <w:r>
        <w:fldChar w:fldCharType="separate"/>
      </w:r>
      <w:r>
        <w:t>13</w:t>
      </w:r>
      <w:r>
        <w:fldChar w:fldCharType="end"/>
      </w:r>
      <w:r>
        <w:fldChar w:fldCharType="end"/>
      </w:r>
    </w:p>
    <w:p>
      <w:pPr>
        <w:pStyle w:val="37"/>
        <w:tabs>
          <w:tab w:val="right" w:leader="dot" w:pos="8306"/>
        </w:tabs>
      </w:pPr>
      <w:r>
        <w:fldChar w:fldCharType="begin"/>
      </w:r>
      <w:r>
        <w:instrText xml:space="preserve"> HYPERLINK \l _Toc23707 </w:instrText>
      </w:r>
      <w:r>
        <w:fldChar w:fldCharType="separate"/>
      </w:r>
      <w:r>
        <w:t xml:space="preserve">7. </w:t>
      </w:r>
      <w:r>
        <w:rPr>
          <w:rFonts w:hint="eastAsia"/>
        </w:rPr>
        <w:t>合同授予</w:t>
      </w:r>
      <w:r>
        <w:tab/>
      </w:r>
      <w:r>
        <w:fldChar w:fldCharType="begin"/>
      </w:r>
      <w:r>
        <w:instrText xml:space="preserve"> PAGEREF _Toc23707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_Toc28551 </w:instrText>
      </w:r>
      <w:r>
        <w:fldChar w:fldCharType="separate"/>
      </w:r>
      <w:r>
        <w:t xml:space="preserve">7.1 </w:t>
      </w:r>
      <w:r>
        <w:rPr>
          <w:rFonts w:hint="eastAsia"/>
        </w:rPr>
        <w:t>定标方式</w:t>
      </w:r>
      <w:r>
        <w:tab/>
      </w:r>
      <w:r>
        <w:fldChar w:fldCharType="begin"/>
      </w:r>
      <w:r>
        <w:instrText xml:space="preserve"> PAGEREF _Toc28551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_Toc3515 </w:instrText>
      </w:r>
      <w:r>
        <w:fldChar w:fldCharType="separate"/>
      </w:r>
      <w:r>
        <w:t xml:space="preserve">7.2 </w:t>
      </w:r>
      <w:r>
        <w:rPr>
          <w:rFonts w:hint="eastAsia"/>
        </w:rPr>
        <w:t>中标公示</w:t>
      </w:r>
      <w:r>
        <w:tab/>
      </w:r>
      <w:r>
        <w:fldChar w:fldCharType="begin"/>
      </w:r>
      <w:r>
        <w:instrText xml:space="preserve"> PAGEREF _Toc3515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_Toc8997 </w:instrText>
      </w:r>
      <w:r>
        <w:fldChar w:fldCharType="separate"/>
      </w:r>
      <w:r>
        <w:t xml:space="preserve">7.3 </w:t>
      </w:r>
      <w:r>
        <w:rPr>
          <w:rFonts w:hint="eastAsia"/>
        </w:rPr>
        <w:t>中标通知</w:t>
      </w:r>
      <w:r>
        <w:tab/>
      </w:r>
      <w:r>
        <w:fldChar w:fldCharType="begin"/>
      </w:r>
      <w:r>
        <w:instrText xml:space="preserve"> PAGEREF _Toc8997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_Toc29701 </w:instrText>
      </w:r>
      <w:r>
        <w:fldChar w:fldCharType="separate"/>
      </w:r>
      <w:r>
        <w:t>7.</w:t>
      </w:r>
      <w:r>
        <w:rPr>
          <w:rFonts w:hint="eastAsia"/>
        </w:rPr>
        <w:t>4</w:t>
      </w:r>
      <w:r>
        <w:t xml:space="preserve"> </w:t>
      </w:r>
      <w:r>
        <w:rPr>
          <w:rFonts w:hint="eastAsia"/>
        </w:rPr>
        <w:t>签订合同</w:t>
      </w:r>
      <w:r>
        <w:tab/>
      </w:r>
      <w:r>
        <w:fldChar w:fldCharType="begin"/>
      </w:r>
      <w:r>
        <w:instrText xml:space="preserve"> PAGEREF _Toc29701 \h </w:instrText>
      </w:r>
      <w:r>
        <w:fldChar w:fldCharType="separate"/>
      </w:r>
      <w:r>
        <w:t>14</w:t>
      </w:r>
      <w:r>
        <w:fldChar w:fldCharType="end"/>
      </w:r>
      <w:r>
        <w:fldChar w:fldCharType="end"/>
      </w:r>
    </w:p>
    <w:p>
      <w:pPr>
        <w:pStyle w:val="37"/>
        <w:tabs>
          <w:tab w:val="right" w:leader="dot" w:pos="8306"/>
        </w:tabs>
      </w:pPr>
      <w:r>
        <w:fldChar w:fldCharType="begin"/>
      </w:r>
      <w:r>
        <w:instrText xml:space="preserve"> HYPERLINK \l _Toc27264 </w:instrText>
      </w:r>
      <w:r>
        <w:fldChar w:fldCharType="separate"/>
      </w:r>
      <w:r>
        <w:rPr>
          <w:rFonts w:hint="eastAsia"/>
        </w:rPr>
        <w:t>8</w:t>
      </w:r>
      <w:r>
        <w:t xml:space="preserve">.  </w:t>
      </w:r>
      <w:r>
        <w:rPr>
          <w:rFonts w:hint="eastAsia"/>
        </w:rPr>
        <w:t>纪律和监督</w:t>
      </w:r>
      <w:r>
        <w:tab/>
      </w:r>
      <w:r>
        <w:fldChar w:fldCharType="begin"/>
      </w:r>
      <w:r>
        <w:instrText xml:space="preserve"> PAGEREF _Toc27264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_Toc13933 </w:instrText>
      </w:r>
      <w:r>
        <w:fldChar w:fldCharType="separate"/>
      </w:r>
      <w:r>
        <w:rPr>
          <w:rFonts w:hint="eastAsia"/>
        </w:rPr>
        <w:t>8</w:t>
      </w:r>
      <w:r>
        <w:t xml:space="preserve">.1 </w:t>
      </w:r>
      <w:r>
        <w:rPr>
          <w:rFonts w:hint="eastAsia"/>
        </w:rPr>
        <w:t>对招标人的纪律要求</w:t>
      </w:r>
      <w:r>
        <w:tab/>
      </w:r>
      <w:r>
        <w:fldChar w:fldCharType="begin"/>
      </w:r>
      <w:r>
        <w:instrText xml:space="preserve"> PAGEREF _Toc13933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_Toc17529 </w:instrText>
      </w:r>
      <w:r>
        <w:fldChar w:fldCharType="separate"/>
      </w:r>
      <w:r>
        <w:rPr>
          <w:rFonts w:hint="eastAsia"/>
        </w:rPr>
        <w:t>8</w:t>
      </w:r>
      <w:r>
        <w:t xml:space="preserve">.2 </w:t>
      </w:r>
      <w:r>
        <w:rPr>
          <w:rFonts w:hint="eastAsia"/>
        </w:rPr>
        <w:t>对投标人的纪律要求</w:t>
      </w:r>
      <w:r>
        <w:tab/>
      </w:r>
      <w:r>
        <w:fldChar w:fldCharType="begin"/>
      </w:r>
      <w:r>
        <w:instrText xml:space="preserve"> PAGEREF _Toc17529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_Toc1295 </w:instrText>
      </w:r>
      <w:r>
        <w:fldChar w:fldCharType="separate"/>
      </w:r>
      <w:r>
        <w:rPr>
          <w:rFonts w:hint="eastAsia"/>
        </w:rPr>
        <w:t>8</w:t>
      </w:r>
      <w:r>
        <w:t xml:space="preserve">.3 </w:t>
      </w:r>
      <w:r>
        <w:rPr>
          <w:rFonts w:hint="eastAsia"/>
        </w:rPr>
        <w:t>对评标委员会成员的纪律要求</w:t>
      </w:r>
      <w:r>
        <w:tab/>
      </w:r>
      <w:r>
        <w:fldChar w:fldCharType="begin"/>
      </w:r>
      <w:r>
        <w:instrText xml:space="preserve"> PAGEREF _Toc1295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_Toc658 </w:instrText>
      </w:r>
      <w:r>
        <w:fldChar w:fldCharType="separate"/>
      </w:r>
      <w:r>
        <w:rPr>
          <w:rFonts w:hint="eastAsia"/>
        </w:rPr>
        <w:t>8</w:t>
      </w:r>
      <w:r>
        <w:t xml:space="preserve">.4 </w:t>
      </w:r>
      <w:r>
        <w:rPr>
          <w:rFonts w:hint="eastAsia"/>
        </w:rPr>
        <w:t>对与评标活动有关的工作人员的纪律要求</w:t>
      </w:r>
      <w:r>
        <w:tab/>
      </w:r>
      <w:r>
        <w:fldChar w:fldCharType="begin"/>
      </w:r>
      <w:r>
        <w:instrText xml:space="preserve"> PAGEREF _Toc658 \h </w:instrText>
      </w:r>
      <w:r>
        <w:fldChar w:fldCharType="separate"/>
      </w:r>
      <w:r>
        <w:t>14</w:t>
      </w:r>
      <w:r>
        <w:fldChar w:fldCharType="end"/>
      </w:r>
      <w:r>
        <w:fldChar w:fldCharType="end"/>
      </w:r>
    </w:p>
    <w:p>
      <w:pPr>
        <w:pStyle w:val="37"/>
        <w:tabs>
          <w:tab w:val="right" w:leader="dot" w:pos="8306"/>
        </w:tabs>
      </w:pPr>
      <w:r>
        <w:fldChar w:fldCharType="begin"/>
      </w:r>
      <w:r>
        <w:instrText xml:space="preserve"> HYPERLINK \l _Toc3562 </w:instrText>
      </w:r>
      <w:r>
        <w:fldChar w:fldCharType="separate"/>
      </w:r>
      <w:r>
        <w:rPr>
          <w:rFonts w:hint="eastAsia"/>
        </w:rPr>
        <w:t>9.</w:t>
      </w:r>
      <w:r>
        <w:t xml:space="preserve">  补充内容</w:t>
      </w:r>
      <w:r>
        <w:tab/>
      </w:r>
      <w:r>
        <w:fldChar w:fldCharType="begin"/>
      </w:r>
      <w:r>
        <w:instrText xml:space="preserve"> PAGEREF _Toc3562 \h </w:instrText>
      </w:r>
      <w:r>
        <w:fldChar w:fldCharType="separate"/>
      </w:r>
      <w:r>
        <w:t>14</w:t>
      </w:r>
      <w:r>
        <w:fldChar w:fldCharType="end"/>
      </w:r>
      <w:r>
        <w:fldChar w:fldCharType="end"/>
      </w:r>
    </w:p>
    <w:p>
      <w:pPr>
        <w:pStyle w:val="32"/>
        <w:tabs>
          <w:tab w:val="right" w:leader="dot" w:pos="8306"/>
        </w:tabs>
      </w:pPr>
      <w:r>
        <w:fldChar w:fldCharType="begin"/>
      </w:r>
      <w:r>
        <w:instrText xml:space="preserve"> HYPERLINK \l _Toc23339 </w:instrText>
      </w:r>
      <w:r>
        <w:fldChar w:fldCharType="separate"/>
      </w:r>
      <w:r>
        <w:rPr>
          <w:rFonts w:hint="eastAsia"/>
        </w:rPr>
        <w:t>第三章</w:t>
      </w:r>
      <w:r>
        <w:t xml:space="preserve"> </w:t>
      </w:r>
      <w:r>
        <w:rPr>
          <w:rFonts w:hint="eastAsia"/>
        </w:rPr>
        <w:t>评标办法（综合评估法）</w:t>
      </w:r>
      <w:r>
        <w:tab/>
      </w:r>
      <w:r>
        <w:fldChar w:fldCharType="begin"/>
      </w:r>
      <w:r>
        <w:instrText xml:space="preserve"> PAGEREF _Toc23339 \h </w:instrText>
      </w:r>
      <w:r>
        <w:fldChar w:fldCharType="separate"/>
      </w:r>
      <w:r>
        <w:t>15</w:t>
      </w:r>
      <w:r>
        <w:fldChar w:fldCharType="end"/>
      </w:r>
      <w:r>
        <w:fldChar w:fldCharType="end"/>
      </w:r>
    </w:p>
    <w:p>
      <w:pPr>
        <w:pStyle w:val="37"/>
        <w:tabs>
          <w:tab w:val="right" w:leader="dot" w:pos="8306"/>
        </w:tabs>
      </w:pPr>
      <w:r>
        <w:fldChar w:fldCharType="begin"/>
      </w:r>
      <w:r>
        <w:instrText xml:space="preserve"> HYPERLINK \l _Toc29882 </w:instrText>
      </w:r>
      <w:r>
        <w:fldChar w:fldCharType="separate"/>
      </w:r>
      <w:r>
        <w:rPr>
          <w:szCs w:val="28"/>
        </w:rPr>
        <w:t xml:space="preserve">1. </w:t>
      </w:r>
      <w:r>
        <w:rPr>
          <w:rFonts w:hint="eastAsia"/>
          <w:szCs w:val="28"/>
        </w:rPr>
        <w:t>评标方法</w:t>
      </w:r>
      <w:r>
        <w:tab/>
      </w:r>
      <w:r>
        <w:fldChar w:fldCharType="begin"/>
      </w:r>
      <w:r>
        <w:instrText xml:space="preserve"> PAGEREF _Toc29882 \h </w:instrText>
      </w:r>
      <w:r>
        <w:fldChar w:fldCharType="separate"/>
      </w:r>
      <w:r>
        <w:t>18</w:t>
      </w:r>
      <w:r>
        <w:fldChar w:fldCharType="end"/>
      </w:r>
      <w:r>
        <w:fldChar w:fldCharType="end"/>
      </w:r>
    </w:p>
    <w:p>
      <w:pPr>
        <w:pStyle w:val="37"/>
        <w:tabs>
          <w:tab w:val="right" w:leader="dot" w:pos="8306"/>
        </w:tabs>
      </w:pPr>
      <w:r>
        <w:fldChar w:fldCharType="begin"/>
      </w:r>
      <w:r>
        <w:instrText xml:space="preserve"> HYPERLINK \l _Toc30344 </w:instrText>
      </w:r>
      <w:r>
        <w:fldChar w:fldCharType="separate"/>
      </w:r>
      <w:r>
        <w:rPr>
          <w:szCs w:val="28"/>
        </w:rPr>
        <w:t xml:space="preserve">2. </w:t>
      </w:r>
      <w:r>
        <w:rPr>
          <w:rFonts w:hint="eastAsia"/>
          <w:szCs w:val="28"/>
        </w:rPr>
        <w:t>评审标准</w:t>
      </w:r>
      <w:r>
        <w:tab/>
      </w:r>
      <w:r>
        <w:fldChar w:fldCharType="begin"/>
      </w:r>
      <w:r>
        <w:instrText xml:space="preserve"> PAGEREF _Toc30344 \h </w:instrText>
      </w:r>
      <w:r>
        <w:fldChar w:fldCharType="separate"/>
      </w:r>
      <w:r>
        <w:t>18</w:t>
      </w:r>
      <w:r>
        <w:fldChar w:fldCharType="end"/>
      </w:r>
      <w:r>
        <w:fldChar w:fldCharType="end"/>
      </w:r>
    </w:p>
    <w:p>
      <w:pPr>
        <w:pStyle w:val="24"/>
        <w:tabs>
          <w:tab w:val="right" w:leader="dot" w:pos="8306"/>
        </w:tabs>
      </w:pPr>
      <w:r>
        <w:fldChar w:fldCharType="begin"/>
      </w:r>
      <w:r>
        <w:instrText xml:space="preserve"> HYPERLINK \l _Toc20062 </w:instrText>
      </w:r>
      <w:r>
        <w:fldChar w:fldCharType="separate"/>
      </w:r>
      <w:r>
        <w:t xml:space="preserve">2.1 </w:t>
      </w:r>
      <w:r>
        <w:rPr>
          <w:rFonts w:hint="eastAsia"/>
        </w:rPr>
        <w:t>初步评审标准</w:t>
      </w:r>
      <w:r>
        <w:tab/>
      </w:r>
      <w:r>
        <w:fldChar w:fldCharType="begin"/>
      </w:r>
      <w:r>
        <w:instrText xml:space="preserve"> PAGEREF _Toc20062 \h </w:instrText>
      </w:r>
      <w:r>
        <w:fldChar w:fldCharType="separate"/>
      </w:r>
      <w:r>
        <w:t>18</w:t>
      </w:r>
      <w:r>
        <w:fldChar w:fldCharType="end"/>
      </w:r>
      <w:r>
        <w:fldChar w:fldCharType="end"/>
      </w:r>
    </w:p>
    <w:p>
      <w:pPr>
        <w:pStyle w:val="24"/>
        <w:tabs>
          <w:tab w:val="right" w:leader="dot" w:pos="8306"/>
        </w:tabs>
      </w:pPr>
      <w:r>
        <w:fldChar w:fldCharType="begin"/>
      </w:r>
      <w:r>
        <w:instrText xml:space="preserve"> HYPERLINK \l _Toc5388 </w:instrText>
      </w:r>
      <w:r>
        <w:fldChar w:fldCharType="separate"/>
      </w:r>
      <w:r>
        <w:t xml:space="preserve">2.2 </w:t>
      </w:r>
      <w:r>
        <w:rPr>
          <w:rFonts w:hint="eastAsia"/>
        </w:rPr>
        <w:t>分值构成与评分标准</w:t>
      </w:r>
      <w:r>
        <w:tab/>
      </w:r>
      <w:r>
        <w:fldChar w:fldCharType="begin"/>
      </w:r>
      <w:r>
        <w:instrText xml:space="preserve"> PAGEREF _Toc5388 \h </w:instrText>
      </w:r>
      <w:r>
        <w:fldChar w:fldCharType="separate"/>
      </w:r>
      <w:r>
        <w:t>18</w:t>
      </w:r>
      <w:r>
        <w:fldChar w:fldCharType="end"/>
      </w:r>
      <w:r>
        <w:fldChar w:fldCharType="end"/>
      </w:r>
    </w:p>
    <w:p>
      <w:pPr>
        <w:pStyle w:val="37"/>
        <w:tabs>
          <w:tab w:val="right" w:leader="dot" w:pos="8306"/>
        </w:tabs>
      </w:pPr>
      <w:r>
        <w:fldChar w:fldCharType="begin"/>
      </w:r>
      <w:r>
        <w:instrText xml:space="preserve"> HYPERLINK \l _Toc25768 </w:instrText>
      </w:r>
      <w:r>
        <w:fldChar w:fldCharType="separate"/>
      </w:r>
      <w:r>
        <w:rPr>
          <w:szCs w:val="28"/>
        </w:rPr>
        <w:t xml:space="preserve">3. </w:t>
      </w:r>
      <w:r>
        <w:rPr>
          <w:rFonts w:hint="eastAsia"/>
          <w:szCs w:val="28"/>
        </w:rPr>
        <w:t>评标程序</w:t>
      </w:r>
      <w:r>
        <w:tab/>
      </w:r>
      <w:r>
        <w:fldChar w:fldCharType="begin"/>
      </w:r>
      <w:r>
        <w:instrText xml:space="preserve"> PAGEREF _Toc25768 \h </w:instrText>
      </w:r>
      <w:r>
        <w:fldChar w:fldCharType="separate"/>
      </w:r>
      <w:r>
        <w:t>18</w:t>
      </w:r>
      <w:r>
        <w:fldChar w:fldCharType="end"/>
      </w:r>
      <w:r>
        <w:fldChar w:fldCharType="end"/>
      </w:r>
    </w:p>
    <w:p>
      <w:pPr>
        <w:pStyle w:val="24"/>
        <w:tabs>
          <w:tab w:val="right" w:leader="dot" w:pos="8306"/>
        </w:tabs>
      </w:pPr>
      <w:r>
        <w:fldChar w:fldCharType="begin"/>
      </w:r>
      <w:r>
        <w:instrText xml:space="preserve"> HYPERLINK \l _Toc8271 </w:instrText>
      </w:r>
      <w:r>
        <w:fldChar w:fldCharType="separate"/>
      </w:r>
      <w:r>
        <w:t xml:space="preserve">3.1 </w:t>
      </w:r>
      <w:r>
        <w:rPr>
          <w:rFonts w:hint="eastAsia"/>
        </w:rPr>
        <w:t>初步评审</w:t>
      </w:r>
      <w:r>
        <w:tab/>
      </w:r>
      <w:r>
        <w:fldChar w:fldCharType="begin"/>
      </w:r>
      <w:r>
        <w:instrText xml:space="preserve"> PAGEREF _Toc8271 \h </w:instrText>
      </w:r>
      <w:r>
        <w:fldChar w:fldCharType="separate"/>
      </w:r>
      <w:r>
        <w:t>18</w:t>
      </w:r>
      <w:r>
        <w:fldChar w:fldCharType="end"/>
      </w:r>
      <w:r>
        <w:fldChar w:fldCharType="end"/>
      </w:r>
    </w:p>
    <w:p>
      <w:pPr>
        <w:pStyle w:val="24"/>
        <w:tabs>
          <w:tab w:val="right" w:leader="dot" w:pos="8306"/>
        </w:tabs>
      </w:pPr>
      <w:r>
        <w:fldChar w:fldCharType="begin"/>
      </w:r>
      <w:r>
        <w:instrText xml:space="preserve"> HYPERLINK \l _Toc28052 </w:instrText>
      </w:r>
      <w:r>
        <w:fldChar w:fldCharType="separate"/>
      </w:r>
      <w:r>
        <w:t xml:space="preserve">3.2  </w:t>
      </w:r>
      <w:r>
        <w:rPr>
          <w:rFonts w:hint="eastAsia"/>
        </w:rPr>
        <w:t>详细评审</w:t>
      </w:r>
      <w:r>
        <w:tab/>
      </w:r>
      <w:r>
        <w:fldChar w:fldCharType="begin"/>
      </w:r>
      <w:r>
        <w:instrText xml:space="preserve"> PAGEREF _Toc28052 \h </w:instrText>
      </w:r>
      <w:r>
        <w:fldChar w:fldCharType="separate"/>
      </w:r>
      <w:r>
        <w:t>18</w:t>
      </w:r>
      <w:r>
        <w:fldChar w:fldCharType="end"/>
      </w:r>
      <w:r>
        <w:fldChar w:fldCharType="end"/>
      </w:r>
    </w:p>
    <w:p>
      <w:pPr>
        <w:pStyle w:val="24"/>
        <w:tabs>
          <w:tab w:val="right" w:leader="dot" w:pos="8306"/>
        </w:tabs>
      </w:pPr>
      <w:r>
        <w:fldChar w:fldCharType="begin"/>
      </w:r>
      <w:r>
        <w:instrText xml:space="preserve"> HYPERLINK \l _Toc17923 </w:instrText>
      </w:r>
      <w:r>
        <w:fldChar w:fldCharType="separate"/>
      </w:r>
      <w:r>
        <w:t xml:space="preserve">3.3  </w:t>
      </w:r>
      <w:r>
        <w:rPr>
          <w:rFonts w:hint="eastAsia"/>
        </w:rPr>
        <w:t>投标文件的澄清和补正</w:t>
      </w:r>
      <w:r>
        <w:tab/>
      </w:r>
      <w:r>
        <w:fldChar w:fldCharType="begin"/>
      </w:r>
      <w:r>
        <w:instrText xml:space="preserve"> PAGEREF _Toc17923 \h </w:instrText>
      </w:r>
      <w:r>
        <w:fldChar w:fldCharType="separate"/>
      </w:r>
      <w:r>
        <w:t>18</w:t>
      </w:r>
      <w:r>
        <w:fldChar w:fldCharType="end"/>
      </w:r>
      <w:r>
        <w:fldChar w:fldCharType="end"/>
      </w:r>
    </w:p>
    <w:p>
      <w:pPr>
        <w:pStyle w:val="24"/>
        <w:tabs>
          <w:tab w:val="right" w:leader="dot" w:pos="8306"/>
        </w:tabs>
      </w:pPr>
      <w:r>
        <w:fldChar w:fldCharType="begin"/>
      </w:r>
      <w:r>
        <w:instrText xml:space="preserve"> HYPERLINK \l _Toc31022 </w:instrText>
      </w:r>
      <w:r>
        <w:fldChar w:fldCharType="separate"/>
      </w:r>
      <w:r>
        <w:t xml:space="preserve">3.4 </w:t>
      </w:r>
      <w:r>
        <w:rPr>
          <w:rFonts w:hint="eastAsia"/>
        </w:rPr>
        <w:t>评标结果</w:t>
      </w:r>
      <w:r>
        <w:tab/>
      </w:r>
      <w:r>
        <w:fldChar w:fldCharType="begin"/>
      </w:r>
      <w:r>
        <w:instrText xml:space="preserve"> PAGEREF _Toc31022 \h </w:instrText>
      </w:r>
      <w:r>
        <w:fldChar w:fldCharType="separate"/>
      </w:r>
      <w:r>
        <w:t>19</w:t>
      </w:r>
      <w:r>
        <w:fldChar w:fldCharType="end"/>
      </w:r>
      <w:r>
        <w:fldChar w:fldCharType="end"/>
      </w:r>
    </w:p>
    <w:p>
      <w:pPr>
        <w:pStyle w:val="32"/>
        <w:tabs>
          <w:tab w:val="right" w:leader="dot" w:pos="8306"/>
        </w:tabs>
      </w:pPr>
      <w:r>
        <w:fldChar w:fldCharType="begin"/>
      </w:r>
      <w:r>
        <w:instrText xml:space="preserve"> HYPERLINK \l _Toc29366 </w:instrText>
      </w:r>
      <w:r>
        <w:fldChar w:fldCharType="separate"/>
      </w:r>
      <w:r>
        <w:rPr>
          <w:rFonts w:hint="eastAsia"/>
        </w:rPr>
        <w:t>第四章</w:t>
      </w:r>
      <w:r>
        <w:t xml:space="preserve"> </w:t>
      </w:r>
      <w:r>
        <w:rPr>
          <w:rFonts w:hint="eastAsia"/>
        </w:rPr>
        <w:t>合同条款及格式</w:t>
      </w:r>
      <w:r>
        <w:tab/>
      </w:r>
      <w:r>
        <w:fldChar w:fldCharType="begin"/>
      </w:r>
      <w:r>
        <w:instrText xml:space="preserve"> PAGEREF _Toc29366 \h </w:instrText>
      </w:r>
      <w:r>
        <w:fldChar w:fldCharType="separate"/>
      </w:r>
      <w:r>
        <w:t>20</w:t>
      </w:r>
      <w:r>
        <w:fldChar w:fldCharType="end"/>
      </w:r>
      <w:r>
        <w:fldChar w:fldCharType="end"/>
      </w:r>
    </w:p>
    <w:p>
      <w:pPr>
        <w:pStyle w:val="32"/>
        <w:tabs>
          <w:tab w:val="right" w:leader="dot" w:pos="8306"/>
        </w:tabs>
      </w:pPr>
      <w:r>
        <w:fldChar w:fldCharType="begin"/>
      </w:r>
      <w:r>
        <w:instrText xml:space="preserve"> HYPERLINK \l _Toc13234 </w:instrText>
      </w:r>
      <w:r>
        <w:fldChar w:fldCharType="separate"/>
      </w:r>
      <w:r>
        <w:rPr>
          <w:rFonts w:hint="eastAsia"/>
        </w:rPr>
        <w:t>第五章</w:t>
      </w:r>
      <w:r>
        <w:rPr>
          <w:rFonts w:hint="eastAsia"/>
          <w:lang w:val="en-US" w:eastAsia="zh-CN"/>
        </w:rPr>
        <w:t xml:space="preserve"> </w:t>
      </w:r>
      <w:r>
        <w:rPr>
          <w:rFonts w:hint="eastAsia"/>
        </w:rPr>
        <w:t>投标文件格式</w:t>
      </w:r>
      <w:r>
        <w:tab/>
      </w:r>
      <w:r>
        <w:fldChar w:fldCharType="begin"/>
      </w:r>
      <w:r>
        <w:instrText xml:space="preserve"> PAGEREF _Toc13234 \h </w:instrText>
      </w:r>
      <w:r>
        <w:fldChar w:fldCharType="separate"/>
      </w:r>
      <w:r>
        <w:t>36</w:t>
      </w:r>
      <w:r>
        <w:fldChar w:fldCharType="end"/>
      </w:r>
      <w:r>
        <w:fldChar w:fldCharType="end"/>
      </w:r>
    </w:p>
    <w:p>
      <w:pPr>
        <w:pStyle w:val="32"/>
        <w:tabs>
          <w:tab w:val="right" w:leader="dot" w:pos="8306"/>
        </w:tabs>
      </w:pPr>
      <w:r>
        <w:fldChar w:fldCharType="begin"/>
      </w:r>
      <w:r>
        <w:instrText xml:space="preserve"> HYPERLINK \l _Toc29687 </w:instrText>
      </w:r>
      <w:r>
        <w:fldChar w:fldCharType="separate"/>
      </w:r>
      <w:r>
        <w:rPr>
          <w:rFonts w:hint="eastAsia" w:asciiTheme="minorEastAsia" w:hAnsiTheme="minorEastAsia" w:eastAsiaTheme="minorEastAsia"/>
          <w:kern w:val="0"/>
          <w:szCs w:val="21"/>
        </w:rPr>
        <w:t>一、投标函</w:t>
      </w:r>
      <w:r>
        <w:tab/>
      </w:r>
      <w:r>
        <w:fldChar w:fldCharType="begin"/>
      </w:r>
      <w:r>
        <w:instrText xml:space="preserve"> PAGEREF _Toc29687 \h </w:instrText>
      </w:r>
      <w:r>
        <w:fldChar w:fldCharType="separate"/>
      </w:r>
      <w:r>
        <w:t>36</w:t>
      </w:r>
      <w:r>
        <w:fldChar w:fldCharType="end"/>
      </w:r>
      <w:r>
        <w:fldChar w:fldCharType="end"/>
      </w:r>
    </w:p>
    <w:p>
      <w:pPr>
        <w:pStyle w:val="32"/>
        <w:tabs>
          <w:tab w:val="right" w:leader="dot" w:pos="8306"/>
        </w:tabs>
      </w:pPr>
      <w:r>
        <w:fldChar w:fldCharType="begin"/>
      </w:r>
      <w:r>
        <w:instrText xml:space="preserve"> HYPERLINK \l _Toc17836 </w:instrText>
      </w:r>
      <w:r>
        <w:fldChar w:fldCharType="separate"/>
      </w:r>
      <w:r>
        <w:rPr>
          <w:rFonts w:hint="eastAsia" w:asciiTheme="minorEastAsia" w:hAnsiTheme="minorEastAsia" w:eastAsiaTheme="minorEastAsia"/>
          <w:kern w:val="0"/>
          <w:szCs w:val="21"/>
        </w:rPr>
        <w:t>二、授权委托书</w:t>
      </w:r>
      <w:r>
        <w:tab/>
      </w:r>
      <w:r>
        <w:fldChar w:fldCharType="begin"/>
      </w:r>
      <w:r>
        <w:instrText xml:space="preserve"> PAGEREF _Toc17836 \h </w:instrText>
      </w:r>
      <w:r>
        <w:fldChar w:fldCharType="separate"/>
      </w:r>
      <w:r>
        <w:t>37</w:t>
      </w:r>
      <w:r>
        <w:fldChar w:fldCharType="end"/>
      </w:r>
      <w:r>
        <w:fldChar w:fldCharType="end"/>
      </w:r>
    </w:p>
    <w:p>
      <w:pPr>
        <w:sectPr>
          <w:pgSz w:w="11906" w:h="16838"/>
          <w:pgMar w:top="1440" w:right="1800" w:bottom="1440" w:left="1800" w:header="851" w:footer="992" w:gutter="0"/>
          <w:cols w:space="720" w:num="1"/>
          <w:docGrid w:type="lines" w:linePitch="312" w:charSpace="0"/>
        </w:sectPr>
      </w:pPr>
      <w:r>
        <w:fldChar w:fldCharType="end"/>
      </w:r>
      <w:r>
        <w:t xml:space="preserve"> </w:t>
      </w:r>
    </w:p>
    <w:p>
      <w:pPr>
        <w:pStyle w:val="107"/>
        <w:outlineLvl w:val="0"/>
      </w:pPr>
      <w:bookmarkStart w:id="0" w:name="_Toc769"/>
      <w:r>
        <w:rPr>
          <w:rFonts w:hint="eastAsia"/>
        </w:rPr>
        <w:t>第一章</w:t>
      </w:r>
      <w:r>
        <w:t xml:space="preserve"> </w:t>
      </w:r>
      <w:r>
        <w:rPr>
          <w:rFonts w:hint="eastAsia"/>
        </w:rPr>
        <w:t>招标公告</w:t>
      </w:r>
      <w:bookmarkEnd w:id="0"/>
    </w:p>
    <w:p>
      <w:pPr>
        <w:pStyle w:val="14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rPr>
      </w:pPr>
      <w:bookmarkStart w:id="1" w:name="_Toc23505"/>
      <w:r>
        <w:rPr>
          <w:rFonts w:hint="eastAsia"/>
        </w:rPr>
        <w:t>1.</w:t>
      </w:r>
      <w:r>
        <w:t xml:space="preserve">  </w:t>
      </w:r>
      <w:r>
        <w:rPr>
          <w:rFonts w:hint="eastAsia"/>
        </w:rPr>
        <w:t>招标条件</w:t>
      </w:r>
      <w:bookmarkEnd w:id="1"/>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Cs w:val="21"/>
        </w:rPr>
      </w:pPr>
      <w:r>
        <w:rPr>
          <w:rFonts w:hint="eastAsia"/>
          <w:szCs w:val="21"/>
        </w:rPr>
        <w:t>招标人南通市交通公共事业发展中心</w:t>
      </w:r>
      <w:r>
        <w:rPr>
          <w:rFonts w:hint="eastAsia"/>
          <w:szCs w:val="21"/>
          <w:lang w:eastAsia="zh-CN"/>
        </w:rPr>
        <w:t>（以下简称“发展中心”）根据业务开展需要</w:t>
      </w:r>
      <w:r>
        <w:rPr>
          <w:rFonts w:hint="eastAsia"/>
          <w:szCs w:val="21"/>
        </w:rPr>
        <w:t>，现对</w:t>
      </w:r>
      <w:r>
        <w:rPr>
          <w:rFonts w:hint="eastAsia"/>
          <w:szCs w:val="21"/>
          <w:lang w:eastAsia="zh-CN"/>
        </w:rPr>
        <w:t>发展中心</w:t>
      </w:r>
      <w:r>
        <w:rPr>
          <w:rFonts w:hint="eastAsia"/>
          <w:szCs w:val="21"/>
          <w:lang w:val="en-US" w:eastAsia="zh-CN"/>
        </w:rPr>
        <w:t>2023年招标代理服务项目进行国内公开招标，欢迎符合本项目资格要求的单位按招标文件规定的内容和时间要求，参加本项目的投标</w:t>
      </w:r>
      <w:r>
        <w:rPr>
          <w:rFonts w:hint="eastAsia"/>
          <w:szCs w:val="21"/>
        </w:rPr>
        <w:t>。</w:t>
      </w:r>
    </w:p>
    <w:p>
      <w:pPr>
        <w:pStyle w:val="14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rPr>
      </w:pPr>
      <w:bookmarkStart w:id="2" w:name="_Toc28839"/>
      <w:r>
        <w:rPr>
          <w:rFonts w:hint="eastAsia"/>
        </w:rPr>
        <w:t>2.</w:t>
      </w:r>
      <w:r>
        <w:t xml:space="preserve">  </w:t>
      </w:r>
      <w:r>
        <w:rPr>
          <w:rFonts w:hint="eastAsia"/>
        </w:rPr>
        <w:t>招标范围</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lang w:val="en-US" w:eastAsia="zh-CN"/>
        </w:rPr>
      </w:pPr>
      <w:r>
        <w:rPr>
          <w:rFonts w:hint="eastAsia"/>
          <w:bCs/>
          <w:color w:val="000000" w:themeColor="text1"/>
          <w:lang w:val="en-US" w:eastAsia="zh-CN"/>
          <w14:textFill>
            <w14:solidFill>
              <w14:schemeClr w14:val="tx1"/>
            </w14:solidFill>
          </w14:textFill>
        </w:rPr>
        <w:t>2.1</w:t>
      </w:r>
      <w:r>
        <w:rPr>
          <w:rFonts w:hint="eastAsia"/>
          <w:bCs/>
          <w:color w:val="000000" w:themeColor="text1"/>
          <w14:textFill>
            <w14:solidFill>
              <w14:schemeClr w14:val="tx1"/>
            </w14:solidFill>
          </w14:textFill>
        </w:rPr>
        <w:t>招标范围：</w:t>
      </w:r>
      <w:r>
        <w:rPr>
          <w:rFonts w:hint="eastAsia"/>
          <w:bCs/>
          <w:color w:val="000000" w:themeColor="text1"/>
          <w:lang w:eastAsia="zh-CN"/>
          <w14:textFill>
            <w14:solidFill>
              <w14:schemeClr w14:val="tx1"/>
            </w14:solidFill>
          </w14:textFill>
        </w:rPr>
        <w:t>发展中心组织实施的</w:t>
      </w:r>
      <w:r>
        <w:rPr>
          <w:rFonts w:hint="eastAsia"/>
          <w:szCs w:val="21"/>
          <w:lang w:val="en-US" w:eastAsia="zh-CN"/>
        </w:rPr>
        <w:t>所有</w:t>
      </w:r>
      <w:r>
        <w:rPr>
          <w:rFonts w:hint="eastAsia"/>
          <w:szCs w:val="21"/>
        </w:rPr>
        <w:t>工程建设</w:t>
      </w:r>
      <w:r>
        <w:rPr>
          <w:rFonts w:hint="eastAsia"/>
          <w:szCs w:val="21"/>
          <w:lang w:eastAsia="zh-CN"/>
        </w:rPr>
        <w:t>类</w:t>
      </w:r>
      <w:r>
        <w:rPr>
          <w:rFonts w:hint="eastAsia"/>
          <w:szCs w:val="21"/>
          <w:lang w:val="en-US" w:eastAsia="zh-CN"/>
        </w:rPr>
        <w:t>、咨询服务类、采购类等项目招标代理服务工作，主要包括：</w:t>
      </w:r>
    </w:p>
    <w:p>
      <w:pPr>
        <w:pStyle w:val="43"/>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（一）工程施工类，主要包括交通工程项目、工作用房修缮、信息化项目建设等。</w:t>
      </w:r>
    </w:p>
    <w:p>
      <w:pPr>
        <w:pStyle w:val="43"/>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（二）咨询服务类，主要包括交通规划研究、工程勘察设计、监理（项目管理）、信息化项目维护、技术咨询服务、招标代理、工程审计、科研项目等。</w:t>
      </w:r>
    </w:p>
    <w:p>
      <w:pPr>
        <w:pStyle w:val="43"/>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（三）工程货物采购类，主要包括与工程建设有关的货物（指构成工程不可分割的组成部分、且为实现工程基本功能所必须的设备、材料等）采购服务。</w:t>
      </w:r>
    </w:p>
    <w:p>
      <w:pPr>
        <w:pStyle w:val="43"/>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（四）其它货物采购类，主要包括办公耗材、生活耗材、电子耗材的采购服务等。</w:t>
      </w:r>
    </w:p>
    <w:p>
      <w:pPr>
        <w:pStyle w:val="43"/>
        <w:rPr>
          <w:rFonts w:hint="eastAsia" w:ascii="Times New Roman" w:hAnsi="Times New Roman" w:eastAsia="宋体" w:cs="Times New Roman"/>
          <w:kern w:val="2"/>
          <w:sz w:val="21"/>
          <w:szCs w:val="21"/>
          <w:lang w:val="en-US" w:eastAsia="zh-CN" w:bidi="ar-SA"/>
        </w:rPr>
      </w:pPr>
      <w:r>
        <w:rPr>
          <w:rFonts w:hint="eastAsia" w:ascii="Times New Roman" w:cs="Times New Roman"/>
          <w:kern w:val="2"/>
          <w:sz w:val="21"/>
          <w:szCs w:val="21"/>
          <w:lang w:val="en-US" w:eastAsia="zh-CN" w:bidi="ar-SA"/>
        </w:rPr>
        <w:t>（五）上级交办的其他专项项目。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bCs/>
          <w:lang w:val="en-US" w:eastAsia="zh-CN"/>
        </w:rPr>
      </w:pPr>
      <w:r>
        <w:rPr>
          <w:rFonts w:hint="eastAsia"/>
          <w:bCs/>
          <w:color w:val="000000" w:themeColor="text1"/>
          <w14:textFill>
            <w14:solidFill>
              <w14:schemeClr w14:val="tx1"/>
            </w14:solidFill>
          </w14:textFill>
        </w:rPr>
        <w:t>招标代理服务工作内容具体包括</w:t>
      </w:r>
      <w:r>
        <w:rPr>
          <w:rFonts w:hint="eastAsia"/>
          <w:bCs/>
          <w:color w:val="000000" w:themeColor="text1"/>
          <w:lang w:eastAsia="zh-CN"/>
          <w14:textFill>
            <w14:solidFill>
              <w14:schemeClr w14:val="tx1"/>
            </w14:solidFill>
          </w14:textFill>
        </w:rPr>
        <w:t>但不限于</w:t>
      </w:r>
      <w:r>
        <w:rPr>
          <w:rFonts w:hint="eastAsia"/>
          <w:bCs/>
          <w:color w:val="000000" w:themeColor="text1"/>
          <w14:textFill>
            <w14:solidFill>
              <w14:schemeClr w14:val="tx1"/>
            </w14:solidFill>
          </w14:textFill>
        </w:rPr>
        <w:t>：提供招标前期咨询、编写招标方案、编写招标公告、编制招标文件、编制招标控制价（含复核工程量清单）；发放招标文件及图纸、答疑、组织现场踏勘（如果有）、组织投标预备会（如果有）、回复招标文件答疑；组织投标开标、评标、定标及相关会务工作；协助发包人签发中标通知书、</w:t>
      </w:r>
      <w:r>
        <w:rPr>
          <w:rFonts w:hint="eastAsia"/>
          <w:bCs/>
          <w:color w:val="000000" w:themeColor="text1"/>
          <w:lang w:val="en-US" w:eastAsia="zh-CN"/>
          <w14:textFill>
            <w14:solidFill>
              <w14:schemeClr w14:val="tx1"/>
            </w14:solidFill>
          </w14:textFill>
        </w:rPr>
        <w:t>草拟</w:t>
      </w:r>
      <w:r>
        <w:rPr>
          <w:rFonts w:hint="eastAsia"/>
          <w:bCs/>
          <w:color w:val="000000" w:themeColor="text1"/>
          <w14:textFill>
            <w14:solidFill>
              <w14:schemeClr w14:val="tx1"/>
            </w14:solidFill>
          </w14:textFill>
        </w:rPr>
        <w:t>合同；招标资料移交、整理、归档和备案；招标过程所有资料的复印、装订以及与招投标相关的其他工</w:t>
      </w:r>
      <w:r>
        <w:rPr>
          <w:rFonts w:hint="eastAsia"/>
          <w:bCs/>
          <w:color w:val="000000" w:themeColor="text1"/>
          <w:lang w:val="en-US" w:eastAsia="zh-CN"/>
          <w14:textFill>
            <w14:solidFill>
              <w14:schemeClr w14:val="tx1"/>
            </w14:solidFill>
          </w14:textFill>
        </w:rPr>
        <w:t>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color w:val="000000" w:themeColor="text1"/>
          <w14:textFill>
            <w14:solidFill>
              <w14:schemeClr w14:val="tx1"/>
            </w14:solidFill>
          </w14:textFill>
        </w:rPr>
      </w:pPr>
      <w:bookmarkStart w:id="3" w:name="_Toc12356"/>
      <w:r>
        <w:rPr>
          <w:rFonts w:hint="eastAsia"/>
          <w:bCs/>
          <w:color w:val="000000" w:themeColor="text1"/>
          <w14:textFill>
            <w14:solidFill>
              <w14:schemeClr w14:val="tx1"/>
            </w14:solidFill>
          </w14:textFill>
        </w:rPr>
        <w:t>2.2通过本次招标选定代理单位数量：2</w:t>
      </w:r>
      <w:r>
        <w:rPr>
          <w:rFonts w:hint="eastAsia"/>
          <w:bCs/>
          <w:color w:val="000000" w:themeColor="text1"/>
          <w:lang w:val="en-US" w:eastAsia="zh-CN"/>
          <w14:textFill>
            <w14:solidFill>
              <w14:schemeClr w14:val="tx1"/>
            </w14:solidFill>
          </w14:textFill>
        </w:rPr>
        <w:t>家</w:t>
      </w:r>
      <w:r>
        <w:rPr>
          <w:rFonts w:hint="eastAsia"/>
          <w:bCs/>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Cs/>
        </w:rPr>
      </w:pPr>
      <w:r>
        <w:rPr>
          <w:rFonts w:hint="eastAsia"/>
          <w:bCs/>
          <w:color w:val="000000" w:themeColor="text1"/>
          <w14:textFill>
            <w14:solidFill>
              <w14:schemeClr w14:val="tx1"/>
            </w14:solidFill>
          </w14:textFill>
        </w:rPr>
        <w:t>2.3服务周期：</w:t>
      </w:r>
      <w:r>
        <w:rPr>
          <w:rFonts w:hint="eastAsia"/>
          <w:bCs/>
          <w:color w:val="000000" w:themeColor="text1"/>
          <w:lang w:val="en-US" w:eastAsia="zh-CN"/>
          <w14:textFill>
            <w14:solidFill>
              <w14:schemeClr w14:val="tx1"/>
            </w14:solidFill>
          </w14:textFill>
        </w:rPr>
        <w:t>自合同签订之日起至</w:t>
      </w:r>
      <w:r>
        <w:rPr>
          <w:rFonts w:hint="eastAsia"/>
          <w:bCs/>
          <w:color w:val="000000" w:themeColor="text1"/>
          <w14:textFill>
            <w14:solidFill>
              <w14:schemeClr w14:val="tx1"/>
            </w14:solidFill>
          </w14:textFill>
        </w:rPr>
        <w:t>2023年12月31日</w:t>
      </w:r>
      <w:r>
        <w:rPr>
          <w:rFonts w:hint="eastAsia"/>
          <w:bCs/>
          <w:color w:val="000000" w:themeColor="text1"/>
          <w:lang w:eastAsia="zh-CN"/>
          <w14:textFill>
            <w14:solidFill>
              <w14:schemeClr w14:val="tx1"/>
            </w14:solidFill>
          </w14:textFill>
        </w:rPr>
        <w:t>，但在截止之日前已开始招标的项目需完成约定的服务内容</w:t>
      </w:r>
      <w:r>
        <w:rPr>
          <w:rFonts w:hint="eastAsia"/>
          <w:bCs/>
          <w:color w:val="000000" w:themeColor="text1"/>
          <w14:textFill>
            <w14:solidFill>
              <w14:schemeClr w14:val="tx1"/>
            </w14:solidFill>
          </w14:textFill>
        </w:rPr>
        <w:t>。</w:t>
      </w:r>
      <w:r>
        <w:rPr>
          <w:rFonts w:hint="eastAsia"/>
          <w:bCs/>
        </w:rPr>
        <w:t>服务期满后，在通过发展中心考核、中标单位承诺政策性增资以外不增加服务费用的前提下，经中心招标采购工作领导小组批准后可与原中标单位续签1年合同。</w:t>
      </w:r>
    </w:p>
    <w:p>
      <w:pPr>
        <w:pStyle w:val="14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rPr>
      </w:pPr>
      <w:r>
        <w:rPr>
          <w:rFonts w:hint="eastAsia"/>
        </w:rPr>
        <w:t>3.</w:t>
      </w:r>
      <w:r>
        <w:t xml:space="preserve">  </w:t>
      </w:r>
      <w:r>
        <w:rPr>
          <w:rFonts w:hint="eastAsia"/>
        </w:rPr>
        <w:t>投标人资格要求</w:t>
      </w:r>
      <w:bookmarkEnd w:id="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bCs/>
          <w:color w:val="000000" w:themeColor="text1"/>
          <w:lang w:eastAsia="zh-CN"/>
          <w14:textFill>
            <w14:solidFill>
              <w14:schemeClr w14:val="tx1"/>
            </w14:solidFill>
          </w14:textFill>
        </w:rPr>
      </w:pPr>
      <w:r>
        <w:rPr>
          <w:rFonts w:hint="eastAsia"/>
          <w:bCs/>
          <w:color w:val="000000" w:themeColor="text1"/>
          <w14:textFill>
            <w14:solidFill>
              <w14:schemeClr w14:val="tx1"/>
            </w14:solidFill>
          </w14:textFill>
        </w:rPr>
        <w:t>3.1资质条件：投标人应为中国大陆境内合法注册的独立企业法人或事业法人，具备有效的营业执照或事业单位法人证书</w:t>
      </w: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提供营业执照或事业单位法人证书复印件</w:t>
      </w:r>
      <w:r>
        <w:rPr>
          <w:rFonts w:hint="eastAsia"/>
          <w:bCs/>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3</w:t>
      </w:r>
      <w:r>
        <w:rPr>
          <w:rFonts w:hint="eastAsia"/>
          <w:bCs/>
          <w:color w:val="000000" w:themeColor="text1"/>
          <w14:textFill>
            <w14:solidFill>
              <w14:schemeClr w14:val="tx1"/>
            </w14:solidFill>
          </w14:textFill>
        </w:rPr>
        <w:t>.2业绩要求</w:t>
      </w:r>
      <w:r>
        <w:rPr>
          <w:rFonts w:hint="eastAsia"/>
          <w:bCs/>
          <w:color w:val="000000" w:themeColor="text1"/>
          <w:lang w:eastAsia="zh-CN"/>
          <w14:textFill>
            <w14:solidFill>
              <w14:schemeClr w14:val="tx1"/>
            </w14:solidFill>
          </w14:textFill>
        </w:rPr>
        <w:t>：</w:t>
      </w:r>
      <w:r>
        <w:rPr>
          <w:rFonts w:hint="eastAsia"/>
          <w:bCs/>
          <w:color w:val="000000" w:themeColor="text1"/>
          <w14:textFill>
            <w14:solidFill>
              <w14:schemeClr w14:val="tx1"/>
            </w14:solidFill>
          </w14:textFill>
        </w:rPr>
        <w:t>投标人近</w:t>
      </w:r>
      <w:r>
        <w:rPr>
          <w:rFonts w:hint="eastAsia"/>
          <w:bCs/>
          <w:color w:val="000000" w:themeColor="text1"/>
          <w:lang w:val="en-US" w:eastAsia="zh-CN"/>
          <w14:textFill>
            <w14:solidFill>
              <w14:schemeClr w14:val="tx1"/>
            </w14:solidFill>
          </w14:textFill>
        </w:rPr>
        <w:t>三</w:t>
      </w:r>
      <w:r>
        <w:rPr>
          <w:rFonts w:hint="eastAsia"/>
          <w:bCs/>
          <w:color w:val="000000" w:themeColor="text1"/>
          <w14:textFill>
            <w14:solidFill>
              <w14:schemeClr w14:val="tx1"/>
            </w14:solidFill>
          </w14:textFill>
        </w:rPr>
        <w:t>年（20</w:t>
      </w:r>
      <w:r>
        <w:rPr>
          <w:rFonts w:hint="eastAsia"/>
          <w:bCs/>
          <w:color w:val="000000" w:themeColor="text1"/>
          <w:lang w:val="en-US" w:eastAsia="zh-CN"/>
          <w14:textFill>
            <w14:solidFill>
              <w14:schemeClr w14:val="tx1"/>
            </w14:solidFill>
          </w14:textFill>
        </w:rPr>
        <w:t>20</w:t>
      </w:r>
      <w:r>
        <w:rPr>
          <w:rFonts w:hint="eastAsia"/>
          <w:bCs/>
          <w:color w:val="000000" w:themeColor="text1"/>
          <w14:textFill>
            <w14:solidFill>
              <w14:schemeClr w14:val="tx1"/>
            </w14:solidFill>
          </w14:textFill>
        </w:rPr>
        <w:t>年</w:t>
      </w:r>
      <w:r>
        <w:rPr>
          <w:rFonts w:hint="eastAsia"/>
          <w:bCs/>
          <w:color w:val="000000" w:themeColor="text1"/>
          <w:lang w:val="en-US" w:eastAsia="zh-CN"/>
          <w14:textFill>
            <w14:solidFill>
              <w14:schemeClr w14:val="tx1"/>
            </w14:solidFill>
          </w14:textFill>
        </w:rPr>
        <w:t>1</w:t>
      </w:r>
      <w:r>
        <w:rPr>
          <w:rFonts w:hint="eastAsia"/>
          <w:bCs/>
          <w:color w:val="000000" w:themeColor="text1"/>
          <w14:textFill>
            <w14:solidFill>
              <w14:schemeClr w14:val="tx1"/>
            </w14:solidFill>
          </w14:textFill>
        </w:rPr>
        <w:t>月</w:t>
      </w:r>
      <w:r>
        <w:rPr>
          <w:rFonts w:hint="eastAsia"/>
          <w:bCs/>
          <w:color w:val="000000" w:themeColor="text1"/>
          <w:lang w:val="en-US" w:eastAsia="zh-CN"/>
          <w14:textFill>
            <w14:solidFill>
              <w14:schemeClr w14:val="tx1"/>
            </w14:solidFill>
          </w14:textFill>
        </w:rPr>
        <w:t>1</w:t>
      </w:r>
      <w:r>
        <w:rPr>
          <w:rFonts w:hint="eastAsia"/>
          <w:bCs/>
          <w:color w:val="000000" w:themeColor="text1"/>
          <w14:textFill>
            <w14:solidFill>
              <w14:schemeClr w14:val="tx1"/>
            </w14:solidFill>
          </w14:textFill>
        </w:rPr>
        <w:t>日以来</w:t>
      </w:r>
      <w:r>
        <w:rPr>
          <w:rFonts w:hint="eastAsia"/>
          <w:bCs/>
          <w:color w:val="000000" w:themeColor="text1"/>
          <w:lang w:eastAsia="zh-CN"/>
          <w14:textFill>
            <w14:solidFill>
              <w14:schemeClr w14:val="tx1"/>
            </w14:solidFill>
          </w14:textFill>
        </w:rPr>
        <w:t>，</w:t>
      </w:r>
      <w:r>
        <w:rPr>
          <w:rFonts w:hint="eastAsia"/>
          <w:bCs/>
          <w:color w:val="000000" w:themeColor="text1"/>
          <w14:textFill>
            <w14:solidFill>
              <w14:schemeClr w14:val="tx1"/>
            </w14:solidFill>
          </w14:textFill>
        </w:rPr>
        <w:t>以</w:t>
      </w:r>
      <w:r>
        <w:rPr>
          <w:rFonts w:hint="eastAsia"/>
          <w:bCs/>
          <w:color w:val="000000" w:themeColor="text1"/>
          <w:lang w:val="en-US" w:eastAsia="zh-CN"/>
          <w14:textFill>
            <w14:solidFill>
              <w14:schemeClr w14:val="tx1"/>
            </w14:solidFill>
          </w14:textFill>
        </w:rPr>
        <w:t>招标公告发布时间</w:t>
      </w:r>
      <w:r>
        <w:rPr>
          <w:rFonts w:hint="eastAsia"/>
          <w:bCs/>
          <w:color w:val="000000" w:themeColor="text1"/>
          <w14:textFill>
            <w14:solidFill>
              <w14:schemeClr w14:val="tx1"/>
            </w14:solidFill>
          </w14:textFill>
        </w:rPr>
        <w:t>为准）通过江苏省交通运输厅招投标信息管理系统至少完成过一</w:t>
      </w:r>
      <w:r>
        <w:rPr>
          <w:rFonts w:hint="eastAsia"/>
          <w:bCs/>
          <w:color w:val="000000" w:themeColor="text1"/>
          <w:lang w:val="en-US" w:eastAsia="zh-CN"/>
          <w14:textFill>
            <w14:solidFill>
              <w14:schemeClr w14:val="tx1"/>
            </w14:solidFill>
          </w14:textFill>
        </w:rPr>
        <w:t>个</w:t>
      </w:r>
      <w:r>
        <w:rPr>
          <w:rFonts w:hint="eastAsia"/>
          <w:bCs/>
          <w:color w:val="000000" w:themeColor="text1"/>
          <w14:textFill>
            <w14:solidFill>
              <w14:schemeClr w14:val="tx1"/>
            </w14:solidFill>
          </w14:textFill>
        </w:rPr>
        <w:t>招标代理项目。</w:t>
      </w:r>
      <w:r>
        <w:rPr>
          <w:rFonts w:hint="eastAsia"/>
          <w:bCs/>
          <w:color w:val="000000" w:themeColor="text1"/>
          <w:lang w:val="en-US" w:eastAsia="zh-CN"/>
          <w14:textFill>
            <w14:solidFill>
              <w14:schemeClr w14:val="tx1"/>
            </w14:solidFill>
          </w14:textFill>
        </w:rPr>
        <w:t>提供项目招标公告网页截图、中标通知书。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color w:val="000000" w:themeColor="text1"/>
          <w14:textFill>
            <w14:solidFill>
              <w14:schemeClr w14:val="tx1"/>
            </w14:solidFill>
          </w14:textFill>
        </w:rPr>
      </w:pPr>
      <w:r>
        <w:rPr>
          <w:rFonts w:hint="eastAsia"/>
          <w:bCs/>
          <w:color w:val="000000" w:themeColor="text1"/>
          <w:lang w:val="en-US" w:eastAsia="zh-CN"/>
          <w14:textFill>
            <w14:solidFill>
              <w14:schemeClr w14:val="tx1"/>
            </w14:solidFill>
          </w14:textFill>
        </w:rPr>
        <w:t>3</w:t>
      </w:r>
      <w:r>
        <w:rPr>
          <w:rFonts w:hint="eastAsia"/>
          <w:bCs/>
          <w:color w:val="000000" w:themeColor="text1"/>
          <w14:textFill>
            <w14:solidFill>
              <w14:schemeClr w14:val="tx1"/>
            </w14:solidFill>
          </w14:textFill>
        </w:rPr>
        <w:t>.3信誉要求：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Cs/>
          <w:color w:val="000000" w:themeColor="text1"/>
          <w:lang w:val="en-US" w:eastAsia="zh-CN"/>
          <w14:textFill>
            <w14:solidFill>
              <w14:schemeClr w14:val="tx1"/>
            </w14:solidFill>
          </w14:textFill>
        </w:rPr>
      </w:pP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1</w:t>
      </w:r>
      <w:r>
        <w:rPr>
          <w:rFonts w:hint="eastAsia"/>
          <w:bCs/>
          <w:color w:val="000000" w:themeColor="text1"/>
          <w:lang w:eastAsia="zh-CN"/>
          <w14:textFill>
            <w14:solidFill>
              <w14:schemeClr w14:val="tx1"/>
            </w14:solidFill>
          </w14:textFill>
        </w:rPr>
        <w:t>）</w:t>
      </w:r>
      <w:r>
        <w:rPr>
          <w:rFonts w:hint="eastAsia"/>
          <w:bCs/>
          <w:color w:val="000000" w:themeColor="text1"/>
          <w14:textFill>
            <w14:solidFill>
              <w14:schemeClr w14:val="tx1"/>
            </w14:solidFill>
          </w14:textFill>
        </w:rPr>
        <w:t>截止递交投标文件当日，投标人在最近一期江苏省公路水运工程服务类信用等级评价不得低于A（暂定）级</w:t>
      </w: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提供网页截图；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Cs/>
          <w:color w:val="000000" w:themeColor="text1"/>
          <w:lang w:val="en-US" w:eastAsia="zh-CN"/>
          <w14:textFill>
            <w14:solidFill>
              <w14:schemeClr w14:val="tx1"/>
            </w14:solidFill>
          </w14:textFill>
        </w:rPr>
      </w:pPr>
      <w:r>
        <w:rPr>
          <w:rFonts w:hint="eastAsia"/>
          <w:bCs/>
          <w:color w:val="000000" w:themeColor="text1"/>
          <w14:textFill>
            <w14:solidFill>
              <w14:schemeClr w14:val="tx1"/>
            </w14:solidFill>
          </w14:textFill>
        </w:rPr>
        <w:t>（</w:t>
      </w:r>
      <w:r>
        <w:rPr>
          <w:rFonts w:hint="eastAsia"/>
          <w:bCs/>
          <w:color w:val="000000" w:themeColor="text1"/>
          <w:lang w:val="en-US" w:eastAsia="zh-CN"/>
          <w14:textFill>
            <w14:solidFill>
              <w14:schemeClr w14:val="tx1"/>
            </w14:solidFill>
          </w14:textFill>
        </w:rPr>
        <w:t>2</w:t>
      </w:r>
      <w:r>
        <w:rPr>
          <w:rFonts w:hint="eastAsia"/>
          <w:bCs/>
          <w:color w:val="000000" w:themeColor="text1"/>
          <w14:textFill>
            <w14:solidFill>
              <w14:schemeClr w14:val="tx1"/>
            </w14:solidFill>
          </w14:textFill>
        </w:rPr>
        <w:t>）截止递交投标文件当日，投标人未在“信用中国”网站中被列为失信被执行人</w:t>
      </w: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提供网站查询截图；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color w:val="000000" w:themeColor="text1"/>
          <w14:textFill>
            <w14:solidFill>
              <w14:schemeClr w14:val="tx1"/>
            </w14:solidFill>
          </w14:textFill>
        </w:rPr>
      </w:pP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3</w:t>
      </w:r>
      <w:r>
        <w:rPr>
          <w:rFonts w:hint="eastAsia"/>
          <w:bCs/>
          <w:color w:val="000000" w:themeColor="text1"/>
          <w:lang w:eastAsia="zh-CN"/>
          <w14:textFill>
            <w14:solidFill>
              <w14:schemeClr w14:val="tx1"/>
            </w14:solidFill>
          </w14:textFill>
        </w:rPr>
        <w:t>）</w:t>
      </w:r>
      <w:r>
        <w:rPr>
          <w:rFonts w:hint="eastAsia"/>
          <w:bCs/>
          <w:color w:val="000000" w:themeColor="text1"/>
          <w14:textFill>
            <w14:solidFill>
              <w14:schemeClr w14:val="tx1"/>
            </w14:solidFill>
          </w14:textFill>
        </w:rPr>
        <w:t>截止递交投标文件当日，投标人未在国家企业信用信息公示系统中被列入严重违法失信企业名单</w:t>
      </w: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提供网站查询截图</w:t>
      </w:r>
      <w:r>
        <w:rPr>
          <w:rFonts w:hint="eastAsia"/>
          <w:bCs/>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color w:val="000000" w:themeColor="text1"/>
          <w14:textFill>
            <w14:solidFill>
              <w14:schemeClr w14:val="tx1"/>
            </w14:solidFill>
          </w14:textFill>
        </w:rPr>
      </w:pPr>
      <w:r>
        <w:rPr>
          <w:rFonts w:hint="eastAsia"/>
          <w:bCs/>
          <w:color w:val="000000" w:themeColor="text1"/>
          <w:lang w:val="en-US" w:eastAsia="zh-CN"/>
          <w14:textFill>
            <w14:solidFill>
              <w14:schemeClr w14:val="tx1"/>
            </w14:solidFill>
          </w14:textFill>
        </w:rPr>
        <w:t>3.4</w:t>
      </w:r>
      <w:r>
        <w:rPr>
          <w:rFonts w:hint="eastAsia"/>
          <w:bCs/>
          <w:color w:val="000000" w:themeColor="text1"/>
          <w14:textFill>
            <w14:solidFill>
              <w14:schemeClr w14:val="tx1"/>
            </w14:solidFill>
          </w14:textFill>
        </w:rPr>
        <w:t>投入本项目负责人要求：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Cs/>
        </w:rPr>
      </w:pPr>
      <w:r>
        <w:rPr>
          <w:rFonts w:hint="eastAsia"/>
          <w:bCs/>
          <w:color w:val="000000" w:themeColor="text1"/>
          <w:lang w:val="en-US" w:eastAsia="zh-CN"/>
          <w14:textFill>
            <w14:solidFill>
              <w14:schemeClr w14:val="tx1"/>
            </w14:solidFill>
          </w14:textFill>
        </w:rPr>
        <w:t>具</w:t>
      </w:r>
      <w:r>
        <w:rPr>
          <w:rFonts w:hint="eastAsia"/>
          <w:bCs/>
          <w:color w:val="000000" w:themeColor="text1"/>
          <w14:textFill>
            <w14:solidFill>
              <w14:schemeClr w14:val="tx1"/>
            </w14:solidFill>
          </w14:textFill>
        </w:rPr>
        <w:t>有工程师及以上技术职称</w:t>
      </w:r>
      <w:r>
        <w:rPr>
          <w:rFonts w:hint="eastAsia"/>
          <w:bCs/>
          <w:color w:val="000000" w:themeColor="text1"/>
          <w:lang w:eastAsia="zh-CN"/>
          <w14:textFill>
            <w14:solidFill>
              <w14:schemeClr w14:val="tx1"/>
            </w14:solidFill>
          </w14:textFill>
        </w:rPr>
        <w:t>；</w:t>
      </w:r>
      <w:r>
        <w:rPr>
          <w:rFonts w:hint="eastAsia"/>
          <w:bCs/>
          <w:color w:val="000000" w:themeColor="text1"/>
          <w14:textFill>
            <w14:solidFill>
              <w14:schemeClr w14:val="tx1"/>
            </w14:solidFill>
          </w14:textFill>
        </w:rPr>
        <w:t>近</w:t>
      </w:r>
      <w:r>
        <w:rPr>
          <w:rFonts w:hint="eastAsia"/>
          <w:bCs/>
          <w:color w:val="000000" w:themeColor="text1"/>
          <w:lang w:val="en-US" w:eastAsia="zh-CN"/>
          <w14:textFill>
            <w14:solidFill>
              <w14:schemeClr w14:val="tx1"/>
            </w14:solidFill>
          </w14:textFill>
        </w:rPr>
        <w:t>三</w:t>
      </w:r>
      <w:r>
        <w:rPr>
          <w:rFonts w:hint="eastAsia"/>
          <w:bCs/>
          <w:color w:val="000000" w:themeColor="text1"/>
          <w14:textFill>
            <w14:solidFill>
              <w14:schemeClr w14:val="tx1"/>
            </w14:solidFill>
          </w14:textFill>
        </w:rPr>
        <w:t>年（20</w:t>
      </w:r>
      <w:r>
        <w:rPr>
          <w:rFonts w:hint="eastAsia"/>
          <w:bCs/>
          <w:color w:val="000000" w:themeColor="text1"/>
          <w:lang w:val="en-US" w:eastAsia="zh-CN"/>
          <w14:textFill>
            <w14:solidFill>
              <w14:schemeClr w14:val="tx1"/>
            </w14:solidFill>
          </w14:textFill>
        </w:rPr>
        <w:t>20</w:t>
      </w:r>
      <w:r>
        <w:rPr>
          <w:rFonts w:hint="eastAsia"/>
          <w:bCs/>
          <w:color w:val="000000" w:themeColor="text1"/>
          <w14:textFill>
            <w14:solidFill>
              <w14:schemeClr w14:val="tx1"/>
            </w14:solidFill>
          </w14:textFill>
        </w:rPr>
        <w:t>年</w:t>
      </w:r>
      <w:r>
        <w:rPr>
          <w:rFonts w:hint="eastAsia"/>
          <w:bCs/>
          <w:color w:val="000000" w:themeColor="text1"/>
          <w:lang w:val="en-US" w:eastAsia="zh-CN"/>
          <w14:textFill>
            <w14:solidFill>
              <w14:schemeClr w14:val="tx1"/>
            </w14:solidFill>
          </w14:textFill>
        </w:rPr>
        <w:t>1</w:t>
      </w:r>
      <w:r>
        <w:rPr>
          <w:rFonts w:hint="eastAsia"/>
          <w:bCs/>
          <w:color w:val="000000" w:themeColor="text1"/>
          <w14:textFill>
            <w14:solidFill>
              <w14:schemeClr w14:val="tx1"/>
            </w14:solidFill>
          </w14:textFill>
        </w:rPr>
        <w:t>月1日至今，以</w:t>
      </w:r>
      <w:r>
        <w:rPr>
          <w:rFonts w:hint="eastAsia"/>
          <w:bCs/>
          <w:color w:val="000000" w:themeColor="text1"/>
          <w:lang w:val="en-US" w:eastAsia="zh-CN"/>
          <w14:textFill>
            <w14:solidFill>
              <w14:schemeClr w14:val="tx1"/>
            </w14:solidFill>
          </w14:textFill>
        </w:rPr>
        <w:t>招标公告发布时间</w:t>
      </w:r>
      <w:r>
        <w:rPr>
          <w:rFonts w:hint="eastAsia"/>
          <w:bCs/>
          <w:color w:val="000000" w:themeColor="text1"/>
          <w14:textFill>
            <w14:solidFill>
              <w14:schemeClr w14:val="tx1"/>
            </w14:solidFill>
          </w14:textFill>
        </w:rPr>
        <w:t>为准）至少担任过一</w:t>
      </w:r>
      <w:r>
        <w:rPr>
          <w:rFonts w:hint="eastAsia"/>
          <w:bCs/>
          <w:color w:val="000000" w:themeColor="text1"/>
          <w:lang w:val="en-US" w:eastAsia="zh-CN"/>
          <w14:textFill>
            <w14:solidFill>
              <w14:schemeClr w14:val="tx1"/>
            </w14:solidFill>
          </w14:textFill>
        </w:rPr>
        <w:t>个</w:t>
      </w:r>
      <w:r>
        <w:rPr>
          <w:rFonts w:hint="eastAsia"/>
          <w:bCs/>
          <w:color w:val="000000" w:themeColor="text1"/>
          <w14:textFill>
            <w14:solidFill>
              <w14:schemeClr w14:val="tx1"/>
            </w14:solidFill>
          </w14:textFill>
        </w:rPr>
        <w:t>通过江苏省交通运输厅招投标信息管理系统完成的招标代理项目的项目负责人</w:t>
      </w: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提供项目招标公告网页截图、中标通知书及项目负责人证明材料。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Cs/>
        </w:rPr>
      </w:pPr>
      <w:r>
        <w:rPr>
          <w:bCs/>
        </w:rPr>
        <w:t>3.</w:t>
      </w:r>
      <w:r>
        <w:rPr>
          <w:rFonts w:hint="eastAsia"/>
          <w:bCs/>
          <w:lang w:val="en-US" w:eastAsia="zh-CN"/>
        </w:rPr>
        <w:t>5</w:t>
      </w:r>
      <w:r>
        <w:rPr>
          <w:rFonts w:hint="eastAsia"/>
          <w:bCs/>
        </w:rPr>
        <w:t>本次招标采用资格后审，符合条件的单位均可参加，不接受联合体</w:t>
      </w:r>
      <w:r>
        <w:rPr>
          <w:rFonts w:hint="eastAsia"/>
          <w:bCs/>
          <w:lang w:val="en-US" w:eastAsia="zh-CN"/>
        </w:rPr>
        <w:t>投标</w:t>
      </w:r>
      <w:r>
        <w:rPr>
          <w:rFonts w:hint="eastAsia"/>
          <w:bC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Cs/>
        </w:rPr>
      </w:pPr>
      <w:r>
        <w:rPr>
          <w:bCs/>
        </w:rPr>
        <w:t>3.</w:t>
      </w:r>
      <w:r>
        <w:rPr>
          <w:rFonts w:hint="eastAsia"/>
          <w:bCs/>
          <w:lang w:val="en-US" w:eastAsia="zh-CN"/>
        </w:rPr>
        <w:t>6</w:t>
      </w:r>
      <w:r>
        <w:rPr>
          <w:rFonts w:hint="eastAsia"/>
          <w:szCs w:val="21"/>
        </w:rPr>
        <w:t>法定代表人为同一人的两个及两个以上法人，母公司及其全资子公司、其控股、参股公司，股东或出资人全部或部分为同一人或同一法人的法人以及其他形式有资产关联关系的自然人、法人、非法人组织，不得参加同一标段投标或者未划分标段的同一招标项目投标。</w:t>
      </w:r>
    </w:p>
    <w:p>
      <w:pPr>
        <w:pStyle w:val="14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rPr>
      </w:pPr>
      <w:bookmarkStart w:id="4" w:name="_Toc9029"/>
      <w:r>
        <w:rPr>
          <w:rFonts w:hint="eastAsia"/>
        </w:rPr>
        <w:t>4.</w:t>
      </w:r>
      <w:r>
        <w:t xml:space="preserve">  </w:t>
      </w:r>
      <w:r>
        <w:rPr>
          <w:rFonts w:hint="eastAsia"/>
        </w:rPr>
        <w:t>招标文件获取</w:t>
      </w:r>
      <w:bookmarkEnd w:id="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lang w:val="zh-CN"/>
        </w:rPr>
      </w:pPr>
      <w:r>
        <w:rPr>
          <w:rFonts w:hint="eastAsia"/>
          <w:szCs w:val="21"/>
          <w:lang w:val="en-US" w:eastAsia="zh-CN"/>
        </w:rPr>
        <w:t>4</w:t>
      </w:r>
      <w:r>
        <w:rPr>
          <w:rFonts w:hint="eastAsia"/>
          <w:szCs w:val="21"/>
          <w:lang w:val="zh-CN"/>
        </w:rPr>
        <w:t>.1 招标文件获取时间为：</w:t>
      </w:r>
      <w:r>
        <w:rPr>
          <w:rFonts w:hint="eastAsia"/>
          <w:szCs w:val="21"/>
          <w:u w:val="single"/>
          <w:lang w:val="zh-CN"/>
        </w:rPr>
        <w:t>自公告发布之日起至投标截止。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lang w:val="en-US" w:eastAsia="zh-CN"/>
        </w:rPr>
        <w:t>4</w:t>
      </w:r>
      <w:r>
        <w:rPr>
          <w:rFonts w:hint="eastAsia"/>
          <w:szCs w:val="21"/>
          <w:lang w:val="zh-CN"/>
        </w:rPr>
        <w:t>.2 招标文件获取方式：</w:t>
      </w:r>
      <w:r>
        <w:rPr>
          <w:rFonts w:hint="eastAsia"/>
          <w:szCs w:val="21"/>
          <w:u w:val="single"/>
          <w:lang w:val="zh-CN"/>
        </w:rPr>
        <w:t>凡有意参加本项目投标的潜在投标人，可直接从</w:t>
      </w:r>
      <w:r>
        <w:rPr>
          <w:rFonts w:hint="eastAsia"/>
          <w:szCs w:val="21"/>
          <w:u w:val="single"/>
        </w:rPr>
        <w:t>南通市交通运输局网站下载，无需现场购买。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招标人不统一组织现场考察，也不召开投标预备会议。</w:t>
      </w:r>
    </w:p>
    <w:p>
      <w:pPr>
        <w:pStyle w:val="14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eastAsia="宋体" w:cs="Times New Roman"/>
          <w:kern w:val="2"/>
          <w:sz w:val="21"/>
          <w:szCs w:val="21"/>
          <w:highlight w:val="none"/>
          <w:lang w:val="en-US" w:eastAsia="zh-CN" w:bidi="ar-SA"/>
        </w:rPr>
      </w:pPr>
      <w:bookmarkStart w:id="5" w:name="_Toc28713"/>
      <w:r>
        <w:rPr>
          <w:rFonts w:hint="eastAsia"/>
        </w:rPr>
        <w:t>5.</w:t>
      </w:r>
      <w:r>
        <w:t xml:space="preserve">  </w:t>
      </w:r>
      <w:r>
        <w:rPr>
          <w:rFonts w:hint="eastAsia"/>
        </w:rPr>
        <w:t>投标文件的递交</w:t>
      </w:r>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lang w:val="zh-CN"/>
        </w:rPr>
      </w:pPr>
      <w:r>
        <w:rPr>
          <w:rFonts w:hint="eastAsia" w:ascii="Times New Roman" w:hAnsi="Times New Roman" w:eastAsia="宋体" w:cs="Times New Roman"/>
          <w:kern w:val="2"/>
          <w:sz w:val="21"/>
          <w:szCs w:val="21"/>
          <w:highlight w:val="none"/>
          <w:lang w:val="en-US" w:eastAsia="zh-CN" w:bidi="ar-SA"/>
        </w:rPr>
        <w:t>5.1</w:t>
      </w:r>
      <w:r>
        <w:rPr>
          <w:rFonts w:hint="eastAsia" w:ascii="Times New Roman" w:hAnsi="Times New Roman" w:eastAsia="宋体" w:cs="Times New Roman"/>
          <w:kern w:val="2"/>
          <w:sz w:val="21"/>
          <w:szCs w:val="21"/>
          <w:highlight w:val="none"/>
          <w:lang w:val="zh-CN" w:eastAsia="zh-CN" w:bidi="ar-SA"/>
        </w:rPr>
        <w:t>投标文件递交开始时间为</w:t>
      </w:r>
      <w:r>
        <w:rPr>
          <w:rFonts w:hint="eastAsia"/>
          <w:b/>
          <w:bCs/>
          <w:szCs w:val="21"/>
          <w:highlight w:val="none"/>
          <w:u w:val="single"/>
          <w:lang w:val="zh-CN"/>
        </w:rPr>
        <w:t>202</w:t>
      </w:r>
      <w:r>
        <w:rPr>
          <w:rFonts w:hint="eastAsia"/>
          <w:b/>
          <w:bCs/>
          <w:szCs w:val="21"/>
          <w:highlight w:val="none"/>
          <w:u w:val="single"/>
          <w:lang w:val="en-US" w:eastAsia="zh-CN"/>
        </w:rPr>
        <w:t>3</w:t>
      </w:r>
      <w:r>
        <w:rPr>
          <w:rFonts w:hint="eastAsia"/>
          <w:b/>
          <w:bCs/>
          <w:szCs w:val="21"/>
          <w:highlight w:val="none"/>
          <w:u w:val="single"/>
          <w:lang w:val="zh-CN"/>
        </w:rPr>
        <w:t>年</w:t>
      </w:r>
      <w:r>
        <w:rPr>
          <w:rFonts w:hint="eastAsia"/>
          <w:b/>
          <w:bCs/>
          <w:szCs w:val="21"/>
          <w:highlight w:val="none"/>
          <w:u w:val="single"/>
          <w:lang w:val="en-US" w:eastAsia="zh-CN"/>
        </w:rPr>
        <w:t>1</w:t>
      </w:r>
      <w:r>
        <w:rPr>
          <w:rFonts w:hint="eastAsia"/>
          <w:b/>
          <w:bCs/>
          <w:szCs w:val="21"/>
          <w:highlight w:val="none"/>
          <w:u w:val="single"/>
          <w:lang w:val="zh-CN"/>
        </w:rPr>
        <w:t>月</w:t>
      </w:r>
      <w:r>
        <w:rPr>
          <w:rFonts w:hint="eastAsia"/>
          <w:b/>
          <w:bCs/>
          <w:szCs w:val="21"/>
          <w:highlight w:val="none"/>
          <w:u w:val="single"/>
          <w:lang w:val="en-US" w:eastAsia="zh-CN"/>
        </w:rPr>
        <w:t>16</w:t>
      </w:r>
      <w:r>
        <w:rPr>
          <w:rFonts w:hint="eastAsia"/>
          <w:b/>
          <w:bCs/>
          <w:szCs w:val="21"/>
          <w:highlight w:val="none"/>
          <w:u w:val="single"/>
          <w:lang w:val="zh-CN"/>
        </w:rPr>
        <w:t>日1</w:t>
      </w:r>
      <w:r>
        <w:rPr>
          <w:rFonts w:hint="eastAsia"/>
          <w:b/>
          <w:bCs/>
          <w:szCs w:val="21"/>
          <w:highlight w:val="none"/>
          <w:u w:val="single"/>
          <w:lang w:val="en-US" w:eastAsia="zh-CN"/>
        </w:rPr>
        <w:t>3</w:t>
      </w:r>
      <w:r>
        <w:rPr>
          <w:rFonts w:hint="eastAsia"/>
          <w:b/>
          <w:bCs/>
          <w:szCs w:val="21"/>
          <w:highlight w:val="none"/>
          <w:u w:val="single"/>
          <w:lang w:val="zh-CN"/>
        </w:rPr>
        <w:t>时</w:t>
      </w:r>
      <w:r>
        <w:rPr>
          <w:rFonts w:hint="eastAsia"/>
          <w:b/>
          <w:bCs/>
          <w:szCs w:val="21"/>
          <w:highlight w:val="none"/>
          <w:u w:val="single"/>
          <w:lang w:val="en-US" w:eastAsia="zh-CN"/>
        </w:rPr>
        <w:t>3</w:t>
      </w:r>
      <w:r>
        <w:rPr>
          <w:rFonts w:hint="eastAsia"/>
          <w:b/>
          <w:bCs/>
          <w:szCs w:val="21"/>
          <w:highlight w:val="none"/>
          <w:u w:val="single"/>
          <w:lang w:val="zh-CN"/>
        </w:rPr>
        <w:t>0分</w:t>
      </w:r>
      <w:r>
        <w:rPr>
          <w:rFonts w:hint="eastAsia"/>
          <w:szCs w:val="21"/>
          <w:highlight w:val="none"/>
          <w:lang w:val="zh-CN"/>
        </w:rPr>
        <w:t xml:space="preserve">，递交截止时间为 </w:t>
      </w:r>
      <w:r>
        <w:rPr>
          <w:rFonts w:hint="eastAsia"/>
          <w:b/>
          <w:bCs/>
          <w:szCs w:val="21"/>
          <w:highlight w:val="none"/>
          <w:u w:val="single"/>
          <w:lang w:val="zh-CN"/>
        </w:rPr>
        <w:t>202</w:t>
      </w:r>
      <w:r>
        <w:rPr>
          <w:rFonts w:hint="eastAsia"/>
          <w:b/>
          <w:bCs/>
          <w:szCs w:val="21"/>
          <w:highlight w:val="none"/>
          <w:u w:val="single"/>
          <w:lang w:val="en-US" w:eastAsia="zh-CN"/>
        </w:rPr>
        <w:t>3</w:t>
      </w:r>
      <w:r>
        <w:rPr>
          <w:rFonts w:hint="eastAsia"/>
          <w:b/>
          <w:bCs/>
          <w:szCs w:val="21"/>
          <w:highlight w:val="none"/>
          <w:u w:val="single"/>
          <w:lang w:val="zh-CN"/>
        </w:rPr>
        <w:t>年</w:t>
      </w:r>
      <w:r>
        <w:rPr>
          <w:rFonts w:hint="eastAsia"/>
          <w:b/>
          <w:bCs/>
          <w:szCs w:val="21"/>
          <w:highlight w:val="none"/>
          <w:u w:val="single"/>
          <w:lang w:val="en-US" w:eastAsia="zh-CN"/>
        </w:rPr>
        <w:t>1</w:t>
      </w:r>
      <w:r>
        <w:rPr>
          <w:rFonts w:hint="eastAsia"/>
          <w:b/>
          <w:bCs/>
          <w:szCs w:val="21"/>
          <w:highlight w:val="none"/>
          <w:u w:val="single"/>
          <w:lang w:val="zh-CN"/>
        </w:rPr>
        <w:t>月</w:t>
      </w:r>
      <w:r>
        <w:rPr>
          <w:rFonts w:hint="eastAsia"/>
          <w:b/>
          <w:bCs/>
          <w:szCs w:val="21"/>
          <w:highlight w:val="none"/>
          <w:u w:val="single"/>
          <w:lang w:val="en-US" w:eastAsia="zh-CN"/>
        </w:rPr>
        <w:t>16</w:t>
      </w:r>
      <w:r>
        <w:rPr>
          <w:rFonts w:hint="eastAsia"/>
          <w:b/>
          <w:bCs/>
          <w:szCs w:val="21"/>
          <w:highlight w:val="none"/>
          <w:u w:val="single"/>
          <w:lang w:val="zh-CN"/>
        </w:rPr>
        <w:t>日14时00分</w:t>
      </w:r>
      <w:r>
        <w:rPr>
          <w:rFonts w:hint="eastAsia"/>
          <w:szCs w:val="21"/>
          <w:highlight w:val="none"/>
          <w:lang w:val="zh-CN"/>
        </w:rPr>
        <w:t>，投标文件必</w:t>
      </w:r>
      <w:r>
        <w:rPr>
          <w:rFonts w:hint="eastAsia"/>
          <w:szCs w:val="21"/>
          <w:lang w:val="zh-CN"/>
        </w:rPr>
        <w:t>须在上述时间内递交至：</w:t>
      </w:r>
      <w:r>
        <w:rPr>
          <w:rFonts w:hint="eastAsia"/>
          <w:b/>
          <w:bCs/>
          <w:i w:val="0"/>
          <w:iCs w:val="0"/>
          <w:szCs w:val="21"/>
          <w:u w:val="single"/>
          <w:lang w:val="zh-CN"/>
        </w:rPr>
        <w:t>江苏省南通市崇川区通京大道8号南通市交通公共事业发展中心</w:t>
      </w:r>
      <w:r>
        <w:rPr>
          <w:rFonts w:hint="eastAsia"/>
          <w:b/>
          <w:bCs/>
          <w:i w:val="0"/>
          <w:iCs w:val="0"/>
          <w:szCs w:val="21"/>
          <w:u w:val="single"/>
          <w:lang w:val="en-US" w:eastAsia="zh-CN"/>
        </w:rPr>
        <w:t>208</w:t>
      </w:r>
      <w:r>
        <w:rPr>
          <w:rFonts w:hint="eastAsia"/>
          <w:b/>
          <w:bCs/>
          <w:i w:val="0"/>
          <w:iCs w:val="0"/>
          <w:szCs w:val="21"/>
          <w:u w:val="single"/>
          <w:lang w:val="zh-CN"/>
        </w:rPr>
        <w:t>会议室</w:t>
      </w:r>
      <w:r>
        <w:rPr>
          <w:rFonts w:hint="eastAsia"/>
          <w:szCs w:val="21"/>
          <w:lang w:val="zh-CN"/>
        </w:rPr>
        <w:t>。</w:t>
      </w:r>
      <w:r>
        <w:rPr>
          <w:rFonts w:hint="eastAsia"/>
          <w:szCs w:val="21"/>
          <w:lang w:val="en-US" w:eastAsia="zh-CN"/>
        </w:rPr>
        <w:t>如有变动，另行通知。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lang w:val="en-US" w:eastAsia="zh-CN"/>
        </w:rPr>
      </w:pPr>
      <w:r>
        <w:rPr>
          <w:rFonts w:hint="eastAsia"/>
          <w:szCs w:val="21"/>
          <w:lang w:val="en-US" w:eastAsia="zh-CN"/>
        </w:rPr>
        <w:t>5.2</w:t>
      </w:r>
      <w:r>
        <w:rPr>
          <w:rFonts w:hint="eastAsia"/>
          <w:szCs w:val="21"/>
          <w:lang w:val="zh-CN"/>
        </w:rPr>
        <w:t>开标仪式将于投标文件递交截止的同一时间在投标文件递交的同一地点举行，投标人应派其法定代表人或其授权代理人携带有效身份证明出席，若未前来出席开标会，则视为默认开标结果。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lang w:val="en-US" w:eastAsia="zh-CN"/>
        </w:rPr>
      </w:pPr>
      <w:r>
        <w:rPr>
          <w:rFonts w:hint="eastAsia"/>
          <w:szCs w:val="21"/>
          <w:lang w:val="en-US" w:eastAsia="zh-CN"/>
        </w:rPr>
        <w:t>5.3逾期送达的或者未送达指定地点的投标文件，招标人不予受理。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lang w:val="en-US" w:eastAsia="zh-CN"/>
        </w:rPr>
      </w:pPr>
      <w:r>
        <w:rPr>
          <w:rFonts w:hint="eastAsia"/>
          <w:szCs w:val="21"/>
          <w:lang w:val="en-US" w:eastAsia="zh-CN"/>
        </w:rPr>
        <w:t>注：因疫情防控需要，每个供应商仅允许法定代表人或其授权代理人一人携带有效身份证明出席开标会，若未前来出席开标会，则视为默认开标结果。防疫期需佩戴好口罩，按照当地（供应商所在地、采购人所在地）最新发布的疫情防控要求执行，请各供应商及时关注并获取最新消息，亦可拨打当地区号+12345热线电话咨询。</w:t>
      </w:r>
    </w:p>
    <w:p>
      <w:pPr>
        <w:pStyle w:val="14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lang w:val="en-US" w:eastAsia="zh-CN"/>
        </w:rPr>
      </w:pPr>
      <w:bookmarkStart w:id="6" w:name="_Toc9589"/>
      <w:r>
        <w:rPr>
          <w:rFonts w:hint="eastAsia"/>
        </w:rPr>
        <w:t>6.</w:t>
      </w:r>
      <w:r>
        <w:t xml:space="preserve">  </w:t>
      </w:r>
      <w:r>
        <w:rPr>
          <w:rFonts w:hint="eastAsia"/>
        </w:rPr>
        <w:t>发布公告的媒介</w:t>
      </w:r>
      <w:bookmarkEnd w:id="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本次招标公告在</w:t>
      </w:r>
      <w:r>
        <w:rPr>
          <w:rFonts w:hint="eastAsia"/>
          <w:szCs w:val="21"/>
          <w:lang w:val="en-US" w:eastAsia="zh-CN"/>
        </w:rPr>
        <w:t>南通市交通运输局网站</w:t>
      </w:r>
      <w:r>
        <w:rPr>
          <w:rFonts w:hint="eastAsia"/>
          <w:szCs w:val="21"/>
        </w:rPr>
        <w:t>上发布。</w:t>
      </w:r>
    </w:p>
    <w:p>
      <w:pPr>
        <w:pStyle w:val="14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rPr>
      </w:pPr>
      <w:bookmarkStart w:id="7" w:name="_Toc18582"/>
      <w:r>
        <w:rPr>
          <w:rFonts w:hint="eastAsia"/>
        </w:rPr>
        <w:t>7.</w:t>
      </w:r>
      <w:r>
        <w:t xml:space="preserve">  </w:t>
      </w:r>
      <w:r>
        <w:rPr>
          <w:rFonts w:hint="eastAsia"/>
        </w:rPr>
        <w:t>联系方式</w:t>
      </w:r>
      <w:bookmarkEnd w:id="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招标人：南通市交通公共事业发展中心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地址：南通市</w:t>
      </w:r>
      <w:r>
        <w:rPr>
          <w:rFonts w:hint="eastAsia"/>
          <w:szCs w:val="21"/>
          <w:lang w:eastAsia="zh-CN"/>
        </w:rPr>
        <w:t>崇川区</w:t>
      </w:r>
      <w:r>
        <w:rPr>
          <w:rFonts w:hint="eastAsia"/>
          <w:szCs w:val="21"/>
        </w:rPr>
        <w:t>通京大道8号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lang w:eastAsia="zh-CN"/>
        </w:rPr>
      </w:pPr>
      <w:r>
        <w:rPr>
          <w:rFonts w:hint="eastAsia"/>
          <w:szCs w:val="21"/>
        </w:rPr>
        <w:t>联系人</w:t>
      </w:r>
      <w:r>
        <w:rPr>
          <w:rFonts w:hint="eastAsia"/>
          <w:szCs w:val="21"/>
          <w:lang w:eastAsia="zh-CN"/>
        </w:rPr>
        <w:t>：</w:t>
      </w:r>
      <w:r>
        <w:rPr>
          <w:rFonts w:hint="eastAsia"/>
          <w:szCs w:val="21"/>
          <w:lang w:val="en-US" w:eastAsia="zh-CN"/>
        </w:rPr>
        <w:t>顾女士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lang w:val="en-US" w:eastAsia="zh-CN"/>
        </w:rPr>
      </w:pPr>
      <w:r>
        <w:rPr>
          <w:rFonts w:hint="eastAsia"/>
          <w:szCs w:val="21"/>
        </w:rPr>
        <w:t>电话</w:t>
      </w:r>
      <w:r>
        <w:rPr>
          <w:rFonts w:hint="eastAsia"/>
          <w:szCs w:val="21"/>
          <w:lang w:eastAsia="zh-CN"/>
        </w:rPr>
        <w:t>：</w:t>
      </w:r>
      <w:r>
        <w:rPr>
          <w:rFonts w:hint="eastAsia"/>
          <w:szCs w:val="21"/>
          <w:lang w:val="en-US" w:eastAsia="zh-CN"/>
        </w:rPr>
        <w:t>59001920</w:t>
      </w:r>
    </w:p>
    <w:p>
      <w:pPr>
        <w:spacing w:line="360" w:lineRule="auto"/>
        <w:ind w:firstLine="420" w:firstLineChars="200"/>
        <w:rPr>
          <w:rFonts w:hint="eastAsia"/>
          <w:szCs w:val="21"/>
        </w:rPr>
      </w:pPr>
    </w:p>
    <w:p>
      <w:pPr>
        <w:widowControl/>
        <w:jc w:val="left"/>
        <w:rPr>
          <w:sz w:val="36"/>
          <w:szCs w:val="36"/>
        </w:rPr>
      </w:pPr>
      <w:r>
        <w:br w:type="page"/>
      </w:r>
    </w:p>
    <w:p>
      <w:pPr>
        <w:pStyle w:val="107"/>
        <w:outlineLvl w:val="0"/>
      </w:pPr>
      <w:bookmarkStart w:id="8" w:name="_Toc4436"/>
      <w:r>
        <w:rPr>
          <w:rFonts w:hint="eastAsia"/>
        </w:rPr>
        <w:t>第二章</w:t>
      </w:r>
      <w:r>
        <w:t xml:space="preserve"> </w:t>
      </w:r>
      <w:r>
        <w:rPr>
          <w:rFonts w:hint="eastAsia"/>
        </w:rPr>
        <w:t>投标人须知</w:t>
      </w:r>
      <w:bookmarkEnd w:id="8"/>
    </w:p>
    <w:p>
      <w:pPr>
        <w:spacing w:line="400" w:lineRule="exact"/>
        <w:ind w:right="482"/>
      </w:pPr>
      <w:bookmarkStart w:id="9" w:name="_Toc285707961"/>
      <w:bookmarkStart w:id="10" w:name="_Toc286406757"/>
      <w:r>
        <w:rPr>
          <w:rFonts w:hint="eastAsia"/>
          <w:sz w:val="24"/>
        </w:rPr>
        <w:t>投标人须知前附表</w:t>
      </w:r>
      <w:bookmarkEnd w:id="9"/>
      <w:bookmarkEnd w:id="10"/>
    </w:p>
    <w:tbl>
      <w:tblPr>
        <w:tblStyle w:val="4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0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08" w:type="dxa"/>
            <w:vAlign w:val="center"/>
          </w:tcPr>
          <w:p>
            <w:r>
              <w:rPr>
                <w:rFonts w:hint="eastAsia"/>
              </w:rPr>
              <w:t>条款号</w:t>
            </w:r>
          </w:p>
        </w:tc>
        <w:tc>
          <w:tcPr>
            <w:tcW w:w="2700" w:type="dxa"/>
          </w:tcPr>
          <w:p>
            <w:pPr>
              <w:jc w:val="center"/>
            </w:pPr>
            <w:r>
              <w:rPr>
                <w:rFonts w:hint="eastAsia"/>
              </w:rPr>
              <w:t>条款名称</w:t>
            </w:r>
          </w:p>
        </w:tc>
        <w:tc>
          <w:tcPr>
            <w:tcW w:w="5400" w:type="dxa"/>
          </w:tcPr>
          <w:p>
            <w:pPr>
              <w:jc w:val="center"/>
            </w:pPr>
            <w:r>
              <w:rPr>
                <w:rFonts w:hint="eastAsi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008" w:type="dxa"/>
            <w:vAlign w:val="center"/>
          </w:tcPr>
          <w:p>
            <w:r>
              <w:t>1.1.2</w:t>
            </w:r>
          </w:p>
        </w:tc>
        <w:tc>
          <w:tcPr>
            <w:tcW w:w="2700" w:type="dxa"/>
            <w:vAlign w:val="center"/>
          </w:tcPr>
          <w:p>
            <w:r>
              <w:rPr>
                <w:rFonts w:hint="eastAsia"/>
              </w:rPr>
              <w:t>招标人</w:t>
            </w:r>
          </w:p>
        </w:tc>
        <w:tc>
          <w:tcPr>
            <w:tcW w:w="5400" w:type="dxa"/>
          </w:tcPr>
          <w:p>
            <w:pPr>
              <w:spacing w:line="360" w:lineRule="auto"/>
              <w:rPr>
                <w:rFonts w:hint="eastAsia"/>
                <w:szCs w:val="21"/>
              </w:rPr>
            </w:pPr>
            <w:r>
              <w:rPr>
                <w:rFonts w:hint="eastAsia"/>
                <w:szCs w:val="21"/>
              </w:rPr>
              <w:t>招标人：南通市交通公共事业发展中心</w:t>
            </w:r>
          </w:p>
          <w:p>
            <w:pPr>
              <w:spacing w:line="360" w:lineRule="auto"/>
              <w:rPr>
                <w:rFonts w:hint="eastAsia"/>
                <w:szCs w:val="21"/>
              </w:rPr>
            </w:pPr>
            <w:r>
              <w:rPr>
                <w:rFonts w:hint="eastAsia"/>
                <w:szCs w:val="21"/>
              </w:rPr>
              <w:t>地址：南通市</w:t>
            </w:r>
            <w:r>
              <w:rPr>
                <w:rFonts w:hint="eastAsia"/>
                <w:szCs w:val="21"/>
                <w:lang w:eastAsia="zh-CN"/>
              </w:rPr>
              <w:t>崇川区</w:t>
            </w:r>
            <w:r>
              <w:rPr>
                <w:rFonts w:hint="eastAsia"/>
                <w:szCs w:val="21"/>
              </w:rPr>
              <w:t>通京大道8号</w:t>
            </w:r>
          </w:p>
          <w:p>
            <w:pPr>
              <w:spacing w:line="360" w:lineRule="auto"/>
              <w:rPr>
                <w:rFonts w:hint="eastAsia" w:eastAsia="宋体"/>
                <w:szCs w:val="21"/>
                <w:highlight w:val="none"/>
                <w:lang w:eastAsia="zh-CN"/>
              </w:rPr>
            </w:pPr>
            <w:r>
              <w:rPr>
                <w:rFonts w:hint="eastAsia"/>
                <w:szCs w:val="21"/>
                <w:highlight w:val="none"/>
              </w:rPr>
              <w:t>联系人：</w:t>
            </w:r>
            <w:r>
              <w:rPr>
                <w:rFonts w:hint="eastAsia"/>
                <w:szCs w:val="21"/>
                <w:highlight w:val="none"/>
                <w:lang w:eastAsia="zh-CN"/>
              </w:rPr>
              <w:t>顾女士</w:t>
            </w:r>
            <w:r>
              <w:rPr>
                <w:rFonts w:hint="eastAsia"/>
                <w:szCs w:val="21"/>
                <w:highlight w:val="none"/>
                <w:lang w:val="en-US" w:eastAsia="zh-CN"/>
              </w:rPr>
              <w:t xml:space="preserve"> </w:t>
            </w:r>
          </w:p>
          <w:p>
            <w:pPr>
              <w:spacing w:line="360" w:lineRule="auto"/>
              <w:rPr>
                <w:rFonts w:hint="eastAsia" w:ascii="宋体" w:hAnsi="宋体"/>
              </w:rPr>
            </w:pPr>
            <w:r>
              <w:rPr>
                <w:rFonts w:hint="eastAsia"/>
                <w:szCs w:val="21"/>
                <w:highlight w:val="none"/>
              </w:rPr>
              <w:t>电话：</w:t>
            </w:r>
            <w:r>
              <w:rPr>
                <w:rFonts w:hint="eastAsia"/>
                <w:szCs w:val="21"/>
                <w:highlight w:val="none"/>
                <w:lang w:val="en-US" w:eastAsia="zh-CN"/>
              </w:rPr>
              <w:t xml:space="preserve">59001920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1.1.</w:t>
            </w:r>
            <w:r>
              <w:rPr>
                <w:rFonts w:hint="eastAsia"/>
              </w:rPr>
              <w:t>3</w:t>
            </w:r>
          </w:p>
        </w:tc>
        <w:tc>
          <w:tcPr>
            <w:tcW w:w="2700" w:type="dxa"/>
            <w:vAlign w:val="center"/>
          </w:tcPr>
          <w:p>
            <w:r>
              <w:rPr>
                <w:rFonts w:hint="eastAsia"/>
              </w:rPr>
              <w:t>项目名称</w:t>
            </w:r>
          </w:p>
        </w:tc>
        <w:tc>
          <w:tcPr>
            <w:tcW w:w="5400" w:type="dxa"/>
          </w:tcPr>
          <w:p>
            <w:r>
              <w:rPr>
                <w:rFonts w:hint="eastAsia"/>
              </w:rPr>
              <w:t>南通市交通公共事业发展中心</w:t>
            </w:r>
            <w:r>
              <w:rPr>
                <w:rFonts w:hint="eastAsia"/>
                <w:lang w:val="en-US" w:eastAsia="zh-CN"/>
              </w:rPr>
              <w:t>2023年招标代理服务项目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1.1.</w:t>
            </w:r>
            <w:r>
              <w:rPr>
                <w:rFonts w:hint="eastAsia"/>
              </w:rPr>
              <w:t>4</w:t>
            </w:r>
          </w:p>
        </w:tc>
        <w:tc>
          <w:tcPr>
            <w:tcW w:w="2700" w:type="dxa"/>
            <w:vAlign w:val="center"/>
          </w:tcPr>
          <w:p>
            <w:r>
              <w:rPr>
                <w:rFonts w:hint="eastAsia"/>
              </w:rPr>
              <w:t>建设地点</w:t>
            </w:r>
          </w:p>
        </w:tc>
        <w:tc>
          <w:tcPr>
            <w:tcW w:w="5400" w:type="dxa"/>
          </w:tcPr>
          <w:p>
            <w:r>
              <w:rPr>
                <w:rFonts w:hint="eastAsia"/>
              </w:rPr>
              <w:t>南通市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1.2.1</w:t>
            </w:r>
          </w:p>
        </w:tc>
        <w:tc>
          <w:tcPr>
            <w:tcW w:w="2700" w:type="dxa"/>
            <w:vAlign w:val="center"/>
          </w:tcPr>
          <w:p>
            <w:r>
              <w:rPr>
                <w:rFonts w:hint="eastAsia"/>
              </w:rPr>
              <w:t>资金来源</w:t>
            </w:r>
          </w:p>
        </w:tc>
        <w:tc>
          <w:tcPr>
            <w:tcW w:w="5400" w:type="dxa"/>
          </w:tcPr>
          <w:p>
            <w:pPr>
              <w:rPr>
                <w:rFonts w:hint="default" w:ascii="宋体" w:eastAsia="宋体"/>
                <w:lang w:val="en-US" w:eastAsia="zh-CN"/>
              </w:rPr>
            </w:pPr>
            <w:r>
              <w:rPr>
                <w:rFonts w:hint="eastAsia" w:ascii="宋体"/>
                <w:lang w:val="en-US" w:eastAsia="zh-CN"/>
              </w:rPr>
              <w:t>自筹等多种形式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1.2.2</w:t>
            </w:r>
          </w:p>
        </w:tc>
        <w:tc>
          <w:tcPr>
            <w:tcW w:w="2700" w:type="dxa"/>
            <w:vAlign w:val="center"/>
          </w:tcPr>
          <w:p>
            <w:r>
              <w:rPr>
                <w:rFonts w:hint="eastAsia"/>
              </w:rPr>
              <w:t>出资比例</w:t>
            </w:r>
          </w:p>
        </w:tc>
        <w:tc>
          <w:tcPr>
            <w:tcW w:w="5400" w:type="dxa"/>
          </w:tcPr>
          <w:p>
            <w:pPr>
              <w:rPr>
                <w:rFonts w:hint="default" w:ascii="宋体" w:eastAsia="宋体"/>
                <w:lang w:val="en-US" w:eastAsia="zh-CN"/>
              </w:rPr>
            </w:pPr>
            <w:r>
              <w:rPr>
                <w:rFonts w:hint="eastAsia" w:asci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1.2.3</w:t>
            </w:r>
          </w:p>
        </w:tc>
        <w:tc>
          <w:tcPr>
            <w:tcW w:w="2700" w:type="dxa"/>
            <w:vAlign w:val="center"/>
          </w:tcPr>
          <w:p>
            <w:r>
              <w:rPr>
                <w:rFonts w:hint="eastAsia"/>
              </w:rPr>
              <w:t>资金落实情况</w:t>
            </w:r>
          </w:p>
        </w:tc>
        <w:tc>
          <w:tcPr>
            <w:tcW w:w="5400" w:type="dxa"/>
          </w:tcPr>
          <w:p>
            <w:pPr>
              <w:rPr>
                <w:rFonts w:hint="default" w:ascii="宋体" w:eastAsia="宋体"/>
                <w:lang w:val="en-US" w:eastAsia="zh-CN"/>
              </w:rPr>
            </w:pPr>
            <w:r>
              <w:rPr>
                <w:rFonts w:hint="eastAsia" w:ascii="宋体"/>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1.3.1</w:t>
            </w:r>
          </w:p>
        </w:tc>
        <w:tc>
          <w:tcPr>
            <w:tcW w:w="2700" w:type="dxa"/>
            <w:vAlign w:val="center"/>
          </w:tcPr>
          <w:p>
            <w:r>
              <w:rPr>
                <w:rFonts w:hint="eastAsia"/>
              </w:rPr>
              <w:t>招标范围</w:t>
            </w:r>
          </w:p>
        </w:tc>
        <w:tc>
          <w:tcPr>
            <w:tcW w:w="5400" w:type="dxa"/>
          </w:tcPr>
          <w:p>
            <w:r>
              <w:rPr>
                <w:rFonts w:hint="eastAsia"/>
                <w:bCs/>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1.3.2</w:t>
            </w:r>
          </w:p>
        </w:tc>
        <w:tc>
          <w:tcPr>
            <w:tcW w:w="2700" w:type="dxa"/>
            <w:vAlign w:val="center"/>
          </w:tcPr>
          <w:p>
            <w:r>
              <w:rPr>
                <w:rFonts w:hint="eastAsia"/>
              </w:rPr>
              <w:t>服务周期</w:t>
            </w:r>
          </w:p>
        </w:tc>
        <w:tc>
          <w:tcPr>
            <w:tcW w:w="5400" w:type="dxa"/>
          </w:tcPr>
          <w:p>
            <w:pPr>
              <w:spacing w:line="360" w:lineRule="exact"/>
            </w:pPr>
            <w:r>
              <w:rPr>
                <w:rFonts w:hint="eastAsia"/>
                <w:bCs/>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1.3.3</w:t>
            </w:r>
          </w:p>
        </w:tc>
        <w:tc>
          <w:tcPr>
            <w:tcW w:w="2700" w:type="dxa"/>
            <w:vAlign w:val="center"/>
          </w:tcPr>
          <w:p>
            <w:r>
              <w:rPr>
                <w:rFonts w:hint="eastAsia"/>
              </w:rPr>
              <w:t>质量要求</w:t>
            </w:r>
          </w:p>
        </w:tc>
        <w:tc>
          <w:tcPr>
            <w:tcW w:w="5400" w:type="dxa"/>
          </w:tcPr>
          <w:p>
            <w:r>
              <w:rPr>
                <w:rFonts w:hint="eastAsia"/>
              </w:rPr>
              <w:t>符合国家、省、市及相关行业要求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008" w:type="dxa"/>
            <w:vAlign w:val="center"/>
          </w:tcPr>
          <w:p>
            <w:r>
              <w:t>1.4.1</w:t>
            </w:r>
          </w:p>
        </w:tc>
        <w:tc>
          <w:tcPr>
            <w:tcW w:w="2700" w:type="dxa"/>
            <w:vAlign w:val="center"/>
          </w:tcPr>
          <w:p>
            <w:r>
              <w:rPr>
                <w:rFonts w:hint="eastAsia"/>
              </w:rPr>
              <w:t>投标人资质条件、能力和信誉</w:t>
            </w:r>
          </w:p>
        </w:tc>
        <w:tc>
          <w:tcPr>
            <w:tcW w:w="5400" w:type="dxa"/>
            <w:vAlign w:val="center"/>
          </w:tcPr>
          <w:p>
            <w:r>
              <w:rPr>
                <w:rFonts w:hint="eastAsia"/>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1.4.2</w:t>
            </w:r>
          </w:p>
        </w:tc>
        <w:tc>
          <w:tcPr>
            <w:tcW w:w="2700" w:type="dxa"/>
            <w:vAlign w:val="center"/>
          </w:tcPr>
          <w:p>
            <w:r>
              <w:rPr>
                <w:rFonts w:hint="eastAsia"/>
              </w:rPr>
              <w:t>是否接受联合体投标</w:t>
            </w:r>
          </w:p>
        </w:tc>
        <w:tc>
          <w:tcPr>
            <w:tcW w:w="5400" w:type="dxa"/>
          </w:tcPr>
          <w:p>
            <w:r>
              <w:t>√</w:t>
            </w: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1.9.1</w:t>
            </w:r>
          </w:p>
        </w:tc>
        <w:tc>
          <w:tcPr>
            <w:tcW w:w="2700" w:type="dxa"/>
            <w:vAlign w:val="center"/>
          </w:tcPr>
          <w:p>
            <w:r>
              <w:rPr>
                <w:rFonts w:hint="eastAsia"/>
              </w:rPr>
              <w:t>踏勘现场</w:t>
            </w:r>
          </w:p>
        </w:tc>
        <w:tc>
          <w:tcPr>
            <w:tcW w:w="5400" w:type="dxa"/>
          </w:tcPr>
          <w:p>
            <w:r>
              <w:t>√</w:t>
            </w: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1.10.1</w:t>
            </w:r>
          </w:p>
        </w:tc>
        <w:tc>
          <w:tcPr>
            <w:tcW w:w="2700" w:type="dxa"/>
            <w:vAlign w:val="center"/>
          </w:tcPr>
          <w:p>
            <w:r>
              <w:rPr>
                <w:rFonts w:hint="eastAsia"/>
              </w:rPr>
              <w:t>投标预备会</w:t>
            </w:r>
          </w:p>
        </w:tc>
        <w:tc>
          <w:tcPr>
            <w:tcW w:w="5400" w:type="dxa"/>
          </w:tcPr>
          <w:p>
            <w:r>
              <w:t>√</w:t>
            </w: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1.11</w:t>
            </w:r>
          </w:p>
        </w:tc>
        <w:tc>
          <w:tcPr>
            <w:tcW w:w="2700" w:type="dxa"/>
            <w:vAlign w:val="center"/>
          </w:tcPr>
          <w:p>
            <w:r>
              <w:rPr>
                <w:rFonts w:hint="eastAsia"/>
              </w:rPr>
              <w:t>分包</w:t>
            </w:r>
          </w:p>
        </w:tc>
        <w:tc>
          <w:tcPr>
            <w:tcW w:w="5400" w:type="dxa"/>
          </w:tcPr>
          <w:p>
            <w:r>
              <w:t>√</w:t>
            </w: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1.12</w:t>
            </w:r>
          </w:p>
        </w:tc>
        <w:tc>
          <w:tcPr>
            <w:tcW w:w="2700" w:type="dxa"/>
            <w:vAlign w:val="center"/>
          </w:tcPr>
          <w:p>
            <w:r>
              <w:rPr>
                <w:rFonts w:hint="eastAsia"/>
              </w:rPr>
              <w:t>偏离</w:t>
            </w:r>
          </w:p>
        </w:tc>
        <w:tc>
          <w:tcPr>
            <w:tcW w:w="5400" w:type="dxa"/>
          </w:tcPr>
          <w:p>
            <w:r>
              <w:t>√</w:t>
            </w: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2.1</w:t>
            </w:r>
          </w:p>
        </w:tc>
        <w:tc>
          <w:tcPr>
            <w:tcW w:w="2700" w:type="dxa"/>
            <w:vAlign w:val="center"/>
          </w:tcPr>
          <w:p>
            <w:r>
              <w:rPr>
                <w:rFonts w:hint="eastAsia"/>
              </w:rPr>
              <w:t>构成招标文件的其他材料</w:t>
            </w:r>
          </w:p>
        </w:tc>
        <w:tc>
          <w:tcPr>
            <w:tcW w:w="5400" w:type="dxa"/>
          </w:tcPr>
          <w:p>
            <w:r>
              <w:rPr>
                <w:rFonts w:hint="eastAsia" w:ascii="宋体" w:hAnsi="宋体"/>
                <w:kern w:val="0"/>
                <w:szCs w:val="21"/>
              </w:rPr>
              <w:t>招标澄清文件等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08" w:type="dxa"/>
            <w:vMerge w:val="restart"/>
            <w:vAlign w:val="center"/>
          </w:tcPr>
          <w:p>
            <w:r>
              <w:t>2.2.1</w:t>
            </w:r>
          </w:p>
        </w:tc>
        <w:tc>
          <w:tcPr>
            <w:tcW w:w="2700" w:type="dxa"/>
            <w:vAlign w:val="center"/>
          </w:tcPr>
          <w:p>
            <w:r>
              <w:rPr>
                <w:rFonts w:hint="eastAsia"/>
              </w:rPr>
              <w:t>投标人要求澄清招标文件的截止时间</w:t>
            </w:r>
          </w:p>
        </w:tc>
        <w:tc>
          <w:tcPr>
            <w:tcW w:w="5400" w:type="dxa"/>
          </w:tcPr>
          <w:p>
            <w:pPr>
              <w:rPr>
                <w:rFonts w:hint="default"/>
                <w:b/>
                <w:bCs/>
                <w:szCs w:val="21"/>
                <w:highlight w:val="none"/>
                <w:lang w:val="en-US" w:eastAsia="zh-CN"/>
              </w:rPr>
            </w:pPr>
            <w:r>
              <w:rPr>
                <w:rFonts w:hint="eastAsia"/>
                <w:b/>
                <w:bCs/>
                <w:szCs w:val="21"/>
                <w:highlight w:val="none"/>
              </w:rPr>
              <w:t>202</w:t>
            </w:r>
            <w:r>
              <w:rPr>
                <w:rFonts w:hint="eastAsia"/>
                <w:b/>
                <w:bCs/>
                <w:szCs w:val="21"/>
                <w:highlight w:val="none"/>
                <w:lang w:val="en-US" w:eastAsia="zh-CN"/>
              </w:rPr>
              <w:t>3</w:t>
            </w:r>
            <w:r>
              <w:rPr>
                <w:rFonts w:hint="eastAsia"/>
                <w:b/>
                <w:bCs/>
                <w:szCs w:val="21"/>
                <w:highlight w:val="none"/>
              </w:rPr>
              <w:t>年</w:t>
            </w:r>
            <w:r>
              <w:rPr>
                <w:rFonts w:hint="eastAsia"/>
                <w:b/>
                <w:bCs/>
                <w:szCs w:val="21"/>
                <w:highlight w:val="none"/>
                <w:lang w:val="en-US" w:eastAsia="zh-CN"/>
              </w:rPr>
              <w:t>01</w:t>
            </w:r>
            <w:r>
              <w:rPr>
                <w:rFonts w:hint="eastAsia"/>
                <w:b/>
                <w:bCs/>
                <w:szCs w:val="21"/>
                <w:highlight w:val="none"/>
              </w:rPr>
              <w:t>月</w:t>
            </w:r>
            <w:r>
              <w:rPr>
                <w:rFonts w:hint="eastAsia"/>
                <w:b/>
                <w:bCs/>
                <w:szCs w:val="21"/>
                <w:highlight w:val="none"/>
                <w:lang w:val="en-US" w:eastAsia="zh-CN"/>
              </w:rPr>
              <w:t>12</w:t>
            </w:r>
            <w:r>
              <w:rPr>
                <w:rFonts w:hint="eastAsia"/>
                <w:b/>
                <w:bCs/>
                <w:szCs w:val="21"/>
                <w:highlight w:val="none"/>
              </w:rPr>
              <w:t>日</w:t>
            </w:r>
            <w:r>
              <w:rPr>
                <w:rFonts w:hint="eastAsia"/>
                <w:b/>
                <w:bCs/>
                <w:szCs w:val="21"/>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08" w:type="dxa"/>
            <w:vMerge w:val="continue"/>
            <w:vAlign w:val="center"/>
          </w:tcPr>
          <w:p/>
        </w:tc>
        <w:tc>
          <w:tcPr>
            <w:tcW w:w="2700" w:type="dxa"/>
            <w:vAlign w:val="center"/>
          </w:tcPr>
          <w:p>
            <w:pPr>
              <w:rPr>
                <w:highlight w:val="none"/>
              </w:rPr>
            </w:pPr>
            <w:r>
              <w:rPr>
                <w:rFonts w:hint="eastAsia"/>
                <w:szCs w:val="21"/>
                <w:highlight w:val="none"/>
              </w:rPr>
              <w:t>招标人接受澄清的电子邮箱</w:t>
            </w:r>
          </w:p>
        </w:tc>
        <w:tc>
          <w:tcPr>
            <w:tcW w:w="5400" w:type="dxa"/>
            <w:vAlign w:val="center"/>
          </w:tcPr>
          <w:p>
            <w:pPr>
              <w:rPr>
                <w:rFonts w:hint="default" w:ascii="Times New Roman" w:hAnsi="Times New Roman" w:cs="Times New Roman"/>
                <w:sz w:val="32"/>
                <w:szCs w:val="32"/>
                <w:highlight w:val="yellow"/>
              </w:rPr>
            </w:pPr>
            <w:r>
              <w:rPr>
                <w:rFonts w:hint="default" w:ascii="宋体" w:hAnsi="宋体"/>
                <w:kern w:val="0"/>
                <w:szCs w:val="21"/>
              </w:rPr>
              <w:t>ntjtfzzx@163.com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r>
              <w:t>2.2.2</w:t>
            </w:r>
          </w:p>
        </w:tc>
        <w:tc>
          <w:tcPr>
            <w:tcW w:w="2700" w:type="dxa"/>
            <w:vAlign w:val="center"/>
          </w:tcPr>
          <w:p>
            <w:r>
              <w:rPr>
                <w:rFonts w:hint="eastAsia"/>
              </w:rPr>
              <w:t>投标截止时间</w:t>
            </w:r>
          </w:p>
        </w:tc>
        <w:tc>
          <w:tcPr>
            <w:tcW w:w="5400" w:type="dxa"/>
          </w:tcPr>
          <w:p>
            <w:pPr>
              <w:rPr>
                <w:b/>
              </w:rPr>
            </w:pPr>
            <w:r>
              <w:rPr>
                <w:b/>
                <w:bCs w:val="0"/>
                <w:highlight w:val="none"/>
              </w:rPr>
              <w:t>20</w:t>
            </w:r>
            <w:r>
              <w:rPr>
                <w:rFonts w:hint="eastAsia"/>
                <w:b/>
                <w:bCs w:val="0"/>
                <w:highlight w:val="none"/>
              </w:rPr>
              <w:t>2</w:t>
            </w:r>
            <w:r>
              <w:rPr>
                <w:rFonts w:hint="eastAsia"/>
                <w:b/>
                <w:bCs w:val="0"/>
                <w:highlight w:val="none"/>
                <w:lang w:val="en-US" w:eastAsia="zh-CN"/>
              </w:rPr>
              <w:t>3</w:t>
            </w:r>
            <w:r>
              <w:rPr>
                <w:rFonts w:hint="eastAsia"/>
                <w:b/>
                <w:bCs w:val="0"/>
                <w:highlight w:val="none"/>
              </w:rPr>
              <w:t>年</w:t>
            </w:r>
            <w:r>
              <w:rPr>
                <w:rFonts w:hint="eastAsia"/>
                <w:b/>
                <w:bCs w:val="0"/>
                <w:highlight w:val="none"/>
                <w:lang w:val="en-US" w:eastAsia="zh-CN"/>
              </w:rPr>
              <w:t>01</w:t>
            </w:r>
            <w:r>
              <w:rPr>
                <w:rFonts w:hint="eastAsia"/>
                <w:b/>
                <w:bCs w:val="0"/>
                <w:highlight w:val="none"/>
              </w:rPr>
              <w:t>月</w:t>
            </w:r>
            <w:r>
              <w:rPr>
                <w:rFonts w:hint="eastAsia"/>
                <w:b/>
                <w:bCs w:val="0"/>
                <w:highlight w:val="none"/>
                <w:lang w:val="en-US" w:eastAsia="zh-CN"/>
              </w:rPr>
              <w:t>16</w:t>
            </w:r>
            <w:r>
              <w:rPr>
                <w:rFonts w:hint="eastAsia"/>
                <w:b/>
                <w:bCs w:val="0"/>
                <w:highlight w:val="none"/>
              </w:rPr>
              <w:t>日14：0</w:t>
            </w:r>
            <w:r>
              <w:rPr>
                <w:b/>
                <w:bCs w:val="0"/>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08" w:type="dxa"/>
            <w:vAlign w:val="center"/>
          </w:tcPr>
          <w:p>
            <w:r>
              <w:t>3.1.1</w:t>
            </w:r>
          </w:p>
        </w:tc>
        <w:tc>
          <w:tcPr>
            <w:tcW w:w="2700" w:type="dxa"/>
            <w:vAlign w:val="center"/>
          </w:tcPr>
          <w:p>
            <w:r>
              <w:rPr>
                <w:rFonts w:hint="eastAsia"/>
              </w:rPr>
              <w:t>构成投标文件的其他材料</w:t>
            </w:r>
          </w:p>
        </w:tc>
        <w:tc>
          <w:tcPr>
            <w:tcW w:w="5400"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3.3.1</w:t>
            </w:r>
          </w:p>
        </w:tc>
        <w:tc>
          <w:tcPr>
            <w:tcW w:w="2700" w:type="dxa"/>
            <w:vAlign w:val="center"/>
          </w:tcPr>
          <w:p>
            <w:r>
              <w:rPr>
                <w:rFonts w:hint="eastAsia"/>
              </w:rPr>
              <w:t>投标有效期</w:t>
            </w:r>
          </w:p>
        </w:tc>
        <w:tc>
          <w:tcPr>
            <w:tcW w:w="5400" w:type="dxa"/>
          </w:tcPr>
          <w:p>
            <w:r>
              <w:rPr>
                <w:rFonts w:hint="eastAsia"/>
              </w:rPr>
              <w:t>递交投标文件截止之日起的</w:t>
            </w:r>
            <w:r>
              <w:t>90</w:t>
            </w:r>
            <w:r>
              <w:rPr>
                <w:rFonts w:hint="eastAsi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3.4.1</w:t>
            </w:r>
          </w:p>
        </w:tc>
        <w:tc>
          <w:tcPr>
            <w:tcW w:w="2700" w:type="dxa"/>
            <w:vAlign w:val="center"/>
          </w:tcPr>
          <w:p>
            <w:r>
              <w:rPr>
                <w:rFonts w:hint="eastAsia"/>
              </w:rPr>
              <w:t>投标保证金</w:t>
            </w:r>
          </w:p>
        </w:tc>
        <w:tc>
          <w:tcPr>
            <w:tcW w:w="5400" w:type="dxa"/>
          </w:tcPr>
          <w:p>
            <w:r>
              <w:rPr>
                <w:rFonts w:hint="eastAsia" w:ascii="宋体" w:hAnsi="Calibri"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3.6</w:t>
            </w:r>
          </w:p>
        </w:tc>
        <w:tc>
          <w:tcPr>
            <w:tcW w:w="2700" w:type="dxa"/>
            <w:vAlign w:val="center"/>
          </w:tcPr>
          <w:p>
            <w:r>
              <w:rPr>
                <w:rFonts w:hint="eastAsia"/>
              </w:rPr>
              <w:t>是否允许递交备选投标方案</w:t>
            </w:r>
          </w:p>
        </w:tc>
        <w:tc>
          <w:tcPr>
            <w:tcW w:w="5400" w:type="dxa"/>
            <w:vAlign w:val="center"/>
          </w:tcPr>
          <w:p>
            <w:r>
              <w:t>√</w:t>
            </w: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3.7.3</w:t>
            </w:r>
          </w:p>
        </w:tc>
        <w:tc>
          <w:tcPr>
            <w:tcW w:w="2700" w:type="dxa"/>
            <w:vAlign w:val="center"/>
          </w:tcPr>
          <w:p>
            <w:r>
              <w:rPr>
                <w:rFonts w:hint="eastAsia"/>
              </w:rPr>
              <w:t>签字或盖章要求</w:t>
            </w:r>
          </w:p>
        </w:tc>
        <w:tc>
          <w:tcPr>
            <w:tcW w:w="5400" w:type="dxa"/>
          </w:tcPr>
          <w:p>
            <w:r>
              <w:rPr>
                <w:rFonts w:hint="eastAsia"/>
              </w:rPr>
              <w:t>单位法人代表或授权委托人签字或盖章，盖单位公章。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vAlign w:val="center"/>
          </w:tcPr>
          <w:p>
            <w:r>
              <w:t>3.7.4</w:t>
            </w:r>
          </w:p>
        </w:tc>
        <w:tc>
          <w:tcPr>
            <w:tcW w:w="2700" w:type="dxa"/>
            <w:vAlign w:val="center"/>
          </w:tcPr>
          <w:p>
            <w:r>
              <w:rPr>
                <w:rFonts w:hint="eastAsia"/>
                <w:lang w:eastAsia="zh-CN"/>
              </w:rPr>
              <w:t>纸质</w:t>
            </w:r>
            <w:r>
              <w:rPr>
                <w:rFonts w:hint="eastAsia"/>
              </w:rPr>
              <w:t>投标文件份数</w:t>
            </w:r>
          </w:p>
        </w:tc>
        <w:tc>
          <w:tcPr>
            <w:tcW w:w="5400" w:type="dxa"/>
          </w:tcPr>
          <w:p>
            <w:r>
              <w:rPr>
                <w:rFonts w:hint="eastAsia"/>
              </w:rPr>
              <w:t>正本</w:t>
            </w:r>
            <w:r>
              <w:rPr>
                <w:u w:val="single"/>
              </w:rPr>
              <w:t>1</w:t>
            </w:r>
            <w:r>
              <w:rPr>
                <w:rFonts w:hint="eastAsia"/>
              </w:rPr>
              <w:t>份副本</w:t>
            </w:r>
            <w:r>
              <w:rPr>
                <w:u w:val="single"/>
              </w:rPr>
              <w:t>4</w:t>
            </w:r>
            <w:r>
              <w:rPr>
                <w:rFonts w:hint="eastAsia"/>
              </w:rPr>
              <w:t>份。副本可为正本复印件。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tc>
        <w:tc>
          <w:tcPr>
            <w:tcW w:w="2700" w:type="dxa"/>
            <w:vAlign w:val="center"/>
          </w:tcPr>
          <w:p>
            <w:r>
              <w:rPr>
                <w:rFonts w:hint="eastAsia"/>
              </w:rPr>
              <w:t>投标文件电子版文件的份数及要求</w:t>
            </w:r>
          </w:p>
        </w:tc>
        <w:tc>
          <w:tcPr>
            <w:tcW w:w="5400" w:type="dxa"/>
          </w:tcPr>
          <w:p>
            <w:pPr>
              <w:rPr>
                <w:rFonts w:hint="eastAsia"/>
              </w:rPr>
            </w:pPr>
            <w:r>
              <w:rPr>
                <w:rFonts w:hint="eastAsia"/>
              </w:rPr>
              <w:t>电子版文件1份；投标函为盖章扫描件，其余可为Word版本。</w:t>
            </w:r>
          </w:p>
          <w:p>
            <w:pPr>
              <w:rPr>
                <w:rFonts w:hint="eastAsia"/>
              </w:rPr>
            </w:pPr>
            <w:r>
              <w:rPr>
                <w:rFonts w:hint="eastAsia"/>
              </w:rPr>
              <w:t>电子版文件载体：U盘</w:t>
            </w:r>
          </w:p>
          <w:p>
            <w:pPr>
              <w:rPr>
                <w:rFonts w:hint="eastAsia"/>
              </w:rPr>
            </w:pPr>
            <w:r>
              <w:rPr>
                <w:rFonts w:hint="eastAsia"/>
              </w:rPr>
              <w:t>其它要求：投标文件电子版内容与纸质投标文件内容一致；</w:t>
            </w:r>
            <w:r>
              <w:rPr>
                <w:rFonts w:hint="eastAsia"/>
                <w:lang w:eastAsia="zh-CN"/>
              </w:rPr>
              <w:t>电子版文件载体、技术部分、</w:t>
            </w:r>
            <w:r>
              <w:rPr>
                <w:rFonts w:hint="eastAsia"/>
                <w:lang w:val="en-US" w:eastAsia="zh-CN"/>
              </w:rPr>
              <w:t>商务</w:t>
            </w:r>
            <w:r>
              <w:rPr>
                <w:rFonts w:hint="eastAsia"/>
                <w:lang w:eastAsia="zh-CN"/>
              </w:rPr>
              <w:t>部分各自</w:t>
            </w:r>
            <w:r>
              <w:rPr>
                <w:rFonts w:hint="eastAsia"/>
              </w:rPr>
              <w:t>单独放入密封袋中，加贴封条，并在封套封口处加盖投标人单位章，在封套上标记“投标文件电子版”字样。（如二者不一致，以纸质文件为准）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3.7.5</w:t>
            </w:r>
          </w:p>
        </w:tc>
        <w:tc>
          <w:tcPr>
            <w:tcW w:w="2700" w:type="dxa"/>
            <w:vAlign w:val="center"/>
          </w:tcPr>
          <w:p>
            <w:r>
              <w:rPr>
                <w:rFonts w:hint="eastAsia"/>
              </w:rPr>
              <w:t>装订要求</w:t>
            </w:r>
          </w:p>
        </w:tc>
        <w:tc>
          <w:tcPr>
            <w:tcW w:w="5400" w:type="dxa"/>
          </w:tcPr>
          <w:p>
            <w:pPr>
              <w:rPr>
                <w:rFonts w:hint="eastAsia"/>
                <w:lang w:eastAsia="zh-CN"/>
              </w:rPr>
            </w:pPr>
            <w:r>
              <w:rPr>
                <w:rFonts w:hint="eastAsia"/>
              </w:rPr>
              <w:t>按照投标人须知第 3.1.1 项规定的投标文件组成内容，投标文件应按以下要求装订：装订应牢固、不易拆散和换页，不得采用活页装订</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08" w:type="dxa"/>
            <w:vAlign w:val="center"/>
          </w:tcPr>
          <w:p>
            <w:r>
              <w:t>4.1.2</w:t>
            </w:r>
          </w:p>
        </w:tc>
        <w:tc>
          <w:tcPr>
            <w:tcW w:w="2700" w:type="dxa"/>
            <w:vAlign w:val="center"/>
          </w:tcPr>
          <w:p>
            <w:r>
              <w:rPr>
                <w:rFonts w:hint="eastAsia"/>
              </w:rPr>
              <w:t>封套上写明</w:t>
            </w:r>
          </w:p>
        </w:tc>
        <w:tc>
          <w:tcPr>
            <w:tcW w:w="5400" w:type="dxa"/>
            <w:vAlign w:val="center"/>
          </w:tcPr>
          <w:p>
            <w:pPr>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投标人</w:t>
            </w:r>
            <w:r>
              <w:rPr>
                <w:rFonts w:hint="eastAsia"/>
                <w:lang w:val="zh-CN"/>
              </w:rPr>
              <w:t>可将</w:t>
            </w:r>
            <w:r>
              <w:rPr>
                <w:rFonts w:hint="eastAsia"/>
                <w:lang w:val="en-US" w:eastAsia="zh-CN"/>
              </w:rPr>
              <w:t>纸质投标</w:t>
            </w:r>
            <w:r>
              <w:rPr>
                <w:rFonts w:hint="eastAsia"/>
                <w:lang w:val="zh-CN"/>
              </w:rPr>
              <w:t>文件正副本统一密封或分别密封，如正本和副本分别密封的，应在</w:t>
            </w:r>
            <w:r>
              <w:rPr>
                <w:rFonts w:hint="eastAsia"/>
                <w:lang w:val="en-US" w:eastAsia="zh-CN"/>
              </w:rPr>
              <w:t>封套上</w:t>
            </w:r>
            <w:r>
              <w:rPr>
                <w:rFonts w:hint="eastAsia"/>
              </w:rPr>
              <w:t>清楚地标记“正本”或“副本”字样</w:t>
            </w:r>
            <w:r>
              <w:rPr>
                <w:rFonts w:hint="eastAsia"/>
                <w:lang w:eastAsia="zh-CN"/>
              </w:rPr>
              <w:t>。</w:t>
            </w:r>
          </w:p>
          <w:p>
            <w:pPr>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纸质投标文件、</w:t>
            </w:r>
            <w:r>
              <w:rPr>
                <w:rFonts w:hint="eastAsia"/>
              </w:rPr>
              <w:t>电子版文件</w:t>
            </w:r>
            <w:r>
              <w:rPr>
                <w:rFonts w:hint="eastAsia"/>
                <w:lang w:eastAsia="zh-CN"/>
              </w:rPr>
              <w:t>（</w:t>
            </w:r>
            <w:r>
              <w:rPr>
                <w:rFonts w:hint="eastAsia"/>
                <w:lang w:val="en-US" w:eastAsia="zh-CN"/>
              </w:rPr>
              <w:t>U盘</w:t>
            </w:r>
            <w:r>
              <w:rPr>
                <w:rFonts w:hint="eastAsia"/>
                <w:lang w:eastAsia="zh-CN"/>
              </w:rPr>
              <w:t>）</w:t>
            </w:r>
            <w:r>
              <w:rPr>
                <w:rFonts w:hint="eastAsia"/>
                <w:lang w:val="en-US" w:eastAsia="zh-CN"/>
              </w:rPr>
              <w:t>须单独密封，</w:t>
            </w:r>
            <w:r>
              <w:rPr>
                <w:rFonts w:hint="eastAsia"/>
              </w:rPr>
              <w:t>加贴封条，并在封套封口处加盖投标人单位章。（如二者不一致，以纸质</w:t>
            </w:r>
            <w:r>
              <w:rPr>
                <w:rFonts w:hint="eastAsia"/>
                <w:lang w:val="en-US" w:eastAsia="zh-CN"/>
              </w:rPr>
              <w:t>投标</w:t>
            </w:r>
            <w:r>
              <w:rPr>
                <w:rFonts w:hint="eastAsia"/>
              </w:rPr>
              <w:t>文件为准）</w:t>
            </w:r>
            <w:r>
              <w:rPr>
                <w:rFonts w:hint="eastAsia"/>
                <w:lang w:val="en-US" w:eastAsia="zh-CN"/>
              </w:rPr>
              <w:t xml:space="preserve"> </w:t>
            </w:r>
          </w:p>
          <w:p>
            <w:pPr>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封套上应注明：</w:t>
            </w:r>
          </w:p>
          <w:p>
            <w:pPr>
              <w:rPr>
                <w:rFonts w:hint="eastAsia"/>
              </w:rPr>
            </w:pPr>
            <w:r>
              <w:rPr>
                <w:rFonts w:hint="eastAsia"/>
                <w:lang w:val="en-US" w:eastAsia="zh-CN"/>
              </w:rPr>
              <w:t>①项目名称、投标</w:t>
            </w:r>
            <w:r>
              <w:rPr>
                <w:rFonts w:hint="eastAsia"/>
                <w:lang w:val="zh-CN"/>
              </w:rPr>
              <w:t>文件各自对应的名称（</w:t>
            </w:r>
            <w:r>
              <w:rPr>
                <w:rFonts w:hint="eastAsia"/>
                <w:lang w:val="en-US" w:eastAsia="zh-CN"/>
              </w:rPr>
              <w:t>投标文件</w:t>
            </w:r>
            <w:r>
              <w:rPr>
                <w:rFonts w:hint="eastAsia"/>
                <w:lang w:val="zh-CN"/>
              </w:rPr>
              <w:t>/</w:t>
            </w:r>
            <w:r>
              <w:rPr>
                <w:rFonts w:hint="eastAsia"/>
                <w:lang w:val="en-US" w:eastAsia="zh-CN"/>
              </w:rPr>
              <w:t>电子版文件</w:t>
            </w:r>
            <w:r>
              <w:rPr>
                <w:rFonts w:hint="eastAsia"/>
                <w:lang w:val="zh-CN"/>
              </w:rPr>
              <w:t>）、</w:t>
            </w:r>
            <w:r>
              <w:rPr>
                <w:rFonts w:hint="eastAsia"/>
              </w:rPr>
              <w:t>招标人名称、投标人名称</w:t>
            </w:r>
          </w:p>
          <w:p>
            <w:pPr>
              <w:rPr>
                <w:u w:val="single"/>
              </w:rPr>
            </w:pPr>
            <w:r>
              <w:rPr>
                <w:rFonts w:hint="eastAsia"/>
                <w:lang w:val="en-US" w:eastAsia="zh-CN"/>
              </w:rPr>
              <w:t>②</w:t>
            </w:r>
            <w:r>
              <w:rPr>
                <w:rFonts w:hint="eastAsia"/>
              </w:rPr>
              <w:t>在 年 月 日 时 分</w:t>
            </w:r>
            <w:r>
              <w:rPr>
                <w:rFonts w:hint="eastAsia"/>
                <w:lang w:eastAsia="zh-CN"/>
              </w:rPr>
              <w:t>（</w:t>
            </w:r>
            <w:r>
              <w:rPr>
                <w:rFonts w:hint="eastAsia"/>
                <w:lang w:val="en-US" w:eastAsia="zh-CN"/>
              </w:rPr>
              <w:t>即投标文件递交截止时间</w:t>
            </w:r>
            <w:r>
              <w:rPr>
                <w:rFonts w:hint="eastAsia"/>
                <w:lang w:eastAsia="zh-CN"/>
              </w:rPr>
              <w:t>）</w:t>
            </w:r>
            <w:r>
              <w:rPr>
                <w:rFonts w:hint="eastAsia"/>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4.2.2</w:t>
            </w:r>
          </w:p>
        </w:tc>
        <w:tc>
          <w:tcPr>
            <w:tcW w:w="2700" w:type="dxa"/>
            <w:vAlign w:val="center"/>
          </w:tcPr>
          <w:p>
            <w:r>
              <w:rPr>
                <w:rFonts w:hint="eastAsia"/>
              </w:rPr>
              <w:t>递交投标文件地点</w:t>
            </w:r>
          </w:p>
        </w:tc>
        <w:tc>
          <w:tcPr>
            <w:tcW w:w="5400" w:type="dxa"/>
          </w:tcPr>
          <w:p>
            <w:pPr>
              <w:rPr>
                <w:rFonts w:hint="eastAsia" w:eastAsia="宋体"/>
                <w:lang w:eastAsia="zh-CN"/>
              </w:rPr>
            </w:pPr>
            <w:r>
              <w:rPr>
                <w:rFonts w:hint="eastAsia"/>
              </w:rPr>
              <w:t>详见招标公告</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4.2.3</w:t>
            </w:r>
          </w:p>
        </w:tc>
        <w:tc>
          <w:tcPr>
            <w:tcW w:w="2700" w:type="dxa"/>
            <w:vAlign w:val="center"/>
          </w:tcPr>
          <w:p>
            <w:r>
              <w:rPr>
                <w:rFonts w:hint="eastAsia"/>
              </w:rPr>
              <w:t>是否退还投标文件</w:t>
            </w:r>
          </w:p>
        </w:tc>
        <w:tc>
          <w:tcPr>
            <w:tcW w:w="5400" w:type="dxa"/>
          </w:tcPr>
          <w:p>
            <w: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4.2.6</w:t>
            </w:r>
          </w:p>
        </w:tc>
        <w:tc>
          <w:tcPr>
            <w:tcW w:w="2700" w:type="dxa"/>
            <w:vAlign w:val="center"/>
          </w:tcPr>
          <w:p>
            <w:r>
              <w:rPr>
                <w:rFonts w:hint="eastAsia"/>
              </w:rPr>
              <w:t>招标人通知延后投标截止时间的时间</w:t>
            </w:r>
          </w:p>
        </w:tc>
        <w:tc>
          <w:tcPr>
            <w:tcW w:w="5400" w:type="dxa"/>
            <w:vAlign w:val="center"/>
          </w:tcPr>
          <w:p>
            <w:pPr>
              <w:rPr>
                <w:rFonts w:hint="eastAsia" w:eastAsia="宋体"/>
                <w:lang w:eastAsia="zh-CN"/>
              </w:rPr>
            </w:pPr>
            <w:r>
              <w:rPr>
                <w:rFonts w:hint="eastAsia"/>
              </w:rPr>
              <w:t>原定投标截止时间</w:t>
            </w:r>
            <w:r>
              <w:rPr>
                <w:rFonts w:hint="eastAsia"/>
                <w:u w:val="single"/>
              </w:rPr>
              <w:t>1</w:t>
            </w:r>
            <w:r>
              <w:rPr>
                <w:rFonts w:hint="eastAsia"/>
              </w:rPr>
              <w:t>天前</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5.1</w:t>
            </w:r>
          </w:p>
        </w:tc>
        <w:tc>
          <w:tcPr>
            <w:tcW w:w="2700" w:type="dxa"/>
            <w:vAlign w:val="center"/>
          </w:tcPr>
          <w:p>
            <w:r>
              <w:rPr>
                <w:rFonts w:hint="eastAsia"/>
              </w:rPr>
              <w:t>开标时间和地点</w:t>
            </w:r>
          </w:p>
        </w:tc>
        <w:tc>
          <w:tcPr>
            <w:tcW w:w="5400" w:type="dxa"/>
          </w:tcPr>
          <w:p>
            <w:r>
              <w:rPr>
                <w:rFonts w:hint="eastAsia"/>
                <w:b w:val="0"/>
                <w:bCs w:val="0"/>
                <w:szCs w:val="21"/>
                <w:u w:val="single"/>
                <w:lang w:val="zh-CN"/>
              </w:rPr>
              <w:t>江苏省南通市崇川区通京大道8号南通市交通公共事业发展中心</w:t>
            </w:r>
            <w:r>
              <w:rPr>
                <w:rFonts w:hint="eastAsia"/>
                <w:b w:val="0"/>
                <w:bCs w:val="0"/>
                <w:szCs w:val="21"/>
                <w:u w:val="single"/>
                <w:lang w:val="en-US" w:eastAsia="zh-CN"/>
              </w:rPr>
              <w:t>208</w:t>
            </w:r>
            <w:r>
              <w:rPr>
                <w:rFonts w:hint="eastAsia"/>
                <w:b w:val="0"/>
                <w:bCs w:val="0"/>
                <w:szCs w:val="21"/>
                <w:u w:val="single"/>
                <w:lang w:val="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t>6.1.1</w:t>
            </w:r>
          </w:p>
        </w:tc>
        <w:tc>
          <w:tcPr>
            <w:tcW w:w="2700" w:type="dxa"/>
            <w:vAlign w:val="center"/>
          </w:tcPr>
          <w:p>
            <w:r>
              <w:rPr>
                <w:rFonts w:hint="eastAsia"/>
              </w:rPr>
              <w:t>评标委员会的组建</w:t>
            </w:r>
          </w:p>
        </w:tc>
        <w:tc>
          <w:tcPr>
            <w:tcW w:w="5400" w:type="dxa"/>
          </w:tcPr>
          <w:p>
            <w:r>
              <w:rPr>
                <w:rFonts w:hint="eastAsia"/>
              </w:rPr>
              <w:t>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rPr>
                <w:rFonts w:hint="default" w:eastAsia="宋体"/>
                <w:lang w:val="en-US" w:eastAsia="zh-CN"/>
              </w:rPr>
            </w:pPr>
            <w:r>
              <w:t>7.1</w:t>
            </w:r>
            <w:r>
              <w:rPr>
                <w:rFonts w:hint="eastAsia"/>
                <w:lang w:val="en-US" w:eastAsia="zh-CN"/>
              </w:rPr>
              <w:t>.1</w:t>
            </w:r>
          </w:p>
        </w:tc>
        <w:tc>
          <w:tcPr>
            <w:tcW w:w="2700" w:type="dxa"/>
            <w:vAlign w:val="center"/>
          </w:tcPr>
          <w:p>
            <w:pPr>
              <w:rPr>
                <w:rFonts w:hint="eastAsia"/>
                <w:b w:val="0"/>
                <w:bCs w:val="0"/>
              </w:rPr>
            </w:pPr>
            <w:r>
              <w:rPr>
                <w:rFonts w:hint="eastAsia"/>
                <w:b w:val="0"/>
                <w:bCs w:val="0"/>
              </w:rPr>
              <w:t>是否授权评标委员会确定中标人</w:t>
            </w:r>
          </w:p>
        </w:tc>
        <w:tc>
          <w:tcPr>
            <w:tcW w:w="5400" w:type="dxa"/>
            <w:vAlign w:val="center"/>
          </w:tcPr>
          <w:p>
            <w:pPr>
              <w:rPr>
                <w:rFonts w:hint="default"/>
                <w:b w:val="0"/>
                <w:bCs w:val="0"/>
                <w:lang w:val="en-US" w:eastAsia="zh-CN"/>
              </w:rPr>
            </w:pPr>
            <w:r>
              <w:rPr>
                <w:rFonts w:hint="eastAsia"/>
                <w:b w:val="0"/>
                <w:bCs w:val="0"/>
              </w:rPr>
              <w:t>√</w:t>
            </w:r>
            <w:r>
              <w:rPr>
                <w:rFonts w:hint="eastAsia"/>
                <w:b w:val="0"/>
                <w:bCs w:val="0"/>
                <w:szCs w:val="21"/>
                <w:lang w:val="en-US" w:eastAsia="zh-CN"/>
              </w:rPr>
              <w:t>否，推荐中标候选人人数2~3。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rPr>
                <w:rFonts w:hint="default" w:eastAsia="宋体"/>
                <w:lang w:val="en-US" w:eastAsia="zh-CN"/>
              </w:rPr>
            </w:pPr>
            <w:r>
              <w:rPr>
                <w:rFonts w:hint="eastAsia"/>
                <w:lang w:val="en-US" w:eastAsia="zh-CN"/>
              </w:rPr>
              <w:t>7.1.2</w:t>
            </w:r>
          </w:p>
        </w:tc>
        <w:tc>
          <w:tcPr>
            <w:tcW w:w="2700" w:type="dxa"/>
            <w:vAlign w:val="center"/>
          </w:tcPr>
          <w:p>
            <w:pPr>
              <w:rPr>
                <w:rFonts w:hint="default" w:eastAsia="宋体"/>
                <w:b w:val="0"/>
                <w:bCs w:val="0"/>
                <w:lang w:val="en-US" w:eastAsia="zh-CN"/>
              </w:rPr>
            </w:pPr>
            <w:r>
              <w:rPr>
                <w:rFonts w:hint="eastAsia"/>
                <w:b w:val="0"/>
                <w:bCs w:val="0"/>
                <w:lang w:val="en-US" w:eastAsia="zh-CN"/>
              </w:rPr>
              <w:t>中标人确定方式</w:t>
            </w:r>
          </w:p>
        </w:tc>
        <w:tc>
          <w:tcPr>
            <w:tcW w:w="5400" w:type="dxa"/>
            <w:vAlign w:val="center"/>
          </w:tcPr>
          <w:p>
            <w:pPr>
              <w:rPr>
                <w:rFonts w:hint="eastAsia"/>
                <w:b w:val="0"/>
                <w:bCs w:val="0"/>
              </w:rPr>
            </w:pPr>
            <w:r>
              <w:rPr>
                <w:rFonts w:hint="eastAsia"/>
                <w:b w:val="0"/>
                <w:bCs w:val="0"/>
                <w:szCs w:val="21"/>
                <w:lang w:val="zh-CN"/>
              </w:rPr>
              <w:t>招标人根据评标委员会提出的书面报告和推荐的有排序的中标候选人情况，确定排名第一</w:t>
            </w:r>
            <w:r>
              <w:rPr>
                <w:rFonts w:hint="eastAsia"/>
                <w:b w:val="0"/>
                <w:bCs w:val="0"/>
                <w:szCs w:val="21"/>
                <w:lang w:val="en-US" w:eastAsia="zh-CN"/>
              </w:rPr>
              <w:t>及第二</w:t>
            </w:r>
            <w:r>
              <w:rPr>
                <w:rFonts w:hint="eastAsia"/>
                <w:b w:val="0"/>
                <w:bCs w:val="0"/>
                <w:szCs w:val="21"/>
                <w:lang w:val="zh-CN"/>
              </w:rPr>
              <w:t>的中标候选人为中标人。如果排名</w:t>
            </w:r>
            <w:r>
              <w:rPr>
                <w:rFonts w:hint="eastAsia"/>
                <w:b w:val="0"/>
                <w:bCs w:val="0"/>
                <w:szCs w:val="21"/>
                <w:lang w:val="en-US" w:eastAsia="zh-CN"/>
              </w:rPr>
              <w:t>前2</w:t>
            </w:r>
            <w:r>
              <w:rPr>
                <w:rFonts w:hint="eastAsia"/>
                <w:b w:val="0"/>
                <w:bCs w:val="0"/>
                <w:szCs w:val="21"/>
                <w:lang w:val="zh-CN"/>
              </w:rPr>
              <w:t>的中标候选人放弃中标、因不可抗力提出不能履行合同或者招标文件规定应当提交履约担保而在规定期限未能提交的，招标人将依法确定排名第</w:t>
            </w:r>
            <w:r>
              <w:rPr>
                <w:rFonts w:hint="eastAsia"/>
                <w:b w:val="0"/>
                <w:bCs w:val="0"/>
                <w:szCs w:val="21"/>
                <w:lang w:val="en-US" w:eastAsia="zh-CN"/>
              </w:rPr>
              <w:t>三</w:t>
            </w:r>
            <w:r>
              <w:rPr>
                <w:rFonts w:hint="eastAsia"/>
                <w:b w:val="0"/>
                <w:bCs w:val="0"/>
                <w:szCs w:val="21"/>
                <w:lang w:val="zh-CN"/>
              </w:rPr>
              <w:t>的中标候选人为中标人，依此类推，当所有中标候选人因上述原因不能签订合同的，招标人将依法重新招标。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r>
              <w:rPr>
                <w:rFonts w:hint="eastAsia"/>
              </w:rPr>
              <w:t>9</w:t>
            </w:r>
          </w:p>
        </w:tc>
        <w:tc>
          <w:tcPr>
            <w:tcW w:w="2700" w:type="dxa"/>
            <w:vAlign w:val="center"/>
          </w:tcPr>
          <w:p>
            <w:r>
              <w:rPr>
                <w:rFonts w:hint="eastAsia"/>
              </w:rPr>
              <w:t>补充内容</w:t>
            </w:r>
          </w:p>
        </w:tc>
        <w:tc>
          <w:tcPr>
            <w:tcW w:w="5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rPr>
                <w:rFonts w:hint="eastAsia" w:eastAsia="宋体"/>
                <w:lang w:eastAsia="zh-CN"/>
              </w:rPr>
            </w:pPr>
            <w:r>
              <w:rPr>
                <w:rFonts w:hint="eastAsia"/>
              </w:rPr>
              <w:t>9.</w:t>
            </w:r>
            <w:r>
              <w:rPr>
                <w:rFonts w:hint="eastAsia"/>
                <w:lang w:val="en-US" w:eastAsia="zh-CN"/>
              </w:rPr>
              <w:t>1</w:t>
            </w:r>
          </w:p>
        </w:tc>
        <w:tc>
          <w:tcPr>
            <w:tcW w:w="2700" w:type="dxa"/>
            <w:vAlign w:val="center"/>
          </w:tcPr>
          <w:p>
            <w:r>
              <w:rPr>
                <w:rFonts w:hint="eastAsia"/>
                <w:lang w:val="en-US" w:eastAsia="zh-CN"/>
              </w:rPr>
              <w:t>投标报价</w:t>
            </w:r>
          </w:p>
        </w:tc>
        <w:tc>
          <w:tcPr>
            <w:tcW w:w="5400" w:type="dxa"/>
          </w:tcPr>
          <w:p>
            <w:pPr>
              <w:rPr>
                <w:rFonts w:hint="eastAsia"/>
              </w:rPr>
            </w:pPr>
            <w:r>
              <w:rPr>
                <w:rFonts w:hint="eastAsia"/>
              </w:rPr>
              <w:t>为防止恶性竞争，本项目采用固定标价法，即投标人不对投标报价（招标代理费用）进行竞争，招标人公示的价格即为中标价。</w:t>
            </w:r>
          </w:p>
          <w:p>
            <w:pPr>
              <w:rPr>
                <w:rFonts w:hint="eastAsia" w:eastAsia="宋体"/>
                <w:lang w:eastAsia="zh-CN"/>
              </w:rPr>
            </w:pPr>
            <w:r>
              <w:rPr>
                <w:rFonts w:hint="eastAsia"/>
              </w:rPr>
              <w:t>招标代理服务费的收费标准按国家发展改革委《招标代理服务收费管理暂行办法》、《关于招标代理服务费有关问题的通知》以及《国家发改委关于降低部分建设项目收费标准规范收费行为等有关问题的通知》规定标准费用的</w:t>
            </w:r>
            <w:r>
              <w:rPr>
                <w:rFonts w:hint="eastAsia"/>
                <w:lang w:val="en-US" w:eastAsia="zh-CN"/>
              </w:rPr>
              <w:t>8</w:t>
            </w:r>
            <w:r>
              <w:rPr>
                <w:rFonts w:hint="eastAsia"/>
              </w:rPr>
              <w:t>0%进行计算</w:t>
            </w:r>
            <w:r>
              <w:rPr>
                <w:rFonts w:hint="eastAsia"/>
                <w:lang w:eastAsia="zh-CN"/>
              </w:rPr>
              <w:t>，</w:t>
            </w:r>
            <w:r>
              <w:rPr>
                <w:rFonts w:hint="eastAsia"/>
                <w:lang w:val="en-US" w:eastAsia="zh-CN"/>
              </w:rPr>
              <w:t>即</w:t>
            </w:r>
            <w:r>
              <w:rPr>
                <w:rFonts w:hint="eastAsia"/>
              </w:rPr>
              <w:t>K值为0.</w:t>
            </w:r>
            <w:r>
              <w:rPr>
                <w:rFonts w:hint="eastAsia"/>
                <w:lang w:val="en-US" w:eastAsia="zh-CN"/>
              </w:rPr>
              <w:t>8</w:t>
            </w:r>
          </w:p>
        </w:tc>
      </w:tr>
    </w:tbl>
    <w:p>
      <w:pPr>
        <w:spacing w:line="400" w:lineRule="exact"/>
        <w:ind w:right="482"/>
        <w:rPr>
          <w:sz w:val="24"/>
        </w:rPr>
        <w:sectPr>
          <w:footnotePr>
            <w:numFmt w:val="decimalEnclosedCircleChinese"/>
          </w:footnotePr>
          <w:pgSz w:w="11906" w:h="16838"/>
          <w:pgMar w:top="1440" w:right="1800" w:bottom="1440" w:left="1800" w:header="851" w:footer="992" w:gutter="0"/>
          <w:cols w:space="720" w:num="1"/>
          <w:docGrid w:type="lines" w:linePitch="312" w:charSpace="0"/>
        </w:sectPr>
      </w:pPr>
    </w:p>
    <w:p>
      <w:pPr>
        <w:pStyle w:val="143"/>
        <w:outlineLvl w:val="1"/>
      </w:pPr>
      <w:bookmarkStart w:id="11" w:name="_Toc28456"/>
      <w:r>
        <w:t xml:space="preserve">1.  </w:t>
      </w:r>
      <w:r>
        <w:rPr>
          <w:rFonts w:hint="eastAsia"/>
        </w:rPr>
        <w:t>总则</w:t>
      </w:r>
      <w:bookmarkEnd w:id="11"/>
    </w:p>
    <w:p>
      <w:pPr>
        <w:spacing w:line="400" w:lineRule="exact"/>
        <w:outlineLvl w:val="2"/>
        <w:rPr>
          <w:sz w:val="24"/>
        </w:rPr>
      </w:pPr>
      <w:bookmarkStart w:id="12" w:name="_Toc564"/>
      <w:r>
        <w:rPr>
          <w:sz w:val="24"/>
        </w:rPr>
        <w:t xml:space="preserve">1.1 </w:t>
      </w:r>
      <w:r>
        <w:rPr>
          <w:rFonts w:hint="eastAsia"/>
          <w:sz w:val="24"/>
        </w:rPr>
        <w:t>项目概况</w:t>
      </w:r>
      <w:bookmarkEnd w:id="12"/>
    </w:p>
    <w:p>
      <w:pPr>
        <w:spacing w:line="400" w:lineRule="exact"/>
        <w:ind w:firstLine="420"/>
        <w:rPr>
          <w:szCs w:val="21"/>
        </w:rPr>
      </w:pPr>
      <w:r>
        <w:rPr>
          <w:szCs w:val="21"/>
        </w:rPr>
        <w:t xml:space="preserve">1.1.1  </w:t>
      </w:r>
      <w:r>
        <w:rPr>
          <w:rFonts w:hint="eastAsia"/>
          <w:szCs w:val="21"/>
        </w:rPr>
        <w:t>根据《中华人民共和国招标投标法》等有关法律、法规和规章的规定，本招标项目已具备招标条件，现对本项目进行招标。</w:t>
      </w:r>
    </w:p>
    <w:p>
      <w:pPr>
        <w:spacing w:line="400" w:lineRule="exact"/>
        <w:ind w:firstLine="420"/>
        <w:rPr>
          <w:szCs w:val="21"/>
        </w:rPr>
      </w:pPr>
      <w:r>
        <w:rPr>
          <w:szCs w:val="21"/>
        </w:rPr>
        <w:t xml:space="preserve">1.1.2  </w:t>
      </w:r>
      <w:r>
        <w:rPr>
          <w:rFonts w:hint="eastAsia"/>
          <w:szCs w:val="21"/>
        </w:rPr>
        <w:t>本招标项目招标人：见投标人须知前附表。</w:t>
      </w:r>
    </w:p>
    <w:p>
      <w:pPr>
        <w:spacing w:line="400" w:lineRule="exact"/>
        <w:ind w:firstLine="420"/>
        <w:rPr>
          <w:szCs w:val="21"/>
        </w:rPr>
      </w:pPr>
      <w:r>
        <w:rPr>
          <w:szCs w:val="21"/>
        </w:rPr>
        <w:t xml:space="preserve">1.1.3  </w:t>
      </w:r>
      <w:r>
        <w:rPr>
          <w:rFonts w:hint="eastAsia"/>
          <w:szCs w:val="21"/>
        </w:rPr>
        <w:t>本招标项目名称：见投标人须知前附表。</w:t>
      </w:r>
    </w:p>
    <w:p>
      <w:pPr>
        <w:spacing w:line="400" w:lineRule="exact"/>
        <w:ind w:firstLine="420"/>
        <w:rPr>
          <w:szCs w:val="21"/>
        </w:rPr>
      </w:pPr>
      <w:r>
        <w:rPr>
          <w:szCs w:val="21"/>
        </w:rPr>
        <w:t xml:space="preserve">1.1.4  </w:t>
      </w:r>
      <w:r>
        <w:rPr>
          <w:rFonts w:hint="eastAsia"/>
          <w:szCs w:val="21"/>
        </w:rPr>
        <w:t>本标段建设地点：见投标人须知前附表。</w:t>
      </w:r>
    </w:p>
    <w:p>
      <w:pPr>
        <w:pStyle w:val="71"/>
        <w:outlineLvl w:val="2"/>
      </w:pPr>
      <w:bookmarkStart w:id="13" w:name="_Toc1383"/>
      <w:r>
        <w:t xml:space="preserve">1.2 </w:t>
      </w:r>
      <w:r>
        <w:rPr>
          <w:rFonts w:hint="eastAsia"/>
        </w:rPr>
        <w:t>资金来源和落实情况</w:t>
      </w:r>
      <w:bookmarkEnd w:id="13"/>
    </w:p>
    <w:p>
      <w:pPr>
        <w:spacing w:line="400" w:lineRule="exact"/>
        <w:ind w:firstLine="420"/>
        <w:rPr>
          <w:szCs w:val="21"/>
        </w:rPr>
      </w:pPr>
      <w:r>
        <w:rPr>
          <w:szCs w:val="21"/>
        </w:rPr>
        <w:t xml:space="preserve">1.2.1  </w:t>
      </w:r>
      <w:r>
        <w:rPr>
          <w:rFonts w:hint="eastAsia"/>
          <w:szCs w:val="21"/>
        </w:rPr>
        <w:t>本招标项目的资金来源：见投标人须知前附表。</w:t>
      </w:r>
    </w:p>
    <w:p>
      <w:pPr>
        <w:spacing w:line="400" w:lineRule="exact"/>
        <w:ind w:firstLine="420"/>
        <w:rPr>
          <w:szCs w:val="21"/>
        </w:rPr>
      </w:pPr>
      <w:r>
        <w:rPr>
          <w:szCs w:val="21"/>
        </w:rPr>
        <w:t xml:space="preserve">1.2.2  </w:t>
      </w:r>
      <w:r>
        <w:rPr>
          <w:rFonts w:hint="eastAsia"/>
          <w:szCs w:val="21"/>
        </w:rPr>
        <w:t>本招标项目的出资比例：见投标人须知前附表。</w:t>
      </w:r>
    </w:p>
    <w:p>
      <w:pPr>
        <w:spacing w:line="400" w:lineRule="exact"/>
        <w:ind w:firstLine="420"/>
        <w:rPr>
          <w:szCs w:val="21"/>
        </w:rPr>
      </w:pPr>
      <w:r>
        <w:rPr>
          <w:szCs w:val="21"/>
        </w:rPr>
        <w:t xml:space="preserve">1.2.3  </w:t>
      </w:r>
      <w:r>
        <w:rPr>
          <w:rFonts w:hint="eastAsia"/>
          <w:szCs w:val="21"/>
        </w:rPr>
        <w:t>本招标项目的资金落实情况：见投标人须知前附表。</w:t>
      </w:r>
    </w:p>
    <w:p>
      <w:pPr>
        <w:pStyle w:val="71"/>
        <w:outlineLvl w:val="2"/>
      </w:pPr>
      <w:bookmarkStart w:id="14" w:name="_Toc16629"/>
      <w:r>
        <w:t xml:space="preserve">1.3 </w:t>
      </w:r>
      <w:r>
        <w:rPr>
          <w:rFonts w:hint="eastAsia"/>
        </w:rPr>
        <w:t>招标范围、服务周期和质量要求</w:t>
      </w:r>
      <w:bookmarkEnd w:id="14"/>
    </w:p>
    <w:p>
      <w:pPr>
        <w:spacing w:line="400" w:lineRule="exact"/>
        <w:ind w:firstLine="420"/>
        <w:rPr>
          <w:szCs w:val="21"/>
        </w:rPr>
      </w:pPr>
      <w:r>
        <w:rPr>
          <w:szCs w:val="21"/>
        </w:rPr>
        <w:t xml:space="preserve">1.3.1  </w:t>
      </w:r>
      <w:r>
        <w:rPr>
          <w:rFonts w:hint="eastAsia"/>
          <w:szCs w:val="21"/>
        </w:rPr>
        <w:t>本次招标范围：见投标人须知前附表。</w:t>
      </w:r>
    </w:p>
    <w:p>
      <w:pPr>
        <w:spacing w:line="400" w:lineRule="exact"/>
        <w:ind w:firstLine="420"/>
        <w:rPr>
          <w:szCs w:val="21"/>
        </w:rPr>
      </w:pPr>
      <w:r>
        <w:rPr>
          <w:szCs w:val="21"/>
        </w:rPr>
        <w:t xml:space="preserve">1.3.2  </w:t>
      </w:r>
      <w:r>
        <w:rPr>
          <w:rFonts w:hint="eastAsia"/>
          <w:szCs w:val="21"/>
        </w:rPr>
        <w:t>本标段的</w:t>
      </w:r>
      <w:r>
        <w:rPr>
          <w:rFonts w:hint="eastAsia"/>
        </w:rPr>
        <w:t>服务周期</w:t>
      </w:r>
      <w:r>
        <w:rPr>
          <w:rFonts w:hint="eastAsia"/>
          <w:szCs w:val="21"/>
        </w:rPr>
        <w:t>：见投标人须知前附表。</w:t>
      </w:r>
    </w:p>
    <w:p>
      <w:pPr>
        <w:spacing w:line="400" w:lineRule="exact"/>
        <w:ind w:firstLine="420"/>
        <w:rPr>
          <w:szCs w:val="21"/>
        </w:rPr>
      </w:pPr>
      <w:r>
        <w:rPr>
          <w:szCs w:val="21"/>
        </w:rPr>
        <w:t xml:space="preserve">1.3.3  </w:t>
      </w:r>
      <w:r>
        <w:rPr>
          <w:rFonts w:hint="eastAsia"/>
          <w:szCs w:val="21"/>
        </w:rPr>
        <w:t>本标段的质量要求：见投标人须知前附表。</w:t>
      </w:r>
    </w:p>
    <w:p>
      <w:pPr>
        <w:pStyle w:val="71"/>
        <w:outlineLvl w:val="2"/>
      </w:pPr>
      <w:bookmarkStart w:id="15" w:name="_Toc4170"/>
      <w:r>
        <w:t xml:space="preserve">1.4 </w:t>
      </w:r>
      <w:r>
        <w:rPr>
          <w:rFonts w:hint="eastAsia"/>
        </w:rPr>
        <w:t>投标人资格要求</w:t>
      </w:r>
      <w:bookmarkEnd w:id="15"/>
    </w:p>
    <w:p>
      <w:pPr>
        <w:spacing w:line="400" w:lineRule="exact"/>
        <w:ind w:firstLine="420"/>
        <w:rPr>
          <w:szCs w:val="21"/>
        </w:rPr>
      </w:pPr>
      <w:r>
        <w:rPr>
          <w:szCs w:val="21"/>
        </w:rPr>
        <w:t xml:space="preserve">1.4.1  </w:t>
      </w:r>
      <w:r>
        <w:rPr>
          <w:rFonts w:hint="eastAsia"/>
          <w:szCs w:val="21"/>
        </w:rPr>
        <w:t>投标人应具备承担本标段的资质条件、能力和信誉。</w:t>
      </w:r>
    </w:p>
    <w:p>
      <w:pPr>
        <w:spacing w:line="400" w:lineRule="exact"/>
        <w:ind w:firstLine="420"/>
        <w:rPr>
          <w:rFonts w:hint="eastAsia" w:eastAsia="宋体"/>
          <w:szCs w:val="21"/>
          <w:lang w:eastAsia="zh-CN"/>
        </w:rPr>
      </w:pPr>
      <w:r>
        <w:rPr>
          <w:rFonts w:hint="eastAsia"/>
          <w:szCs w:val="21"/>
        </w:rPr>
        <w:t>（</w:t>
      </w:r>
      <w:r>
        <w:rPr>
          <w:szCs w:val="21"/>
        </w:rPr>
        <w:t>1</w:t>
      </w:r>
      <w:r>
        <w:rPr>
          <w:rFonts w:hint="eastAsia"/>
          <w:szCs w:val="21"/>
        </w:rPr>
        <w:t>）资质条件：见投标人须知前附表</w:t>
      </w:r>
      <w:r>
        <w:rPr>
          <w:rFonts w:hint="eastAsia"/>
          <w:szCs w:val="21"/>
          <w:lang w:eastAsia="zh-CN"/>
        </w:rPr>
        <w:t>。</w:t>
      </w:r>
    </w:p>
    <w:p>
      <w:pPr>
        <w:spacing w:line="400" w:lineRule="exact"/>
        <w:ind w:firstLine="420"/>
        <w:rPr>
          <w:rFonts w:hint="eastAsia" w:eastAsia="宋体"/>
          <w:szCs w:val="21"/>
          <w:lang w:eastAsia="zh-CN"/>
        </w:rPr>
      </w:pPr>
      <w:r>
        <w:rPr>
          <w:rFonts w:hint="eastAsia"/>
          <w:szCs w:val="21"/>
        </w:rPr>
        <w:t>（</w:t>
      </w:r>
      <w:r>
        <w:rPr>
          <w:szCs w:val="21"/>
        </w:rPr>
        <w:t>2</w:t>
      </w:r>
      <w:r>
        <w:rPr>
          <w:rFonts w:hint="eastAsia"/>
          <w:szCs w:val="21"/>
        </w:rPr>
        <w:t>）业绩要求：见投标人须知前附表</w:t>
      </w:r>
      <w:r>
        <w:rPr>
          <w:rFonts w:hint="eastAsia"/>
          <w:szCs w:val="21"/>
          <w:lang w:eastAsia="zh-CN"/>
        </w:rPr>
        <w:t>。</w:t>
      </w:r>
    </w:p>
    <w:p>
      <w:pPr>
        <w:spacing w:line="400" w:lineRule="exact"/>
        <w:ind w:firstLine="420"/>
        <w:rPr>
          <w:rFonts w:hint="eastAsia" w:eastAsia="宋体"/>
          <w:szCs w:val="21"/>
          <w:lang w:eastAsia="zh-CN"/>
        </w:rPr>
      </w:pPr>
      <w:r>
        <w:rPr>
          <w:rFonts w:hint="eastAsia"/>
          <w:szCs w:val="21"/>
        </w:rPr>
        <w:t>（</w:t>
      </w:r>
      <w:r>
        <w:rPr>
          <w:szCs w:val="21"/>
        </w:rPr>
        <w:t>3</w:t>
      </w:r>
      <w:r>
        <w:rPr>
          <w:rFonts w:hint="eastAsia"/>
          <w:szCs w:val="21"/>
        </w:rPr>
        <w:t>）信誉要求：见投标人须知前附表</w:t>
      </w:r>
      <w:r>
        <w:rPr>
          <w:rFonts w:hint="eastAsia"/>
          <w:szCs w:val="21"/>
          <w:lang w:eastAsia="zh-CN"/>
        </w:rPr>
        <w:t>。</w:t>
      </w:r>
    </w:p>
    <w:p>
      <w:pPr>
        <w:spacing w:line="400" w:lineRule="exact"/>
        <w:ind w:firstLine="420"/>
        <w:rPr>
          <w:rFonts w:hint="eastAsia" w:eastAsia="宋体"/>
          <w:szCs w:val="21"/>
          <w:lang w:eastAsia="zh-CN"/>
        </w:rPr>
      </w:pPr>
      <w:r>
        <w:rPr>
          <w:rFonts w:hint="eastAsia"/>
          <w:szCs w:val="21"/>
        </w:rPr>
        <w:t>（</w:t>
      </w:r>
      <w:r>
        <w:rPr>
          <w:szCs w:val="21"/>
        </w:rPr>
        <w:t>4</w:t>
      </w:r>
      <w:r>
        <w:rPr>
          <w:rFonts w:hint="eastAsia"/>
          <w:szCs w:val="21"/>
        </w:rPr>
        <w:t>）项目负责人资格：见投标人须知前附表</w:t>
      </w:r>
      <w:r>
        <w:rPr>
          <w:rFonts w:hint="eastAsia"/>
          <w:szCs w:val="21"/>
          <w:lang w:eastAsia="zh-CN"/>
        </w:rPr>
        <w:t>。</w:t>
      </w:r>
    </w:p>
    <w:p>
      <w:pPr>
        <w:spacing w:line="400" w:lineRule="exact"/>
        <w:ind w:firstLine="420"/>
        <w:rPr>
          <w:szCs w:val="21"/>
        </w:rPr>
      </w:pPr>
      <w:r>
        <w:rPr>
          <w:rFonts w:hint="eastAsia"/>
          <w:szCs w:val="21"/>
        </w:rPr>
        <w:t>（</w:t>
      </w:r>
      <w:r>
        <w:rPr>
          <w:rFonts w:hint="eastAsia"/>
          <w:szCs w:val="21"/>
          <w:lang w:val="en-US" w:eastAsia="zh-CN"/>
        </w:rPr>
        <w:t>5</w:t>
      </w:r>
      <w:r>
        <w:rPr>
          <w:rFonts w:hint="eastAsia"/>
          <w:szCs w:val="21"/>
        </w:rPr>
        <w:t>）其他要求：见投标人须知前附表。</w:t>
      </w:r>
    </w:p>
    <w:p>
      <w:pPr>
        <w:spacing w:line="400" w:lineRule="exact"/>
        <w:ind w:firstLine="420"/>
        <w:rPr>
          <w:szCs w:val="21"/>
        </w:rPr>
      </w:pPr>
      <w:r>
        <w:rPr>
          <w:szCs w:val="21"/>
        </w:rPr>
        <w:t xml:space="preserve">1.4.2  </w:t>
      </w:r>
      <w:r>
        <w:rPr>
          <w:rFonts w:hint="eastAsia"/>
          <w:szCs w:val="21"/>
        </w:rPr>
        <w:t>投标人不得存在下列情形之一：</w:t>
      </w:r>
    </w:p>
    <w:p>
      <w:pPr>
        <w:spacing w:line="400" w:lineRule="exact"/>
        <w:ind w:firstLine="420"/>
        <w:rPr>
          <w:szCs w:val="21"/>
        </w:rPr>
      </w:pPr>
      <w:r>
        <w:rPr>
          <w:rFonts w:hint="eastAsia"/>
          <w:szCs w:val="21"/>
        </w:rPr>
        <w:t>（</w:t>
      </w:r>
      <w:r>
        <w:rPr>
          <w:szCs w:val="21"/>
        </w:rPr>
        <w:t>1</w:t>
      </w:r>
      <w:r>
        <w:rPr>
          <w:rFonts w:hint="eastAsia"/>
          <w:szCs w:val="21"/>
        </w:rPr>
        <w:t>）为招标人不具有独立法人资格的附属机构（单位）；</w:t>
      </w:r>
    </w:p>
    <w:p>
      <w:pPr>
        <w:spacing w:line="400" w:lineRule="exact"/>
        <w:ind w:firstLine="420"/>
        <w:rPr>
          <w:szCs w:val="21"/>
        </w:rPr>
      </w:pPr>
      <w:r>
        <w:rPr>
          <w:rFonts w:hint="eastAsia"/>
          <w:szCs w:val="21"/>
        </w:rPr>
        <w:t>（</w:t>
      </w:r>
      <w:r>
        <w:rPr>
          <w:szCs w:val="21"/>
        </w:rPr>
        <w:t>2</w:t>
      </w:r>
      <w:r>
        <w:rPr>
          <w:rFonts w:hint="eastAsia"/>
          <w:szCs w:val="21"/>
        </w:rPr>
        <w:t>）为本标段提供招标代理服务的；</w:t>
      </w:r>
    </w:p>
    <w:p>
      <w:pPr>
        <w:spacing w:line="400" w:lineRule="exact"/>
        <w:ind w:firstLine="420"/>
        <w:rPr>
          <w:szCs w:val="21"/>
        </w:rPr>
      </w:pPr>
      <w:r>
        <w:rPr>
          <w:rFonts w:hint="eastAsia"/>
          <w:szCs w:val="21"/>
        </w:rPr>
        <w:t>（</w:t>
      </w:r>
      <w:r>
        <w:rPr>
          <w:szCs w:val="21"/>
        </w:rPr>
        <w:t>3</w:t>
      </w:r>
      <w:r>
        <w:rPr>
          <w:rFonts w:hint="eastAsia"/>
          <w:szCs w:val="21"/>
        </w:rPr>
        <w:t>）被责令停业的；</w:t>
      </w:r>
    </w:p>
    <w:p>
      <w:pPr>
        <w:spacing w:line="400" w:lineRule="exact"/>
        <w:ind w:firstLine="420"/>
        <w:rPr>
          <w:szCs w:val="21"/>
        </w:rPr>
      </w:pPr>
      <w:r>
        <w:rPr>
          <w:rFonts w:hint="eastAsia"/>
          <w:szCs w:val="21"/>
        </w:rPr>
        <w:t>（</w:t>
      </w:r>
      <w:r>
        <w:rPr>
          <w:szCs w:val="21"/>
        </w:rPr>
        <w:t>4</w:t>
      </w:r>
      <w:r>
        <w:rPr>
          <w:rFonts w:hint="eastAsia"/>
          <w:szCs w:val="21"/>
        </w:rPr>
        <w:t>）被暂停或取消投标资格的；</w:t>
      </w:r>
    </w:p>
    <w:p>
      <w:pPr>
        <w:spacing w:line="400" w:lineRule="exact"/>
        <w:ind w:firstLine="420"/>
        <w:rPr>
          <w:szCs w:val="21"/>
        </w:rPr>
      </w:pPr>
      <w:r>
        <w:rPr>
          <w:rFonts w:hint="eastAsia"/>
          <w:szCs w:val="21"/>
        </w:rPr>
        <w:t>（</w:t>
      </w:r>
      <w:r>
        <w:rPr>
          <w:szCs w:val="21"/>
        </w:rPr>
        <w:t>5</w:t>
      </w:r>
      <w:r>
        <w:rPr>
          <w:rFonts w:hint="eastAsia"/>
          <w:szCs w:val="21"/>
        </w:rPr>
        <w:t>）财产被接管或冻结的；</w:t>
      </w:r>
    </w:p>
    <w:p>
      <w:pPr>
        <w:spacing w:line="400" w:lineRule="exact"/>
        <w:ind w:firstLine="420"/>
        <w:rPr>
          <w:szCs w:val="21"/>
        </w:rPr>
      </w:pPr>
      <w:r>
        <w:rPr>
          <w:rFonts w:hint="eastAsia"/>
          <w:szCs w:val="21"/>
        </w:rPr>
        <w:t>（</w:t>
      </w:r>
      <w:r>
        <w:rPr>
          <w:szCs w:val="21"/>
        </w:rPr>
        <w:t>6</w:t>
      </w:r>
      <w:r>
        <w:rPr>
          <w:rFonts w:hint="eastAsia"/>
          <w:szCs w:val="21"/>
        </w:rPr>
        <w:t>）在近年内有骗取中标或严重违约或重大工程质量问题的。</w:t>
      </w:r>
    </w:p>
    <w:p>
      <w:pPr>
        <w:pStyle w:val="71"/>
        <w:outlineLvl w:val="2"/>
      </w:pPr>
      <w:bookmarkStart w:id="16" w:name="_Toc26623"/>
      <w:r>
        <w:t xml:space="preserve">1.5 </w:t>
      </w:r>
      <w:r>
        <w:rPr>
          <w:rFonts w:hint="eastAsia"/>
        </w:rPr>
        <w:t>费用承担</w:t>
      </w:r>
      <w:bookmarkEnd w:id="16"/>
    </w:p>
    <w:p>
      <w:pPr>
        <w:spacing w:line="400" w:lineRule="exact"/>
        <w:ind w:firstLine="420"/>
        <w:rPr>
          <w:szCs w:val="21"/>
        </w:rPr>
      </w:pPr>
      <w:r>
        <w:rPr>
          <w:rFonts w:hint="eastAsia"/>
          <w:szCs w:val="21"/>
        </w:rPr>
        <w:t>投标人准备和参加投标活动发生的费用自理。</w:t>
      </w:r>
    </w:p>
    <w:p>
      <w:pPr>
        <w:pStyle w:val="71"/>
        <w:outlineLvl w:val="2"/>
      </w:pPr>
      <w:bookmarkStart w:id="17" w:name="_Toc27832"/>
      <w:r>
        <w:t xml:space="preserve">1.6 </w:t>
      </w:r>
      <w:r>
        <w:rPr>
          <w:rFonts w:hint="eastAsia"/>
        </w:rPr>
        <w:t>保密</w:t>
      </w:r>
      <w:bookmarkEnd w:id="17"/>
    </w:p>
    <w:p>
      <w:pPr>
        <w:spacing w:line="400" w:lineRule="exact"/>
        <w:ind w:firstLine="420"/>
        <w:rPr>
          <w:szCs w:val="21"/>
        </w:rPr>
      </w:pPr>
      <w:r>
        <w:rPr>
          <w:rFonts w:hint="eastAsia"/>
          <w:szCs w:val="21"/>
        </w:rPr>
        <w:t>参与招标投标活动的各方应对招标文件和投标文件中的商业和技术等秘密保密，违者应对由此造成的后果承担法律责任。</w:t>
      </w:r>
    </w:p>
    <w:p>
      <w:pPr>
        <w:pStyle w:val="71"/>
        <w:outlineLvl w:val="2"/>
      </w:pPr>
      <w:bookmarkStart w:id="18" w:name="_Toc25651"/>
      <w:r>
        <w:t xml:space="preserve">1.7 </w:t>
      </w:r>
      <w:r>
        <w:rPr>
          <w:rFonts w:hint="eastAsia"/>
        </w:rPr>
        <w:t>语言文字</w:t>
      </w:r>
      <w:bookmarkEnd w:id="18"/>
    </w:p>
    <w:p>
      <w:pPr>
        <w:spacing w:line="400" w:lineRule="exact"/>
        <w:ind w:firstLine="420"/>
        <w:rPr>
          <w:szCs w:val="21"/>
        </w:rPr>
      </w:pPr>
      <w:r>
        <w:rPr>
          <w:rFonts w:hint="eastAsia"/>
          <w:szCs w:val="21"/>
        </w:rPr>
        <w:t>除专用术语外，与招标投标有关的语言均使用中文。必要时专用术语应附有中文注释。</w:t>
      </w:r>
    </w:p>
    <w:p>
      <w:pPr>
        <w:pStyle w:val="71"/>
        <w:outlineLvl w:val="2"/>
      </w:pPr>
      <w:bookmarkStart w:id="19" w:name="_Toc12607"/>
      <w:r>
        <w:t xml:space="preserve">1.8 </w:t>
      </w:r>
      <w:r>
        <w:rPr>
          <w:rFonts w:hint="eastAsia"/>
        </w:rPr>
        <w:t>计量单位</w:t>
      </w:r>
      <w:bookmarkEnd w:id="19"/>
    </w:p>
    <w:p>
      <w:pPr>
        <w:spacing w:line="400" w:lineRule="exact"/>
        <w:ind w:firstLine="420"/>
        <w:rPr>
          <w:szCs w:val="21"/>
        </w:rPr>
      </w:pPr>
      <w:r>
        <w:rPr>
          <w:rFonts w:hint="eastAsia"/>
          <w:szCs w:val="21"/>
        </w:rPr>
        <w:t>所有计量均采用中华人民共和国法定计量单位。</w:t>
      </w:r>
    </w:p>
    <w:p>
      <w:pPr>
        <w:pStyle w:val="71"/>
        <w:outlineLvl w:val="2"/>
      </w:pPr>
      <w:bookmarkStart w:id="20" w:name="_Toc8788"/>
      <w:r>
        <w:t xml:space="preserve">1.9 </w:t>
      </w:r>
      <w:r>
        <w:rPr>
          <w:rFonts w:hint="eastAsia"/>
        </w:rPr>
        <w:t>踏勘现场</w:t>
      </w:r>
      <w:bookmarkEnd w:id="20"/>
    </w:p>
    <w:p>
      <w:pPr>
        <w:spacing w:line="400" w:lineRule="exact"/>
        <w:ind w:firstLine="420"/>
        <w:rPr>
          <w:szCs w:val="21"/>
        </w:rPr>
      </w:pPr>
      <w:r>
        <w:rPr>
          <w:szCs w:val="21"/>
        </w:rPr>
        <w:t xml:space="preserve">1.9.1  </w:t>
      </w:r>
      <w:r>
        <w:rPr>
          <w:rFonts w:hint="eastAsia"/>
          <w:szCs w:val="21"/>
        </w:rPr>
        <w:t>投标人须知前附表规定组织踏勘现场的，招标人按投标人须知前附表规定的时间、</w:t>
      </w:r>
      <w:r>
        <w:rPr>
          <w:szCs w:val="21"/>
        </w:rPr>
        <w:t xml:space="preserve"> </w:t>
      </w:r>
      <w:r>
        <w:rPr>
          <w:rFonts w:hint="eastAsia"/>
          <w:szCs w:val="21"/>
        </w:rPr>
        <w:t>地点组织投标人踏勘项目现场。</w:t>
      </w:r>
    </w:p>
    <w:p>
      <w:pPr>
        <w:spacing w:line="400" w:lineRule="exact"/>
        <w:ind w:firstLine="420"/>
        <w:rPr>
          <w:szCs w:val="21"/>
        </w:rPr>
      </w:pPr>
      <w:r>
        <w:rPr>
          <w:szCs w:val="21"/>
        </w:rPr>
        <w:t xml:space="preserve">1.9.2  </w:t>
      </w:r>
      <w:r>
        <w:rPr>
          <w:rFonts w:hint="eastAsia"/>
          <w:szCs w:val="21"/>
        </w:rPr>
        <w:t>投标人踏勘现场发生的费用自理。</w:t>
      </w:r>
    </w:p>
    <w:p>
      <w:pPr>
        <w:spacing w:line="400" w:lineRule="exact"/>
        <w:ind w:firstLine="420"/>
        <w:rPr>
          <w:szCs w:val="21"/>
        </w:rPr>
      </w:pPr>
      <w:r>
        <w:rPr>
          <w:szCs w:val="21"/>
        </w:rPr>
        <w:t xml:space="preserve">1.9.3  </w:t>
      </w:r>
      <w:r>
        <w:rPr>
          <w:rFonts w:hint="eastAsia"/>
          <w:szCs w:val="21"/>
        </w:rPr>
        <w:t>除招标人的原因外，投标人自行负责在踏勘现场中所发生的人员伤亡和财产损失。</w:t>
      </w:r>
    </w:p>
    <w:p>
      <w:pPr>
        <w:spacing w:line="400" w:lineRule="exact"/>
        <w:ind w:firstLine="420"/>
        <w:rPr>
          <w:szCs w:val="21"/>
        </w:rPr>
      </w:pPr>
      <w:r>
        <w:rPr>
          <w:szCs w:val="21"/>
        </w:rPr>
        <w:t xml:space="preserve">1.9.4  </w:t>
      </w:r>
      <w:r>
        <w:rPr>
          <w:rFonts w:hint="eastAsia"/>
          <w:szCs w:val="21"/>
        </w:rPr>
        <w:t>招标人在踏勘现场中介绍的工程场地和相关的周边环境情况，供投标人在编制投标文件时参考，招标人不对投标人据此作出的判断和决策负责。</w:t>
      </w:r>
    </w:p>
    <w:p>
      <w:pPr>
        <w:spacing w:line="400" w:lineRule="exact"/>
        <w:ind w:firstLine="420"/>
        <w:rPr>
          <w:szCs w:val="21"/>
        </w:rPr>
      </w:pPr>
      <w:r>
        <w:rPr>
          <w:szCs w:val="21"/>
        </w:rPr>
        <w:t xml:space="preserve">1.9.5 </w:t>
      </w:r>
      <w:r>
        <w:rPr>
          <w:rFonts w:hint="eastAsia"/>
          <w:szCs w:val="21"/>
          <w:lang w:val="en-US" w:eastAsia="zh-CN"/>
        </w:rPr>
        <w:t xml:space="preserve"> </w:t>
      </w:r>
      <w:r>
        <w:rPr>
          <w:rFonts w:hint="eastAsia"/>
          <w:szCs w:val="21"/>
        </w:rPr>
        <w:t>招标人提供的本项目的相关参考资料，并不构成合同文件的组成部分，投标人应</w:t>
      </w:r>
      <w:r>
        <w:rPr>
          <w:szCs w:val="21"/>
        </w:rPr>
        <w:t xml:space="preserve"> </w:t>
      </w:r>
      <w:r>
        <w:rPr>
          <w:rFonts w:hint="eastAsia"/>
          <w:szCs w:val="21"/>
        </w:rPr>
        <w:t>对上述资料的解释、推论和应用负责，招标人不对投标人据此作出的判断和决策承担任何责任。</w:t>
      </w:r>
    </w:p>
    <w:p>
      <w:pPr>
        <w:pStyle w:val="71"/>
        <w:outlineLvl w:val="2"/>
      </w:pPr>
      <w:bookmarkStart w:id="21" w:name="_Toc11864"/>
      <w:r>
        <w:t xml:space="preserve">1.10 </w:t>
      </w:r>
      <w:r>
        <w:rPr>
          <w:rFonts w:hint="eastAsia"/>
        </w:rPr>
        <w:t>投标预备会</w:t>
      </w:r>
      <w:bookmarkEnd w:id="21"/>
    </w:p>
    <w:p>
      <w:pPr>
        <w:spacing w:line="400" w:lineRule="exact"/>
        <w:ind w:firstLine="420"/>
        <w:rPr>
          <w:szCs w:val="21"/>
        </w:rPr>
      </w:pPr>
      <w:r>
        <w:rPr>
          <w:szCs w:val="21"/>
        </w:rPr>
        <w:t xml:space="preserve">1.10.1  </w:t>
      </w:r>
      <w:r>
        <w:rPr>
          <w:rFonts w:hint="eastAsia"/>
          <w:szCs w:val="21"/>
        </w:rPr>
        <w:t>本项目不召开投标预备会。</w:t>
      </w:r>
    </w:p>
    <w:p>
      <w:pPr>
        <w:pStyle w:val="71"/>
        <w:outlineLvl w:val="2"/>
      </w:pPr>
      <w:bookmarkStart w:id="22" w:name="_Toc29872"/>
      <w:r>
        <w:t xml:space="preserve">1.11 </w:t>
      </w:r>
      <w:r>
        <w:rPr>
          <w:rFonts w:hint="eastAsia"/>
        </w:rPr>
        <w:t>分包</w:t>
      </w:r>
      <w:bookmarkEnd w:id="22"/>
    </w:p>
    <w:p>
      <w:pPr>
        <w:spacing w:line="400" w:lineRule="exact"/>
        <w:ind w:firstLine="420"/>
        <w:rPr>
          <w:szCs w:val="21"/>
        </w:rPr>
      </w:pPr>
      <w:r>
        <w:rPr>
          <w:rFonts w:hint="eastAsia"/>
          <w:szCs w:val="21"/>
        </w:rPr>
        <w:t>本</w:t>
      </w:r>
      <w:r>
        <w:rPr>
          <w:rFonts w:hint="eastAsia"/>
          <w:szCs w:val="21"/>
          <w:lang w:val="en-US" w:eastAsia="zh-CN"/>
        </w:rPr>
        <w:t>项目</w:t>
      </w:r>
      <w:r>
        <w:rPr>
          <w:rFonts w:hint="eastAsia"/>
          <w:szCs w:val="21"/>
        </w:rPr>
        <w:t>不接受任何形式的转包、分包。</w:t>
      </w:r>
    </w:p>
    <w:p>
      <w:pPr>
        <w:pStyle w:val="71"/>
        <w:outlineLvl w:val="2"/>
      </w:pPr>
      <w:bookmarkStart w:id="23" w:name="_Toc2542"/>
      <w:r>
        <w:t xml:space="preserve">1.12 </w:t>
      </w:r>
      <w:r>
        <w:rPr>
          <w:rFonts w:hint="eastAsia"/>
        </w:rPr>
        <w:t>偏离</w:t>
      </w:r>
      <w:bookmarkEnd w:id="23"/>
    </w:p>
    <w:p>
      <w:pPr>
        <w:spacing w:line="400" w:lineRule="exact"/>
        <w:ind w:firstLine="420"/>
        <w:rPr>
          <w:szCs w:val="21"/>
        </w:rPr>
      </w:pPr>
      <w:r>
        <w:rPr>
          <w:rFonts w:hint="eastAsia"/>
          <w:szCs w:val="21"/>
        </w:rPr>
        <w:t>投标人须知前附表允许投标文件偏离招标文件某些要求的，偏离应当符合招标文件规定的偏离范围和幅度。</w:t>
      </w:r>
    </w:p>
    <w:p>
      <w:pPr>
        <w:pStyle w:val="143"/>
        <w:outlineLvl w:val="1"/>
      </w:pPr>
      <w:bookmarkStart w:id="24" w:name="_Toc23312"/>
      <w:r>
        <w:t xml:space="preserve">2.  </w:t>
      </w:r>
      <w:r>
        <w:rPr>
          <w:rFonts w:hint="eastAsia"/>
        </w:rPr>
        <w:t>招标文件</w:t>
      </w:r>
      <w:bookmarkEnd w:id="24"/>
    </w:p>
    <w:p>
      <w:pPr>
        <w:pStyle w:val="71"/>
        <w:outlineLvl w:val="2"/>
      </w:pPr>
      <w:bookmarkStart w:id="25" w:name="_Toc6152"/>
      <w:r>
        <w:t xml:space="preserve">2.1 </w:t>
      </w:r>
      <w:r>
        <w:rPr>
          <w:rFonts w:hint="eastAsia"/>
        </w:rPr>
        <w:t>招标文件的组成</w:t>
      </w:r>
      <w:bookmarkEnd w:id="25"/>
    </w:p>
    <w:p>
      <w:pPr>
        <w:spacing w:line="400" w:lineRule="exact"/>
        <w:ind w:firstLine="420"/>
        <w:rPr>
          <w:szCs w:val="21"/>
        </w:rPr>
      </w:pPr>
      <w:r>
        <w:rPr>
          <w:rFonts w:hint="eastAsia"/>
          <w:szCs w:val="21"/>
        </w:rPr>
        <w:t>本招标文件包括：</w:t>
      </w:r>
    </w:p>
    <w:p>
      <w:pPr>
        <w:spacing w:line="400" w:lineRule="exact"/>
        <w:ind w:firstLine="420"/>
        <w:rPr>
          <w:szCs w:val="21"/>
        </w:rPr>
      </w:pPr>
      <w:r>
        <w:rPr>
          <w:rFonts w:hint="eastAsia"/>
          <w:szCs w:val="21"/>
        </w:rPr>
        <w:t>（</w:t>
      </w:r>
      <w:r>
        <w:rPr>
          <w:szCs w:val="21"/>
        </w:rPr>
        <w:t>1</w:t>
      </w:r>
      <w:r>
        <w:rPr>
          <w:rFonts w:hint="eastAsia"/>
          <w:szCs w:val="21"/>
        </w:rPr>
        <w:t>）招标公告；</w:t>
      </w:r>
    </w:p>
    <w:p>
      <w:pPr>
        <w:spacing w:line="400" w:lineRule="exact"/>
        <w:ind w:firstLine="420"/>
        <w:rPr>
          <w:szCs w:val="21"/>
        </w:rPr>
      </w:pPr>
      <w:r>
        <w:rPr>
          <w:rFonts w:hint="eastAsia"/>
          <w:szCs w:val="21"/>
        </w:rPr>
        <w:t>（</w:t>
      </w:r>
      <w:r>
        <w:rPr>
          <w:szCs w:val="21"/>
        </w:rPr>
        <w:t>2</w:t>
      </w:r>
      <w:r>
        <w:rPr>
          <w:rFonts w:hint="eastAsia"/>
          <w:szCs w:val="21"/>
        </w:rPr>
        <w:t>）投标人须知；</w:t>
      </w:r>
    </w:p>
    <w:p>
      <w:pPr>
        <w:spacing w:line="400" w:lineRule="exact"/>
        <w:ind w:firstLine="420"/>
        <w:rPr>
          <w:szCs w:val="21"/>
        </w:rPr>
      </w:pPr>
      <w:r>
        <w:rPr>
          <w:rFonts w:hint="eastAsia"/>
          <w:szCs w:val="21"/>
        </w:rPr>
        <w:t>（</w:t>
      </w:r>
      <w:r>
        <w:rPr>
          <w:szCs w:val="21"/>
        </w:rPr>
        <w:t>3</w:t>
      </w:r>
      <w:r>
        <w:rPr>
          <w:rFonts w:hint="eastAsia"/>
          <w:szCs w:val="21"/>
        </w:rPr>
        <w:t>）评标办法；</w:t>
      </w:r>
    </w:p>
    <w:p>
      <w:pPr>
        <w:spacing w:line="400" w:lineRule="exact"/>
        <w:ind w:firstLine="420"/>
        <w:rPr>
          <w:szCs w:val="21"/>
        </w:rPr>
      </w:pPr>
      <w:r>
        <w:rPr>
          <w:rFonts w:hint="eastAsia"/>
          <w:szCs w:val="21"/>
        </w:rPr>
        <w:t>（</w:t>
      </w:r>
      <w:r>
        <w:rPr>
          <w:szCs w:val="21"/>
        </w:rPr>
        <w:t>4</w:t>
      </w:r>
      <w:r>
        <w:rPr>
          <w:rFonts w:hint="eastAsia"/>
          <w:szCs w:val="21"/>
        </w:rPr>
        <w:t>）合同条款及格式；</w:t>
      </w:r>
    </w:p>
    <w:p>
      <w:pPr>
        <w:spacing w:line="400" w:lineRule="exact"/>
        <w:ind w:firstLine="420"/>
        <w:rPr>
          <w:rFonts w:hint="eastAsia" w:eastAsia="宋体"/>
          <w:szCs w:val="21"/>
          <w:lang w:eastAsia="zh-CN"/>
        </w:rPr>
      </w:pPr>
      <w:r>
        <w:rPr>
          <w:rFonts w:hint="eastAsia"/>
          <w:szCs w:val="21"/>
        </w:rPr>
        <w:t>（</w:t>
      </w:r>
      <w:r>
        <w:rPr>
          <w:szCs w:val="21"/>
        </w:rPr>
        <w:t>5</w:t>
      </w:r>
      <w:r>
        <w:rPr>
          <w:rFonts w:hint="eastAsia"/>
          <w:szCs w:val="21"/>
        </w:rPr>
        <w:t>）投标文件格式</w:t>
      </w:r>
      <w:r>
        <w:rPr>
          <w:rFonts w:hint="eastAsia"/>
          <w:szCs w:val="21"/>
          <w:lang w:eastAsia="zh-CN"/>
        </w:rPr>
        <w:t>。</w:t>
      </w:r>
    </w:p>
    <w:p>
      <w:pPr>
        <w:spacing w:line="400" w:lineRule="exact"/>
        <w:ind w:firstLine="420"/>
        <w:rPr>
          <w:szCs w:val="21"/>
        </w:rPr>
      </w:pPr>
      <w:r>
        <w:rPr>
          <w:rFonts w:hint="eastAsia"/>
          <w:szCs w:val="21"/>
        </w:rPr>
        <w:t>根据本章第</w:t>
      </w:r>
      <w:r>
        <w:rPr>
          <w:szCs w:val="21"/>
        </w:rPr>
        <w:t>1.10</w:t>
      </w:r>
      <w:r>
        <w:rPr>
          <w:rFonts w:hint="eastAsia"/>
          <w:szCs w:val="21"/>
        </w:rPr>
        <w:t>款、第</w:t>
      </w:r>
      <w:r>
        <w:rPr>
          <w:szCs w:val="21"/>
        </w:rPr>
        <w:t>2.2</w:t>
      </w:r>
      <w:r>
        <w:rPr>
          <w:rFonts w:hint="eastAsia"/>
          <w:szCs w:val="21"/>
        </w:rPr>
        <w:t>款和第</w:t>
      </w:r>
      <w:r>
        <w:rPr>
          <w:szCs w:val="21"/>
        </w:rPr>
        <w:t>2.3</w:t>
      </w:r>
      <w:r>
        <w:rPr>
          <w:rFonts w:hint="eastAsia"/>
          <w:szCs w:val="21"/>
        </w:rPr>
        <w:t>款对招标文件所作的澄清、修改，构成招标文件的组成部分。</w:t>
      </w:r>
    </w:p>
    <w:p>
      <w:pPr>
        <w:spacing w:line="400" w:lineRule="exact"/>
        <w:ind w:firstLine="420"/>
        <w:rPr>
          <w:szCs w:val="21"/>
        </w:rPr>
      </w:pPr>
      <w:r>
        <w:rPr>
          <w:rFonts w:hint="eastAsia"/>
          <w:szCs w:val="21"/>
        </w:rPr>
        <w:t>招标文件、招标文件的澄清或修改等在同一内容的表述上不一致时，以最后发出的书面文件为准。</w:t>
      </w:r>
    </w:p>
    <w:p>
      <w:pPr>
        <w:pStyle w:val="71"/>
        <w:outlineLvl w:val="2"/>
      </w:pPr>
      <w:bookmarkStart w:id="26" w:name="_Toc26428"/>
      <w:r>
        <w:t xml:space="preserve">2.2 </w:t>
      </w:r>
      <w:r>
        <w:rPr>
          <w:rFonts w:hint="eastAsia"/>
        </w:rPr>
        <w:t>招标文件的澄清</w:t>
      </w:r>
      <w:bookmarkEnd w:id="26"/>
    </w:p>
    <w:p>
      <w:pPr>
        <w:spacing w:line="400" w:lineRule="exact"/>
        <w:ind w:firstLine="420"/>
        <w:rPr>
          <w:szCs w:val="21"/>
        </w:rPr>
      </w:pPr>
      <w:r>
        <w:rPr>
          <w:szCs w:val="21"/>
        </w:rPr>
        <w:t xml:space="preserve">2.2.1 </w:t>
      </w:r>
      <w:r>
        <w:rPr>
          <w:rFonts w:hint="eastAsia"/>
          <w:szCs w:val="21"/>
        </w:rPr>
        <w:t>投标人应仔细阅读和检查招标文件的全部内容。如发现缺页或附件不全，应及时向招标人提出，以便补齐。如有疑问，应在投标人须知前附表规定的时间前以书面形式（传真），要求招标人对招标文件予以澄清。招标人电子邮箱的地址见前附表。</w:t>
      </w:r>
    </w:p>
    <w:p>
      <w:pPr>
        <w:pStyle w:val="71"/>
        <w:outlineLvl w:val="2"/>
      </w:pPr>
      <w:bookmarkStart w:id="27" w:name="_Toc25019"/>
      <w:r>
        <w:t xml:space="preserve">2.3 </w:t>
      </w:r>
      <w:r>
        <w:rPr>
          <w:rFonts w:hint="eastAsia"/>
        </w:rPr>
        <w:t>招标文件的修改</w:t>
      </w:r>
      <w:bookmarkEnd w:id="27"/>
    </w:p>
    <w:p>
      <w:pPr>
        <w:spacing w:line="400" w:lineRule="exact"/>
        <w:ind w:firstLine="420"/>
        <w:rPr>
          <w:szCs w:val="21"/>
        </w:rPr>
      </w:pPr>
      <w:r>
        <w:rPr>
          <w:szCs w:val="21"/>
        </w:rPr>
        <w:t>2.3.1</w:t>
      </w:r>
      <w:r>
        <w:rPr>
          <w:rFonts w:hint="eastAsia"/>
          <w:szCs w:val="21"/>
        </w:rPr>
        <w:t>在投标截止时间</w:t>
      </w:r>
      <w:r>
        <w:rPr>
          <w:rFonts w:hint="eastAsia"/>
          <w:szCs w:val="21"/>
          <w:lang w:val="en-US" w:eastAsia="zh-CN"/>
        </w:rPr>
        <w:t>3</w:t>
      </w:r>
      <w:r>
        <w:rPr>
          <w:rFonts w:hint="eastAsia"/>
          <w:szCs w:val="21"/>
        </w:rPr>
        <w:t>天前，招标人可以书面形式修改招标文件，并在网站公布，投标人自行查看。</w:t>
      </w:r>
    </w:p>
    <w:p>
      <w:pPr>
        <w:pStyle w:val="143"/>
        <w:outlineLvl w:val="1"/>
      </w:pPr>
      <w:bookmarkStart w:id="28" w:name="_Toc2714"/>
      <w:r>
        <w:t xml:space="preserve">3.  </w:t>
      </w:r>
      <w:r>
        <w:rPr>
          <w:rFonts w:hint="eastAsia"/>
        </w:rPr>
        <w:t>投标文件</w:t>
      </w:r>
      <w:bookmarkEnd w:id="28"/>
    </w:p>
    <w:p>
      <w:pPr>
        <w:pStyle w:val="71"/>
        <w:outlineLvl w:val="2"/>
      </w:pPr>
      <w:bookmarkStart w:id="29" w:name="_Toc5340"/>
      <w:r>
        <w:t xml:space="preserve">3.1 </w:t>
      </w:r>
      <w:r>
        <w:rPr>
          <w:rFonts w:hint="eastAsia"/>
        </w:rPr>
        <w:t>投标文件的组成</w:t>
      </w:r>
      <w:bookmarkEnd w:id="29"/>
    </w:p>
    <w:p>
      <w:pPr>
        <w:spacing w:line="400" w:lineRule="exact"/>
        <w:ind w:firstLine="420"/>
        <w:rPr>
          <w:szCs w:val="21"/>
        </w:rPr>
      </w:pPr>
      <w:r>
        <w:rPr>
          <w:szCs w:val="21"/>
        </w:rPr>
        <w:t>3.1.1</w:t>
      </w:r>
      <w:r>
        <w:rPr>
          <w:rFonts w:hint="eastAsia"/>
          <w:szCs w:val="21"/>
        </w:rPr>
        <w:t>按投标文件格式部分编制。</w:t>
      </w:r>
    </w:p>
    <w:p>
      <w:pPr>
        <w:spacing w:line="400" w:lineRule="exact"/>
        <w:ind w:firstLine="420"/>
        <w:rPr>
          <w:szCs w:val="21"/>
        </w:rPr>
      </w:pPr>
      <w:r>
        <w:rPr>
          <w:szCs w:val="21"/>
        </w:rPr>
        <w:t>3.1.2</w:t>
      </w:r>
      <w:r>
        <w:rPr>
          <w:rFonts w:hint="eastAsia"/>
          <w:szCs w:val="21"/>
        </w:rPr>
        <w:t>投标文件的编制要求详见投标须知前附表。</w:t>
      </w:r>
    </w:p>
    <w:p>
      <w:pPr>
        <w:pStyle w:val="71"/>
        <w:outlineLvl w:val="2"/>
      </w:pPr>
      <w:bookmarkStart w:id="30" w:name="_Toc15782"/>
      <w:r>
        <w:t xml:space="preserve">3.2 </w:t>
      </w:r>
      <w:r>
        <w:rPr>
          <w:rFonts w:hint="eastAsia"/>
        </w:rPr>
        <w:t>投标报价</w:t>
      </w:r>
      <w:bookmarkEnd w:id="30"/>
    </w:p>
    <w:p>
      <w:pPr>
        <w:spacing w:line="400" w:lineRule="exact"/>
        <w:ind w:firstLine="420"/>
        <w:jc w:val="left"/>
        <w:rPr>
          <w:rFonts w:hint="eastAsia"/>
        </w:rPr>
      </w:pPr>
      <w:r>
        <w:rPr>
          <w:rFonts w:hint="eastAsia"/>
        </w:rPr>
        <w:t>3.2.1投标人的服务费投标报价应是完成所投标段的全部招标代理服务的报价，投标报价中应包括含提供招标前期咨询、编写招标方案、编写招标公告、编制招标文件、编制招标控制价（含复核工程量清单）；发放招标文件及图纸、答疑、组织现场踏勘（如果有）、组织投标预备会（如果有）、回复招标文件答疑；组织投标开标、评标、定标及相关会务工作；协助发包人签发中标通知书、组织合同签订；招标资料移交、整理、归档和备案；招标过程所有资料的复印、装订以及与招投标相关的其他工作；可能发生的自身承担的招标代理项目以外项目的造价咨询、清标服务等相应工作及专家评审费、差旅费等所需的一切费用（含招投标与合同公证费、保险、税金、利润）。</w:t>
      </w:r>
    </w:p>
    <w:p>
      <w:pPr>
        <w:spacing w:line="400" w:lineRule="exact"/>
        <w:ind w:firstLine="420"/>
        <w:jc w:val="left"/>
        <w:rPr>
          <w:rFonts w:hint="eastAsia"/>
        </w:rPr>
      </w:pPr>
      <w:r>
        <w:rPr>
          <w:rFonts w:hint="eastAsia"/>
        </w:rPr>
        <w:t>3.2.2招标代理服务费的收费标准按国家发展改革委《招标代理服务收费管理暂行办法》、《关于招标代理服务费有关问题的通知》以及《国家发改委关于降低部分建设项目收费标准规范收费行为等有关问题的通知》规定标准费用</w:t>
      </w:r>
      <w:r>
        <w:rPr>
          <w:rFonts w:hint="eastAsia"/>
          <w:lang w:val="en-US" w:eastAsia="zh-CN"/>
        </w:rPr>
        <w:t>乘以K</w:t>
      </w:r>
      <w:r>
        <w:rPr>
          <w:rFonts w:hint="eastAsia"/>
        </w:rPr>
        <w:t>进行计算</w:t>
      </w:r>
      <w:r>
        <w:rPr>
          <w:rFonts w:hint="eastAsia"/>
          <w:lang w:eastAsia="zh-CN"/>
        </w:rPr>
        <w:t>，</w:t>
      </w:r>
      <w:r>
        <w:rPr>
          <w:rFonts w:hint="eastAsia"/>
        </w:rPr>
        <w:t>本次招标代理费系数K</w:t>
      </w:r>
      <w:r>
        <w:rPr>
          <w:rFonts w:hint="eastAsia"/>
          <w:lang w:val="en-US" w:eastAsia="zh-CN"/>
        </w:rPr>
        <w:t>详见前附表</w:t>
      </w:r>
      <w:r>
        <w:rPr>
          <w:rFonts w:hint="eastAsia"/>
        </w:rPr>
        <w:t>。</w:t>
      </w:r>
    </w:p>
    <w:p>
      <w:pPr>
        <w:spacing w:line="400" w:lineRule="exact"/>
        <w:ind w:firstLine="420"/>
        <w:jc w:val="left"/>
        <w:rPr>
          <w:rFonts w:hint="eastAsia"/>
        </w:rPr>
      </w:pPr>
      <w:r>
        <w:rPr>
          <w:rFonts w:hint="eastAsia"/>
        </w:rPr>
        <w:t>3.2.3中标后的工程价款均以人民币表示、结算和支付。</w:t>
      </w:r>
    </w:p>
    <w:p>
      <w:pPr>
        <w:spacing w:line="400" w:lineRule="exact"/>
        <w:ind w:firstLine="420"/>
        <w:jc w:val="left"/>
        <w:rPr>
          <w:rFonts w:hint="eastAsia"/>
        </w:rPr>
      </w:pPr>
      <w:r>
        <w:rPr>
          <w:rFonts w:hint="eastAsia"/>
        </w:rPr>
        <w:t>3.2.4本项目招投标与合同公证费由中标人承担，签订中标合同时由中标人向公证单位支付。</w:t>
      </w:r>
    </w:p>
    <w:p>
      <w:pPr>
        <w:spacing w:line="400" w:lineRule="exact"/>
        <w:ind w:firstLine="420"/>
        <w:jc w:val="left"/>
        <w:rPr>
          <w:rFonts w:ascii="宋体"/>
          <w:szCs w:val="21"/>
        </w:rPr>
      </w:pPr>
      <w:r>
        <w:rPr>
          <w:rFonts w:hint="eastAsia"/>
        </w:rPr>
        <w:t>3.2.</w:t>
      </w:r>
      <w:r>
        <w:rPr>
          <w:rFonts w:hint="eastAsia"/>
          <w:lang w:val="en-US" w:eastAsia="zh-CN"/>
        </w:rPr>
        <w:t>5</w:t>
      </w:r>
      <w:r>
        <w:rPr>
          <w:rFonts w:hint="eastAsia"/>
        </w:rPr>
        <w:t>投标人的投标价中应包含的保险费按如下规定办理：受托人职工的(人身)事故险由咨询单位自行投保，保险费由受托人承担并支付，并包含在所报的单价或总额价中，不单独报价。</w:t>
      </w:r>
    </w:p>
    <w:p>
      <w:pPr>
        <w:pStyle w:val="71"/>
        <w:outlineLvl w:val="2"/>
      </w:pPr>
      <w:bookmarkStart w:id="31" w:name="_Toc10757"/>
      <w:r>
        <w:t xml:space="preserve">3.3 </w:t>
      </w:r>
      <w:r>
        <w:rPr>
          <w:rFonts w:hint="eastAsia"/>
        </w:rPr>
        <w:t>投标有效期</w:t>
      </w:r>
      <w:bookmarkEnd w:id="31"/>
    </w:p>
    <w:p>
      <w:pPr>
        <w:spacing w:line="400" w:lineRule="exact"/>
        <w:ind w:firstLine="420"/>
        <w:rPr>
          <w:szCs w:val="21"/>
        </w:rPr>
      </w:pPr>
      <w:r>
        <w:rPr>
          <w:szCs w:val="21"/>
        </w:rPr>
        <w:t>3.3.1</w:t>
      </w:r>
      <w:r>
        <w:rPr>
          <w:rFonts w:hint="eastAsia"/>
          <w:szCs w:val="21"/>
        </w:rPr>
        <w:t>在投标人须知前附表规定的投标有效期内，投标人不得要求撤销或修改其投标文件。</w:t>
      </w:r>
    </w:p>
    <w:p>
      <w:pPr>
        <w:spacing w:line="400" w:lineRule="exact"/>
        <w:ind w:firstLine="420"/>
        <w:rPr>
          <w:szCs w:val="21"/>
        </w:rPr>
      </w:pPr>
      <w:r>
        <w:rPr>
          <w:szCs w:val="21"/>
        </w:rPr>
        <w:t>3.3.2</w:t>
      </w:r>
      <w:r>
        <w:rPr>
          <w:rFonts w:hint="eastAsia"/>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71"/>
        <w:outlineLvl w:val="2"/>
      </w:pPr>
      <w:bookmarkStart w:id="32" w:name="_Toc14430"/>
      <w:r>
        <w:t xml:space="preserve">3.4 </w:t>
      </w:r>
      <w:r>
        <w:rPr>
          <w:rFonts w:hint="eastAsia"/>
        </w:rPr>
        <w:t>投标保证金</w:t>
      </w:r>
      <w:bookmarkEnd w:id="32"/>
    </w:p>
    <w:p>
      <w:pPr>
        <w:spacing w:line="400" w:lineRule="exact"/>
        <w:ind w:firstLine="420"/>
        <w:rPr>
          <w:szCs w:val="21"/>
        </w:rPr>
      </w:pPr>
      <w:r>
        <w:rPr>
          <w:szCs w:val="21"/>
        </w:rPr>
        <w:t>3.4.1</w:t>
      </w:r>
      <w:r>
        <w:rPr>
          <w:rFonts w:hint="eastAsia"/>
          <w:szCs w:val="21"/>
        </w:rPr>
        <w:t>本项目无须缴纳投标保证金。</w:t>
      </w:r>
    </w:p>
    <w:p>
      <w:pPr>
        <w:pStyle w:val="71"/>
        <w:outlineLvl w:val="2"/>
      </w:pPr>
      <w:bookmarkStart w:id="33" w:name="_Toc15332"/>
      <w:r>
        <w:t xml:space="preserve">3.5 </w:t>
      </w:r>
      <w:r>
        <w:rPr>
          <w:rFonts w:hint="eastAsia"/>
        </w:rPr>
        <w:t>资格审查资料</w:t>
      </w:r>
      <w:bookmarkEnd w:id="33"/>
    </w:p>
    <w:p>
      <w:pPr>
        <w:spacing w:line="400" w:lineRule="exact"/>
        <w:ind w:firstLine="420"/>
        <w:rPr>
          <w:szCs w:val="21"/>
        </w:rPr>
      </w:pPr>
      <w:r>
        <w:rPr>
          <w:rFonts w:hint="eastAsia"/>
          <w:szCs w:val="21"/>
          <w:lang w:val="en-US" w:eastAsia="zh-CN"/>
        </w:rPr>
        <w:t>3.5.1</w:t>
      </w:r>
      <w:r>
        <w:rPr>
          <w:rFonts w:hint="eastAsia"/>
          <w:szCs w:val="21"/>
        </w:rPr>
        <w:t>按投标人资格条件准备相应材料。</w:t>
      </w:r>
    </w:p>
    <w:p>
      <w:pPr>
        <w:pStyle w:val="71"/>
        <w:outlineLvl w:val="2"/>
      </w:pPr>
      <w:bookmarkStart w:id="34" w:name="_Toc27346"/>
      <w:r>
        <w:t xml:space="preserve">3.6 </w:t>
      </w:r>
      <w:r>
        <w:rPr>
          <w:rFonts w:hint="eastAsia"/>
        </w:rPr>
        <w:t>备选投标方案</w:t>
      </w:r>
      <w:bookmarkEnd w:id="34"/>
    </w:p>
    <w:p>
      <w:pPr>
        <w:spacing w:line="400" w:lineRule="exact"/>
        <w:ind w:firstLine="420"/>
        <w:rPr>
          <w:szCs w:val="21"/>
        </w:rPr>
      </w:pPr>
      <w:r>
        <w:rPr>
          <w:rFonts w:hint="eastAsia"/>
          <w:szCs w:val="21"/>
          <w:lang w:val="en-US" w:eastAsia="zh-CN"/>
        </w:rPr>
        <w:t>3.6.1</w:t>
      </w:r>
      <w:r>
        <w:rPr>
          <w:rFonts w:hint="eastAsia"/>
          <w:szCs w:val="21"/>
        </w:rPr>
        <w:t>投标人不得递交备选投标方案。</w:t>
      </w:r>
    </w:p>
    <w:p>
      <w:pPr>
        <w:pStyle w:val="71"/>
        <w:outlineLvl w:val="2"/>
      </w:pPr>
      <w:bookmarkStart w:id="35" w:name="_Toc8691"/>
      <w:r>
        <w:t xml:space="preserve">3.7 </w:t>
      </w:r>
      <w:r>
        <w:rPr>
          <w:rFonts w:hint="eastAsia"/>
        </w:rPr>
        <w:t>投标文件的编制</w:t>
      </w:r>
      <w:bookmarkEnd w:id="35"/>
    </w:p>
    <w:p>
      <w:pPr>
        <w:spacing w:line="400" w:lineRule="exact"/>
        <w:ind w:firstLine="420"/>
        <w:rPr>
          <w:szCs w:val="21"/>
        </w:rPr>
      </w:pPr>
      <w:r>
        <w:rPr>
          <w:szCs w:val="21"/>
        </w:rPr>
        <w:t>3.7.1</w:t>
      </w:r>
      <w:r>
        <w:rPr>
          <w:rFonts w:hint="eastAsia"/>
          <w:szCs w:val="21"/>
        </w:rPr>
        <w:t>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rPr>
          <w:szCs w:val="21"/>
        </w:rPr>
      </w:pPr>
      <w:r>
        <w:rPr>
          <w:szCs w:val="21"/>
        </w:rPr>
        <w:t>3.7.2</w:t>
      </w:r>
      <w:r>
        <w:rPr>
          <w:rFonts w:hint="eastAsia"/>
          <w:szCs w:val="21"/>
        </w:rPr>
        <w:t>投标文件应当对招标文件有关工期、投标有效期、质量要求、技术标准和要求、招标范围等实质性内容作出响应。</w:t>
      </w:r>
    </w:p>
    <w:p>
      <w:pPr>
        <w:spacing w:line="400" w:lineRule="exact"/>
        <w:ind w:firstLine="420"/>
        <w:rPr>
          <w:szCs w:val="21"/>
        </w:rPr>
      </w:pPr>
      <w:r>
        <w:rPr>
          <w:szCs w:val="21"/>
        </w:rPr>
        <w:t>3.7.3</w:t>
      </w:r>
      <w:r>
        <w:rPr>
          <w:rFonts w:hint="eastAsia"/>
          <w:szCs w:val="21"/>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w:t>
      </w:r>
      <w:r>
        <w:rPr>
          <w:szCs w:val="21"/>
        </w:rPr>
        <w:t xml:space="preserve"> </w:t>
      </w:r>
      <w:r>
        <w:rPr>
          <w:rFonts w:hint="eastAsia"/>
          <w:szCs w:val="21"/>
        </w:rPr>
        <w:t>人的法定代表人或其授权的代理人签字确认。签字或盖章的具体要求见投标人须知前附表。</w:t>
      </w:r>
    </w:p>
    <w:p>
      <w:pPr>
        <w:spacing w:line="400" w:lineRule="exact"/>
        <w:ind w:firstLine="420"/>
        <w:rPr>
          <w:szCs w:val="21"/>
        </w:rPr>
      </w:pPr>
      <w:r>
        <w:rPr>
          <w:szCs w:val="21"/>
        </w:rPr>
        <w:t>3.7.4</w:t>
      </w:r>
      <w:r>
        <w:rPr>
          <w:rFonts w:hint="eastAsia"/>
          <w:szCs w:val="21"/>
        </w:rPr>
        <w:t>投标文件正本一份，副本份数见投标人须知前附表。正本和副本的封面上应清楚地标记“正本”或“副本”的字样。当副本和正本不一致时，以正本为准。投标人还应提供投标文件的电子版文件，电子版文件的份数及要求见投标人须知前附表。</w:t>
      </w:r>
    </w:p>
    <w:p>
      <w:pPr>
        <w:spacing w:line="400" w:lineRule="exact"/>
        <w:ind w:firstLine="420"/>
        <w:rPr>
          <w:szCs w:val="21"/>
        </w:rPr>
      </w:pPr>
      <w:r>
        <w:rPr>
          <w:szCs w:val="21"/>
        </w:rPr>
        <w:t>3.7.5</w:t>
      </w:r>
      <w:r>
        <w:rPr>
          <w:rFonts w:hint="eastAsia"/>
          <w:szCs w:val="21"/>
        </w:rPr>
        <w:t>投标文件的正本与副本应分别装订成册，并编制目录，具体装订要求见投标人须知前附表规定。</w:t>
      </w:r>
    </w:p>
    <w:p>
      <w:pPr>
        <w:pStyle w:val="143"/>
        <w:outlineLvl w:val="1"/>
      </w:pPr>
      <w:bookmarkStart w:id="36" w:name="_Toc8061"/>
      <w:r>
        <w:t xml:space="preserve">4.  </w:t>
      </w:r>
      <w:r>
        <w:rPr>
          <w:rFonts w:hint="eastAsia"/>
        </w:rPr>
        <w:t>投标</w:t>
      </w:r>
      <w:bookmarkEnd w:id="36"/>
    </w:p>
    <w:p>
      <w:pPr>
        <w:pStyle w:val="71"/>
        <w:outlineLvl w:val="2"/>
      </w:pPr>
      <w:bookmarkStart w:id="37" w:name="_Toc12812"/>
      <w:r>
        <w:t xml:space="preserve">4.1 </w:t>
      </w:r>
      <w:r>
        <w:rPr>
          <w:rFonts w:hint="eastAsia"/>
        </w:rPr>
        <w:t>投标文件的密封和标记</w:t>
      </w:r>
      <w:bookmarkEnd w:id="37"/>
    </w:p>
    <w:p>
      <w:pPr>
        <w:spacing w:line="400" w:lineRule="exact"/>
        <w:ind w:firstLine="420"/>
        <w:rPr>
          <w:szCs w:val="21"/>
        </w:rPr>
      </w:pPr>
      <w:r>
        <w:rPr>
          <w:szCs w:val="21"/>
        </w:rPr>
        <w:t>4.1.1</w:t>
      </w:r>
      <w:r>
        <w:rPr>
          <w:rFonts w:hint="eastAsia"/>
          <w:szCs w:val="21"/>
        </w:rPr>
        <w:t>投标文件封套加贴封条，并在封套的封口处加盖投标人单位章。</w:t>
      </w:r>
    </w:p>
    <w:p>
      <w:pPr>
        <w:spacing w:line="400" w:lineRule="exact"/>
        <w:ind w:firstLine="420"/>
        <w:rPr>
          <w:szCs w:val="21"/>
        </w:rPr>
      </w:pPr>
      <w:r>
        <w:rPr>
          <w:rFonts w:hint="eastAsia"/>
          <w:szCs w:val="21"/>
        </w:rPr>
        <w:t>4.1.2</w:t>
      </w:r>
      <w:r>
        <w:rPr>
          <w:rFonts w:hint="eastAsia"/>
          <w:szCs w:val="21"/>
          <w:lang w:val="en-US" w:eastAsia="zh-CN"/>
        </w:rPr>
        <w:t>投标人</w:t>
      </w:r>
      <w:r>
        <w:rPr>
          <w:rFonts w:hint="eastAsia"/>
          <w:szCs w:val="21"/>
          <w:lang w:val="zh-CN"/>
        </w:rPr>
        <w:t>可将</w:t>
      </w:r>
      <w:r>
        <w:rPr>
          <w:rFonts w:hint="eastAsia"/>
          <w:szCs w:val="21"/>
          <w:lang w:val="en-US" w:eastAsia="zh-CN"/>
        </w:rPr>
        <w:t>纸质投标</w:t>
      </w:r>
      <w:r>
        <w:rPr>
          <w:rFonts w:hint="eastAsia"/>
          <w:szCs w:val="21"/>
          <w:lang w:val="zh-CN"/>
        </w:rPr>
        <w:t>文件正副本统一密封或分别密封，如正本和副本分别密封的，应在</w:t>
      </w:r>
      <w:r>
        <w:rPr>
          <w:rFonts w:hint="eastAsia"/>
          <w:szCs w:val="21"/>
          <w:lang w:val="en-US" w:eastAsia="zh-CN"/>
        </w:rPr>
        <w:t>封套上</w:t>
      </w:r>
      <w:r>
        <w:rPr>
          <w:rFonts w:hint="eastAsia"/>
          <w:szCs w:val="21"/>
        </w:rPr>
        <w:t>清楚地标记“正本”或“副本”字样</w:t>
      </w:r>
      <w:r>
        <w:rPr>
          <w:rFonts w:hint="eastAsia"/>
          <w:szCs w:val="21"/>
          <w:lang w:eastAsia="zh-CN"/>
        </w:rPr>
        <w:t>。</w:t>
      </w:r>
      <w:r>
        <w:rPr>
          <w:rFonts w:hint="eastAsia"/>
          <w:szCs w:val="21"/>
        </w:rPr>
        <w:t>封套上应写明的其他内容见投标人须知前附表。</w:t>
      </w:r>
    </w:p>
    <w:p>
      <w:pPr>
        <w:spacing w:line="400" w:lineRule="exact"/>
        <w:ind w:firstLine="420"/>
        <w:rPr>
          <w:szCs w:val="21"/>
        </w:rPr>
      </w:pPr>
      <w:r>
        <w:rPr>
          <w:szCs w:val="21"/>
        </w:rPr>
        <w:t>4.1.3</w:t>
      </w:r>
      <w:r>
        <w:rPr>
          <w:rFonts w:hint="eastAsia"/>
          <w:szCs w:val="21"/>
        </w:rPr>
        <w:t>投标文件其它密封和标记要求详见投标人须知前附表。</w:t>
      </w:r>
    </w:p>
    <w:p>
      <w:pPr>
        <w:spacing w:line="400" w:lineRule="exact"/>
        <w:ind w:firstLine="420"/>
        <w:rPr>
          <w:szCs w:val="21"/>
        </w:rPr>
      </w:pPr>
      <w:r>
        <w:rPr>
          <w:szCs w:val="21"/>
        </w:rPr>
        <w:t>4.1.4</w:t>
      </w:r>
      <w:r>
        <w:rPr>
          <w:rFonts w:hint="eastAsia"/>
          <w:szCs w:val="21"/>
        </w:rPr>
        <w:t>未按本章第</w:t>
      </w:r>
      <w:r>
        <w:rPr>
          <w:szCs w:val="21"/>
        </w:rPr>
        <w:t>4.1.1</w:t>
      </w:r>
      <w:r>
        <w:rPr>
          <w:rFonts w:hint="eastAsia"/>
          <w:szCs w:val="21"/>
        </w:rPr>
        <w:t>项或第</w:t>
      </w:r>
      <w:r>
        <w:rPr>
          <w:szCs w:val="21"/>
        </w:rPr>
        <w:t>4.1.2</w:t>
      </w:r>
      <w:r>
        <w:rPr>
          <w:rFonts w:hint="eastAsia"/>
          <w:szCs w:val="21"/>
        </w:rPr>
        <w:t>项或</w:t>
      </w:r>
      <w:r>
        <w:rPr>
          <w:szCs w:val="21"/>
        </w:rPr>
        <w:t>4.1.3</w:t>
      </w:r>
      <w:r>
        <w:rPr>
          <w:rFonts w:hint="eastAsia"/>
          <w:szCs w:val="21"/>
        </w:rPr>
        <w:t>项要求密封和加写标记的投标文件，招标人不予受理。</w:t>
      </w:r>
    </w:p>
    <w:p>
      <w:pPr>
        <w:pStyle w:val="71"/>
        <w:outlineLvl w:val="2"/>
      </w:pPr>
      <w:bookmarkStart w:id="38" w:name="_Toc15628"/>
      <w:r>
        <w:t xml:space="preserve">4.2 </w:t>
      </w:r>
      <w:r>
        <w:rPr>
          <w:rFonts w:hint="eastAsia"/>
        </w:rPr>
        <w:t>投标文件的递交</w:t>
      </w:r>
      <w:bookmarkEnd w:id="38"/>
    </w:p>
    <w:p>
      <w:pPr>
        <w:spacing w:line="400" w:lineRule="exact"/>
        <w:ind w:firstLine="420"/>
        <w:rPr>
          <w:szCs w:val="21"/>
        </w:rPr>
      </w:pPr>
      <w:r>
        <w:rPr>
          <w:szCs w:val="21"/>
        </w:rPr>
        <w:t>4.2.1</w:t>
      </w:r>
      <w:r>
        <w:rPr>
          <w:rFonts w:hint="eastAsia"/>
          <w:szCs w:val="21"/>
        </w:rPr>
        <w:t>投标人应在本章第</w:t>
      </w:r>
      <w:r>
        <w:rPr>
          <w:szCs w:val="21"/>
        </w:rPr>
        <w:t>2.2.2</w:t>
      </w:r>
      <w:r>
        <w:rPr>
          <w:rFonts w:hint="eastAsia"/>
          <w:szCs w:val="21"/>
        </w:rPr>
        <w:t>项规定的投标截止时间前递交投标文件。</w:t>
      </w:r>
    </w:p>
    <w:p>
      <w:pPr>
        <w:spacing w:line="400" w:lineRule="exact"/>
        <w:ind w:firstLine="420"/>
        <w:rPr>
          <w:szCs w:val="21"/>
        </w:rPr>
      </w:pPr>
      <w:r>
        <w:rPr>
          <w:szCs w:val="21"/>
        </w:rPr>
        <w:t>4.2.2</w:t>
      </w:r>
      <w:r>
        <w:rPr>
          <w:rFonts w:hint="eastAsia"/>
          <w:szCs w:val="21"/>
        </w:rPr>
        <w:t>投标人递交投标文件的地点：见投标人须知前附表。</w:t>
      </w:r>
    </w:p>
    <w:p>
      <w:pPr>
        <w:spacing w:line="400" w:lineRule="exact"/>
        <w:ind w:firstLine="420"/>
        <w:rPr>
          <w:szCs w:val="21"/>
        </w:rPr>
      </w:pPr>
      <w:r>
        <w:rPr>
          <w:szCs w:val="21"/>
        </w:rPr>
        <w:t>4.2.3</w:t>
      </w:r>
      <w:r>
        <w:rPr>
          <w:rFonts w:hint="eastAsia"/>
          <w:szCs w:val="21"/>
        </w:rPr>
        <w:t>除投标人须知前附表另有规定外，投标人所递交的投标文件不予退还。</w:t>
      </w:r>
    </w:p>
    <w:p>
      <w:pPr>
        <w:spacing w:line="400" w:lineRule="exact"/>
        <w:ind w:firstLine="420"/>
        <w:rPr>
          <w:szCs w:val="21"/>
        </w:rPr>
      </w:pPr>
      <w:r>
        <w:rPr>
          <w:szCs w:val="21"/>
        </w:rPr>
        <w:t>4.2.4</w:t>
      </w:r>
      <w:r>
        <w:rPr>
          <w:rFonts w:hint="eastAsia"/>
          <w:szCs w:val="21"/>
        </w:rPr>
        <w:t>招标人收到投标文件后，向投标人出具签收凭证。</w:t>
      </w:r>
    </w:p>
    <w:p>
      <w:pPr>
        <w:spacing w:line="400" w:lineRule="exact"/>
        <w:ind w:firstLine="420"/>
        <w:rPr>
          <w:szCs w:val="21"/>
        </w:rPr>
      </w:pPr>
      <w:r>
        <w:rPr>
          <w:szCs w:val="21"/>
        </w:rPr>
        <w:t>4.2.5</w:t>
      </w:r>
      <w:r>
        <w:rPr>
          <w:rFonts w:hint="eastAsia"/>
          <w:szCs w:val="21"/>
        </w:rPr>
        <w:t>逾期送达的或者未送达指定地点的投标文件，招标人不予受理。</w:t>
      </w:r>
    </w:p>
    <w:p>
      <w:pPr>
        <w:spacing w:line="400" w:lineRule="exact"/>
        <w:ind w:firstLine="420"/>
        <w:rPr>
          <w:szCs w:val="21"/>
        </w:rPr>
      </w:pPr>
      <w:r>
        <w:rPr>
          <w:szCs w:val="21"/>
        </w:rPr>
        <w:t>4.2.6</w:t>
      </w:r>
      <w:r>
        <w:rPr>
          <w:rFonts w:hint="eastAsia"/>
          <w:szCs w:val="21"/>
        </w:rPr>
        <w:t>在特殊情况下，招标人如果决定延后投标截止时间，应在投标人须知前附表规定的时间前，以书面形式通知所有投标人延后投标截止时间。</w:t>
      </w:r>
    </w:p>
    <w:p>
      <w:pPr>
        <w:pStyle w:val="71"/>
        <w:outlineLvl w:val="2"/>
      </w:pPr>
      <w:bookmarkStart w:id="39" w:name="_Toc26481"/>
      <w:r>
        <w:t xml:space="preserve">4.3 </w:t>
      </w:r>
      <w:r>
        <w:rPr>
          <w:rFonts w:hint="eastAsia"/>
        </w:rPr>
        <w:t>投标文件的修改与撤回</w:t>
      </w:r>
      <w:bookmarkEnd w:id="39"/>
    </w:p>
    <w:p>
      <w:pPr>
        <w:spacing w:line="400" w:lineRule="exact"/>
        <w:ind w:firstLine="420"/>
        <w:rPr>
          <w:szCs w:val="21"/>
        </w:rPr>
      </w:pPr>
      <w:r>
        <w:rPr>
          <w:szCs w:val="21"/>
        </w:rPr>
        <w:t>4.3.1</w:t>
      </w:r>
      <w:r>
        <w:rPr>
          <w:rFonts w:hint="eastAsia"/>
          <w:szCs w:val="21"/>
        </w:rPr>
        <w:t>在投标人须知前附表第</w:t>
      </w:r>
      <w:r>
        <w:rPr>
          <w:szCs w:val="21"/>
        </w:rPr>
        <w:t>2.2.2</w:t>
      </w:r>
      <w:r>
        <w:rPr>
          <w:rFonts w:hint="eastAsia"/>
          <w:szCs w:val="21"/>
        </w:rPr>
        <w:t>项规定的投标截止时间前，投标人可以修改或撤回已递交的投标文件，但应以书面形式通知招标人。</w:t>
      </w:r>
    </w:p>
    <w:p>
      <w:pPr>
        <w:spacing w:line="400" w:lineRule="exact"/>
        <w:ind w:firstLine="420"/>
        <w:rPr>
          <w:szCs w:val="21"/>
        </w:rPr>
      </w:pPr>
      <w:r>
        <w:rPr>
          <w:szCs w:val="21"/>
        </w:rPr>
        <w:t>4.3.2</w:t>
      </w:r>
      <w:r>
        <w:rPr>
          <w:rFonts w:hint="eastAsia"/>
          <w:szCs w:val="21"/>
          <w:lang w:val="en-US" w:eastAsia="zh-CN"/>
        </w:rPr>
        <w:t xml:space="preserve"> </w:t>
      </w:r>
      <w:r>
        <w:rPr>
          <w:rFonts w:hint="eastAsia"/>
          <w:szCs w:val="21"/>
        </w:rPr>
        <w:t>投标人修改或撤回已递交投标文件的书面通知应按照本章第</w:t>
      </w:r>
      <w:r>
        <w:rPr>
          <w:szCs w:val="21"/>
        </w:rPr>
        <w:t>3.7.3</w:t>
      </w:r>
      <w:r>
        <w:rPr>
          <w:rFonts w:hint="eastAsia"/>
          <w:szCs w:val="21"/>
        </w:rPr>
        <w:t>项的要求签字或盖章。招标人收到书面通知后，向投标人出具签收凭证。</w:t>
      </w:r>
    </w:p>
    <w:p>
      <w:pPr>
        <w:spacing w:line="400" w:lineRule="exact"/>
        <w:ind w:firstLine="420"/>
        <w:rPr>
          <w:szCs w:val="21"/>
        </w:rPr>
      </w:pPr>
      <w:r>
        <w:rPr>
          <w:szCs w:val="21"/>
        </w:rPr>
        <w:t xml:space="preserve">4.3.3 </w:t>
      </w:r>
      <w:r>
        <w:rPr>
          <w:rFonts w:hint="eastAsia"/>
          <w:szCs w:val="21"/>
        </w:rPr>
        <w:t>修改的内容为投标文件的组成部分。修改的投标文件应按照本章第</w:t>
      </w:r>
      <w:r>
        <w:rPr>
          <w:szCs w:val="21"/>
        </w:rPr>
        <w:t>3</w:t>
      </w:r>
      <w:r>
        <w:rPr>
          <w:rFonts w:hint="eastAsia"/>
          <w:szCs w:val="21"/>
        </w:rPr>
        <w:t>条、第</w:t>
      </w:r>
      <w:r>
        <w:rPr>
          <w:szCs w:val="21"/>
        </w:rPr>
        <w:t>4</w:t>
      </w:r>
      <w:r>
        <w:rPr>
          <w:rFonts w:hint="eastAsia"/>
          <w:szCs w:val="21"/>
        </w:rPr>
        <w:t>条规定进行编制、密封、标记和递交，并标明“修改”字样。</w:t>
      </w:r>
    </w:p>
    <w:p>
      <w:pPr>
        <w:pStyle w:val="143"/>
        <w:outlineLvl w:val="1"/>
      </w:pPr>
      <w:bookmarkStart w:id="40" w:name="_Toc3010"/>
      <w:r>
        <w:t xml:space="preserve">5.  </w:t>
      </w:r>
      <w:r>
        <w:rPr>
          <w:rFonts w:hint="eastAsia"/>
        </w:rPr>
        <w:t>开标</w:t>
      </w:r>
      <w:bookmarkEnd w:id="40"/>
    </w:p>
    <w:p>
      <w:pPr>
        <w:pStyle w:val="71"/>
        <w:outlineLvl w:val="2"/>
      </w:pPr>
      <w:bookmarkStart w:id="41" w:name="_Toc25409"/>
      <w:r>
        <w:t xml:space="preserve">5.1 </w:t>
      </w:r>
      <w:r>
        <w:rPr>
          <w:rFonts w:hint="eastAsia"/>
        </w:rPr>
        <w:t>开标时间和地点</w:t>
      </w:r>
      <w:bookmarkEnd w:id="41"/>
    </w:p>
    <w:p>
      <w:pPr>
        <w:spacing w:line="400" w:lineRule="exact"/>
        <w:ind w:firstLine="420"/>
        <w:rPr>
          <w:szCs w:val="21"/>
          <w:highlight w:val="yellow"/>
        </w:rPr>
      </w:pPr>
      <w:r>
        <w:rPr>
          <w:rFonts w:hint="eastAsia"/>
          <w:szCs w:val="21"/>
          <w:lang w:val="zh-CN"/>
        </w:rPr>
        <w:t>开标仪式将于投标文件递交截止的同一时间在投标文件递交的同一地点举行，投标人应派其法定代表人或其授权代理人携带有效身份证明出席，若未前来出席开标会，则视为默认开标结果。</w:t>
      </w:r>
    </w:p>
    <w:p>
      <w:pPr>
        <w:pStyle w:val="143"/>
        <w:outlineLvl w:val="1"/>
      </w:pPr>
      <w:bookmarkStart w:id="42" w:name="_Toc17052"/>
      <w:r>
        <w:t xml:space="preserve">6. </w:t>
      </w:r>
      <w:r>
        <w:rPr>
          <w:rFonts w:hint="eastAsia"/>
        </w:rPr>
        <w:t>评标</w:t>
      </w:r>
      <w:bookmarkEnd w:id="42"/>
    </w:p>
    <w:p>
      <w:pPr>
        <w:pStyle w:val="71"/>
        <w:outlineLvl w:val="2"/>
      </w:pPr>
      <w:bookmarkStart w:id="43" w:name="_Toc6517"/>
      <w:r>
        <w:t xml:space="preserve">6.1 </w:t>
      </w:r>
      <w:r>
        <w:rPr>
          <w:rFonts w:hint="eastAsia"/>
        </w:rPr>
        <w:t>评标委员会</w:t>
      </w:r>
      <w:bookmarkEnd w:id="43"/>
    </w:p>
    <w:p>
      <w:pPr>
        <w:spacing w:line="400" w:lineRule="exact"/>
        <w:ind w:firstLine="420"/>
        <w:rPr>
          <w:szCs w:val="21"/>
        </w:rPr>
      </w:pPr>
      <w:r>
        <w:rPr>
          <w:szCs w:val="21"/>
        </w:rPr>
        <w:t>6.1.1</w:t>
      </w:r>
      <w:r>
        <w:rPr>
          <w:rFonts w:hint="eastAsia"/>
          <w:szCs w:val="21"/>
        </w:rPr>
        <w:t>评标由招标人组建的评标委员会负责。</w:t>
      </w:r>
    </w:p>
    <w:p>
      <w:pPr>
        <w:pStyle w:val="71"/>
        <w:outlineLvl w:val="2"/>
      </w:pPr>
      <w:bookmarkStart w:id="44" w:name="_Toc729"/>
      <w:r>
        <w:t xml:space="preserve">6.2 </w:t>
      </w:r>
      <w:r>
        <w:rPr>
          <w:rFonts w:hint="eastAsia"/>
        </w:rPr>
        <w:t>评标原则</w:t>
      </w:r>
      <w:bookmarkEnd w:id="44"/>
    </w:p>
    <w:p>
      <w:pPr>
        <w:spacing w:line="400" w:lineRule="exact"/>
        <w:ind w:firstLine="420"/>
        <w:rPr>
          <w:szCs w:val="21"/>
        </w:rPr>
      </w:pPr>
      <w:r>
        <w:rPr>
          <w:rFonts w:hint="eastAsia"/>
          <w:szCs w:val="21"/>
          <w:lang w:val="en-US" w:eastAsia="zh-CN"/>
        </w:rPr>
        <w:t xml:space="preserve">6.2.1 </w:t>
      </w:r>
      <w:r>
        <w:rPr>
          <w:rFonts w:hint="eastAsia"/>
          <w:szCs w:val="21"/>
        </w:rPr>
        <w:t>评标活动遵循公平、公正、科学和择优的原则。</w:t>
      </w:r>
    </w:p>
    <w:p>
      <w:pPr>
        <w:pStyle w:val="71"/>
        <w:outlineLvl w:val="2"/>
      </w:pPr>
      <w:bookmarkStart w:id="45" w:name="_Toc22229"/>
      <w:r>
        <w:t xml:space="preserve">6.3 </w:t>
      </w:r>
      <w:r>
        <w:rPr>
          <w:rFonts w:hint="eastAsia"/>
        </w:rPr>
        <w:t>评标</w:t>
      </w:r>
      <w:bookmarkEnd w:id="45"/>
    </w:p>
    <w:p>
      <w:pPr>
        <w:spacing w:line="400" w:lineRule="exact"/>
        <w:ind w:firstLine="420"/>
        <w:rPr>
          <w:szCs w:val="21"/>
        </w:rPr>
      </w:pPr>
      <w:r>
        <w:rPr>
          <w:rFonts w:hint="eastAsia"/>
          <w:szCs w:val="21"/>
          <w:lang w:val="en-US" w:eastAsia="zh-CN"/>
        </w:rPr>
        <w:t xml:space="preserve">6.3.1 </w:t>
      </w:r>
      <w:r>
        <w:rPr>
          <w:rFonts w:hint="eastAsia"/>
          <w:szCs w:val="21"/>
        </w:rPr>
        <w:t>评标委员会按照第三章“评标办法”规定的方法、评审因素、标准和程序对投标文件进行评审。第三章“评标办法”没有规定的方法、评审因素和标准，不作为评标依据。</w:t>
      </w:r>
    </w:p>
    <w:p>
      <w:pPr>
        <w:pStyle w:val="143"/>
        <w:outlineLvl w:val="1"/>
      </w:pPr>
      <w:bookmarkStart w:id="46" w:name="_Toc23707"/>
      <w:r>
        <w:t xml:space="preserve">7. </w:t>
      </w:r>
      <w:r>
        <w:rPr>
          <w:rFonts w:hint="eastAsia"/>
        </w:rPr>
        <w:t>合同授予</w:t>
      </w:r>
      <w:bookmarkEnd w:id="46"/>
    </w:p>
    <w:p>
      <w:pPr>
        <w:pStyle w:val="71"/>
        <w:outlineLvl w:val="2"/>
      </w:pPr>
      <w:bookmarkStart w:id="47" w:name="_Toc28551"/>
      <w:r>
        <w:t xml:space="preserve">7.1 </w:t>
      </w:r>
      <w:r>
        <w:rPr>
          <w:rFonts w:hint="eastAsia"/>
        </w:rPr>
        <w:t>定标方式</w:t>
      </w:r>
      <w:bookmarkEnd w:id="47"/>
    </w:p>
    <w:p>
      <w:pPr>
        <w:spacing w:line="400" w:lineRule="exact"/>
        <w:ind w:firstLine="420"/>
        <w:rPr>
          <w:szCs w:val="21"/>
        </w:rPr>
      </w:pPr>
      <w:r>
        <w:rPr>
          <w:szCs w:val="21"/>
        </w:rPr>
        <w:t xml:space="preserve">7.1.1 </w:t>
      </w:r>
      <w:r>
        <w:rPr>
          <w:rFonts w:hint="eastAsia"/>
          <w:szCs w:val="21"/>
        </w:rPr>
        <w:t>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0"/>
        <w:rPr>
          <w:rFonts w:hint="default" w:eastAsia="宋体"/>
          <w:szCs w:val="21"/>
          <w:lang w:val="en-US" w:eastAsia="zh-CN"/>
        </w:rPr>
      </w:pPr>
      <w:r>
        <w:rPr>
          <w:szCs w:val="21"/>
        </w:rPr>
        <w:t xml:space="preserve">7.1.2 </w:t>
      </w:r>
      <w:r>
        <w:rPr>
          <w:rFonts w:hint="eastAsia"/>
          <w:szCs w:val="21"/>
        </w:rPr>
        <w:t>招标人应当接受评标委员会推荐的中标候选人，不得在评标委员会推荐的中标候选人之外确定中标人。</w:t>
      </w:r>
      <w:r>
        <w:rPr>
          <w:rFonts w:hint="eastAsia"/>
          <w:szCs w:val="21"/>
          <w:lang w:val="en-US" w:eastAsia="zh-CN"/>
        </w:rPr>
        <w:t>中标人确定方式见投标人须知前附表。</w:t>
      </w:r>
    </w:p>
    <w:p>
      <w:pPr>
        <w:spacing w:line="400" w:lineRule="exact"/>
        <w:ind w:firstLine="420"/>
        <w:rPr>
          <w:szCs w:val="21"/>
        </w:rPr>
      </w:pPr>
      <w:r>
        <w:rPr>
          <w:szCs w:val="21"/>
        </w:rPr>
        <w:t>7.1.3</w:t>
      </w:r>
      <w:r>
        <w:rPr>
          <w:rFonts w:hint="eastAsia"/>
          <w:szCs w:val="21"/>
        </w:rPr>
        <w:t>招标人原则上应在评标委员会提出书面报告后的</w:t>
      </w:r>
      <w:r>
        <w:rPr>
          <w:szCs w:val="21"/>
        </w:rPr>
        <w:t>15</w:t>
      </w:r>
      <w:r>
        <w:rPr>
          <w:rFonts w:hint="eastAsia"/>
          <w:szCs w:val="21"/>
        </w:rPr>
        <w:t>日内确定中标人。</w:t>
      </w:r>
    </w:p>
    <w:p>
      <w:pPr>
        <w:pStyle w:val="71"/>
        <w:outlineLvl w:val="2"/>
      </w:pPr>
      <w:bookmarkStart w:id="48" w:name="_Toc3515"/>
      <w:r>
        <w:t xml:space="preserve">7.2 </w:t>
      </w:r>
      <w:r>
        <w:rPr>
          <w:rFonts w:hint="eastAsia"/>
        </w:rPr>
        <w:t>中标公示</w:t>
      </w:r>
      <w:bookmarkEnd w:id="48"/>
    </w:p>
    <w:p>
      <w:pPr>
        <w:spacing w:line="400" w:lineRule="exact"/>
        <w:ind w:firstLine="420"/>
        <w:rPr>
          <w:szCs w:val="21"/>
        </w:rPr>
      </w:pPr>
      <w:r>
        <w:rPr>
          <w:rFonts w:hint="eastAsia"/>
          <w:szCs w:val="21"/>
        </w:rPr>
        <w:t>招标人自确定中标人之日起，应在与发布招标公告一致的媒介上发布中标公示，公示期为3个日历日。</w:t>
      </w:r>
    </w:p>
    <w:p>
      <w:pPr>
        <w:pStyle w:val="71"/>
        <w:outlineLvl w:val="2"/>
      </w:pPr>
      <w:bookmarkStart w:id="49" w:name="_Toc8997"/>
      <w:r>
        <w:t xml:space="preserve">7.3 </w:t>
      </w:r>
      <w:r>
        <w:rPr>
          <w:rFonts w:hint="eastAsia"/>
        </w:rPr>
        <w:t>中标通知</w:t>
      </w:r>
      <w:bookmarkEnd w:id="49"/>
    </w:p>
    <w:p>
      <w:pPr>
        <w:spacing w:line="400" w:lineRule="exact"/>
        <w:ind w:firstLine="420"/>
        <w:rPr>
          <w:szCs w:val="21"/>
        </w:rPr>
      </w:pPr>
      <w:r>
        <w:rPr>
          <w:rFonts w:hint="eastAsia"/>
          <w:szCs w:val="21"/>
        </w:rPr>
        <w:t>中标公示期满后，无投标人或其他利害关系人投诉，监督部门没有发现招投标活动中存在违法违规行为的，招标人将在本章第</w:t>
      </w:r>
      <w:r>
        <w:rPr>
          <w:szCs w:val="21"/>
        </w:rPr>
        <w:t xml:space="preserve">3.3 </w:t>
      </w:r>
      <w:r>
        <w:rPr>
          <w:rFonts w:hint="eastAsia"/>
          <w:szCs w:val="21"/>
        </w:rPr>
        <w:t>款规定的投标有效期内，以书面形式向中标人发出中标通知书，同时将中标结果通知未中标的投标人。</w:t>
      </w:r>
    </w:p>
    <w:p>
      <w:pPr>
        <w:spacing w:line="400" w:lineRule="exact"/>
        <w:outlineLvl w:val="2"/>
        <w:rPr>
          <w:sz w:val="24"/>
        </w:rPr>
      </w:pPr>
      <w:bookmarkStart w:id="50" w:name="_Toc29701"/>
      <w:r>
        <w:rPr>
          <w:rStyle w:val="70"/>
        </w:rPr>
        <w:t>7.</w:t>
      </w:r>
      <w:r>
        <w:rPr>
          <w:rStyle w:val="70"/>
          <w:rFonts w:hint="eastAsia"/>
        </w:rPr>
        <w:t>4</w:t>
      </w:r>
      <w:r>
        <w:rPr>
          <w:rStyle w:val="70"/>
        </w:rPr>
        <w:t xml:space="preserve"> </w:t>
      </w:r>
      <w:r>
        <w:rPr>
          <w:rStyle w:val="70"/>
          <w:rFonts w:hint="eastAsia"/>
        </w:rPr>
        <w:t>签订合同</w:t>
      </w:r>
      <w:bookmarkEnd w:id="50"/>
    </w:p>
    <w:p>
      <w:pPr>
        <w:spacing w:line="400" w:lineRule="exact"/>
        <w:ind w:firstLine="420"/>
        <w:rPr>
          <w:szCs w:val="21"/>
        </w:rPr>
      </w:pPr>
      <w:r>
        <w:rPr>
          <w:szCs w:val="21"/>
        </w:rPr>
        <w:t>7.</w:t>
      </w:r>
      <w:r>
        <w:rPr>
          <w:rFonts w:hint="eastAsia"/>
          <w:szCs w:val="21"/>
        </w:rPr>
        <w:t>4</w:t>
      </w:r>
      <w:r>
        <w:rPr>
          <w:szCs w:val="21"/>
        </w:rPr>
        <w:t>.1</w:t>
      </w:r>
      <w:r>
        <w:rPr>
          <w:rFonts w:hint="eastAsia"/>
          <w:szCs w:val="21"/>
        </w:rPr>
        <w:t>招标人和中标人应当自中标通知书发出之日起</w:t>
      </w:r>
      <w:r>
        <w:rPr>
          <w:szCs w:val="21"/>
        </w:rPr>
        <w:t>30</w:t>
      </w:r>
      <w:r>
        <w:rPr>
          <w:rFonts w:hint="eastAsia"/>
          <w:szCs w:val="21"/>
        </w:rPr>
        <w:t>天内，根据招标文件和中标人的投标文件订立书面合同。中标人无正当理由拒签合同的，给招标人造成的损失的，中标人还应当予以赔偿。</w:t>
      </w:r>
    </w:p>
    <w:p>
      <w:pPr>
        <w:pStyle w:val="143"/>
        <w:outlineLvl w:val="1"/>
      </w:pPr>
      <w:bookmarkStart w:id="51" w:name="_Toc27264"/>
      <w:r>
        <w:rPr>
          <w:rFonts w:hint="eastAsia"/>
        </w:rPr>
        <w:t>8</w:t>
      </w:r>
      <w:r>
        <w:t xml:space="preserve">.  </w:t>
      </w:r>
      <w:r>
        <w:rPr>
          <w:rFonts w:hint="eastAsia"/>
        </w:rPr>
        <w:t>纪律和监督</w:t>
      </w:r>
      <w:bookmarkEnd w:id="51"/>
    </w:p>
    <w:p>
      <w:pPr>
        <w:pStyle w:val="71"/>
        <w:outlineLvl w:val="2"/>
      </w:pPr>
      <w:bookmarkStart w:id="52" w:name="_Toc13933"/>
      <w:r>
        <w:rPr>
          <w:rFonts w:hint="eastAsia"/>
        </w:rPr>
        <w:t>8</w:t>
      </w:r>
      <w:r>
        <w:t xml:space="preserve">.1 </w:t>
      </w:r>
      <w:r>
        <w:rPr>
          <w:rFonts w:hint="eastAsia"/>
        </w:rPr>
        <w:t>对招标人的纪律要求</w:t>
      </w:r>
      <w:bookmarkEnd w:id="52"/>
    </w:p>
    <w:p>
      <w:pPr>
        <w:spacing w:line="400" w:lineRule="exact"/>
        <w:ind w:firstLine="420"/>
        <w:rPr>
          <w:szCs w:val="21"/>
        </w:rPr>
      </w:pPr>
      <w:r>
        <w:rPr>
          <w:rFonts w:hint="eastAsia"/>
          <w:szCs w:val="21"/>
        </w:rPr>
        <w:t>招标人不得泄漏招标投标活动中应当保密的情况和资料，不得与投标人串通损害国家利益、社会公共利益或者他人合法权益。</w:t>
      </w:r>
    </w:p>
    <w:p>
      <w:pPr>
        <w:pStyle w:val="71"/>
        <w:outlineLvl w:val="2"/>
      </w:pPr>
      <w:bookmarkStart w:id="53" w:name="_Toc17529"/>
      <w:r>
        <w:rPr>
          <w:rFonts w:hint="eastAsia"/>
        </w:rPr>
        <w:t>8</w:t>
      </w:r>
      <w:r>
        <w:t xml:space="preserve">.2 </w:t>
      </w:r>
      <w:r>
        <w:rPr>
          <w:rFonts w:hint="eastAsia"/>
        </w:rPr>
        <w:t>对投标人的纪律要求</w:t>
      </w:r>
      <w:bookmarkEnd w:id="53"/>
    </w:p>
    <w:p>
      <w:pPr>
        <w:spacing w:line="400" w:lineRule="exact"/>
        <w:ind w:firstLine="420"/>
        <w:rPr>
          <w:szCs w:val="21"/>
        </w:rPr>
      </w:pPr>
      <w:r>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1"/>
        <w:outlineLvl w:val="2"/>
      </w:pPr>
      <w:bookmarkStart w:id="54" w:name="_Toc1295"/>
      <w:r>
        <w:rPr>
          <w:rFonts w:hint="eastAsia"/>
        </w:rPr>
        <w:t>8</w:t>
      </w:r>
      <w:r>
        <w:t xml:space="preserve">.3 </w:t>
      </w:r>
      <w:r>
        <w:rPr>
          <w:rFonts w:hint="eastAsia"/>
        </w:rPr>
        <w:t>对评标委员会成员的纪律要求</w:t>
      </w:r>
      <w:bookmarkEnd w:id="54"/>
    </w:p>
    <w:p>
      <w:pPr>
        <w:spacing w:line="400" w:lineRule="exact"/>
        <w:ind w:firstLine="420"/>
        <w:rPr>
          <w:szCs w:val="21"/>
        </w:rPr>
      </w:pPr>
      <w:r>
        <w:rPr>
          <w:rFonts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w:t>
      </w:r>
      <w:r>
        <w:rPr>
          <w:szCs w:val="21"/>
        </w:rPr>
        <w:t xml:space="preserve"> </w:t>
      </w:r>
      <w:r>
        <w:rPr>
          <w:rFonts w:hint="eastAsia"/>
          <w:szCs w:val="21"/>
        </w:rPr>
        <w:t>标准进行评标。</w:t>
      </w:r>
    </w:p>
    <w:p>
      <w:pPr>
        <w:pStyle w:val="71"/>
        <w:outlineLvl w:val="2"/>
      </w:pPr>
      <w:bookmarkStart w:id="55" w:name="_Toc658"/>
      <w:r>
        <w:rPr>
          <w:rFonts w:hint="eastAsia"/>
        </w:rPr>
        <w:t>8</w:t>
      </w:r>
      <w:r>
        <w:t xml:space="preserve">.4 </w:t>
      </w:r>
      <w:r>
        <w:rPr>
          <w:rFonts w:hint="eastAsia"/>
        </w:rPr>
        <w:t>对与评标活动有关的工作人员的纪律要求</w:t>
      </w:r>
      <w:bookmarkEnd w:id="55"/>
    </w:p>
    <w:p>
      <w:pPr>
        <w:spacing w:line="400" w:lineRule="exact"/>
        <w:ind w:firstLine="420"/>
        <w:rPr>
          <w:szCs w:val="21"/>
        </w:rPr>
      </w:pPr>
      <w:r>
        <w:rPr>
          <w:rFonts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43"/>
        <w:outlineLvl w:val="1"/>
      </w:pPr>
      <w:bookmarkStart w:id="56" w:name="_Toc3562"/>
      <w:r>
        <w:rPr>
          <w:rFonts w:hint="eastAsia"/>
        </w:rPr>
        <w:t>9.</w:t>
      </w:r>
      <w:r>
        <w:t xml:space="preserve">  补充内容</w:t>
      </w:r>
      <w:bookmarkEnd w:id="56"/>
    </w:p>
    <w:p>
      <w:pPr>
        <w:spacing w:line="400" w:lineRule="exact"/>
        <w:ind w:firstLine="420" w:firstLineChars="200"/>
      </w:pPr>
      <w:r>
        <w:rPr>
          <w:rFonts w:hint="eastAsia"/>
        </w:rPr>
        <w:t>见投标人须知前附表。</w:t>
      </w:r>
    </w:p>
    <w:p>
      <w:pPr>
        <w:spacing w:line="400" w:lineRule="exact"/>
        <w:ind w:firstLine="420" w:firstLineChars="200"/>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43"/>
      </w:pPr>
    </w:p>
    <w:p>
      <w:pPr>
        <w:pStyle w:val="107"/>
        <w:outlineLvl w:val="0"/>
      </w:pPr>
      <w:bookmarkStart w:id="57" w:name="_Toc303840941"/>
      <w:bookmarkStart w:id="58" w:name="_Toc23339"/>
      <w:bookmarkStart w:id="59" w:name="_Toc286357741"/>
      <w:bookmarkStart w:id="60" w:name="_Toc29882"/>
      <w:bookmarkStart w:id="61" w:name="_Toc303840942"/>
      <w:bookmarkStart w:id="62" w:name="_Toc286357739"/>
      <w:r>
        <w:rPr>
          <w:rFonts w:hint="eastAsia"/>
        </w:rPr>
        <w:t>第三章</w:t>
      </w:r>
      <w:r>
        <w:t xml:space="preserve"> </w:t>
      </w:r>
      <w:r>
        <w:rPr>
          <w:rFonts w:hint="eastAsia"/>
        </w:rPr>
        <w:t>评标办法（综合评估法）</w:t>
      </w:r>
      <w:bookmarkEnd w:id="57"/>
      <w:bookmarkEnd w:id="58"/>
    </w:p>
    <w:p>
      <w:bookmarkStart w:id="63" w:name="_Toc286406822"/>
      <w:r>
        <w:rPr>
          <w:rFonts w:hint="eastAsia"/>
        </w:rPr>
        <w:t>评标办法前附表</w:t>
      </w:r>
      <w:bookmarkEnd w:id="63"/>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706"/>
        <w:gridCol w:w="356"/>
        <w:gridCol w:w="1038"/>
        <w:gridCol w:w="1124"/>
        <w:gridCol w:w="722"/>
        <w:gridCol w:w="720"/>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jc w:val="left"/>
              <w:rPr>
                <w:rFonts w:hint="eastAsia" w:ascii="宋体" w:hAnsi="宋体" w:eastAsia="宋体" w:cs="宋体"/>
                <w:b/>
                <w:bCs/>
                <w:sz w:val="18"/>
                <w:szCs w:val="18"/>
              </w:rPr>
            </w:pPr>
            <w:r>
              <w:rPr>
                <w:rFonts w:hint="eastAsia" w:ascii="宋体" w:hAnsi="宋体" w:eastAsia="宋体" w:cs="宋体"/>
                <w:b/>
                <w:bCs/>
                <w:kern w:val="0"/>
                <w:sz w:val="18"/>
                <w:szCs w:val="18"/>
              </w:rPr>
              <w:t>条款号</w:t>
            </w:r>
          </w:p>
        </w:tc>
        <w:tc>
          <w:tcPr>
            <w:tcW w:w="2518" w:type="dxa"/>
            <w:gridSpan w:val="3"/>
            <w:vAlign w:val="center"/>
          </w:tcPr>
          <w:p>
            <w:pPr>
              <w:jc w:val="left"/>
              <w:rPr>
                <w:rFonts w:hint="eastAsia" w:ascii="宋体" w:hAnsi="宋体" w:eastAsia="宋体" w:cs="宋体"/>
                <w:b/>
                <w:bCs/>
                <w:sz w:val="18"/>
                <w:szCs w:val="18"/>
              </w:rPr>
            </w:pPr>
            <w:r>
              <w:rPr>
                <w:rFonts w:hint="eastAsia" w:ascii="宋体" w:hAnsi="宋体" w:eastAsia="宋体" w:cs="宋体"/>
                <w:b/>
                <w:bCs/>
                <w:kern w:val="0"/>
                <w:sz w:val="18"/>
                <w:szCs w:val="18"/>
              </w:rPr>
              <w:t>评审因素</w:t>
            </w:r>
          </w:p>
        </w:tc>
        <w:tc>
          <w:tcPr>
            <w:tcW w:w="4276" w:type="dxa"/>
            <w:gridSpan w:val="3"/>
            <w:vAlign w:val="center"/>
          </w:tcPr>
          <w:p>
            <w:pPr>
              <w:jc w:val="left"/>
              <w:rPr>
                <w:rFonts w:hint="eastAsia" w:ascii="宋体" w:hAnsi="宋体" w:eastAsia="宋体" w:cs="宋体"/>
                <w:b/>
                <w:bCs/>
                <w:sz w:val="18"/>
                <w:szCs w:val="18"/>
              </w:rPr>
            </w:pPr>
            <w:r>
              <w:rPr>
                <w:rFonts w:hint="eastAsia" w:ascii="宋体" w:hAnsi="宋体" w:eastAsia="宋体" w:cs="宋体"/>
                <w:b/>
                <w:bCs/>
                <w:kern w:val="0"/>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rPr>
                <w:rFonts w:hint="eastAsia" w:ascii="宋体" w:hAnsi="宋体" w:eastAsia="宋体" w:cs="宋体"/>
                <w:sz w:val="18"/>
                <w:szCs w:val="18"/>
              </w:rPr>
            </w:pPr>
            <w:r>
              <w:rPr>
                <w:rFonts w:hint="eastAsia" w:ascii="宋体" w:hAnsi="宋体" w:cs="宋体"/>
                <w:spacing w:val="1"/>
                <w:kern w:val="0"/>
                <w:sz w:val="18"/>
                <w:szCs w:val="18"/>
                <w:lang w:val="en-US" w:eastAsia="zh-CN"/>
              </w:rPr>
              <w:t>3</w:t>
            </w:r>
            <w:r>
              <w:rPr>
                <w:rFonts w:hint="eastAsia" w:ascii="宋体" w:hAnsi="宋体" w:eastAsia="宋体" w:cs="宋体"/>
                <w:spacing w:val="-1"/>
                <w:kern w:val="0"/>
                <w:sz w:val="18"/>
                <w:szCs w:val="18"/>
              </w:rPr>
              <w:t>.</w:t>
            </w:r>
            <w:r>
              <w:rPr>
                <w:rFonts w:hint="eastAsia" w:ascii="宋体" w:hAnsi="宋体" w:eastAsia="宋体" w:cs="宋体"/>
                <w:spacing w:val="1"/>
                <w:kern w:val="0"/>
                <w:sz w:val="18"/>
                <w:szCs w:val="18"/>
              </w:rPr>
              <w:t>1</w:t>
            </w:r>
            <w:r>
              <w:rPr>
                <w:rFonts w:hint="eastAsia" w:ascii="宋体" w:hAnsi="宋体" w:eastAsia="宋体" w:cs="宋体"/>
                <w:spacing w:val="-1"/>
                <w:kern w:val="0"/>
                <w:sz w:val="18"/>
                <w:szCs w:val="18"/>
              </w:rPr>
              <w:t>.</w:t>
            </w:r>
            <w:r>
              <w:rPr>
                <w:rFonts w:hint="eastAsia" w:ascii="宋体" w:hAnsi="宋体" w:eastAsia="宋体" w:cs="宋体"/>
                <w:kern w:val="0"/>
                <w:sz w:val="18"/>
                <w:szCs w:val="18"/>
              </w:rPr>
              <w:t>1</w:t>
            </w:r>
          </w:p>
        </w:tc>
        <w:tc>
          <w:tcPr>
            <w:tcW w:w="706" w:type="dxa"/>
            <w:vMerge w:val="restart"/>
            <w:vAlign w:val="center"/>
          </w:tcPr>
          <w:p>
            <w:pPr>
              <w:rPr>
                <w:rFonts w:hint="eastAsia" w:ascii="宋体" w:hAnsi="宋体" w:eastAsia="宋体" w:cs="宋体"/>
                <w:sz w:val="18"/>
                <w:szCs w:val="18"/>
              </w:rPr>
            </w:pPr>
            <w:r>
              <w:rPr>
                <w:rFonts w:hint="eastAsia" w:ascii="宋体" w:hAnsi="宋体" w:eastAsia="宋体" w:cs="宋体"/>
                <w:kern w:val="0"/>
                <w:sz w:val="18"/>
                <w:szCs w:val="18"/>
              </w:rPr>
              <w:t>形式评审标准</w:t>
            </w: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投标文件的组成、装订、 数量、密封和标记</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符合第二章“投标人须知”第3.7项、4.1项及附录二规定要求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投标人名称</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与营业执照、资质证书可证一致，与通过报名的单位名称一致（若不一致应提供相关部门的合法批件）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投标文件的签署及盖章</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投标文件格式</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符合第五章“投标文件格式”的要求，按招标文件规定格式填报了所有数据，字迹清晰可辨，并符合招标文件其他规定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授权委托书</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投标文件由授权委托人签署的，应按照招标文件的格式出具授权委托书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报价唯一</w:t>
            </w:r>
          </w:p>
        </w:tc>
        <w:tc>
          <w:tcPr>
            <w:tcW w:w="4276"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投标报价</w:t>
            </w:r>
          </w:p>
        </w:tc>
        <w:tc>
          <w:tcPr>
            <w:tcW w:w="4276" w:type="dxa"/>
            <w:gridSpan w:val="3"/>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其它</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rPr>
                <w:rFonts w:hint="eastAsia" w:ascii="宋体" w:hAnsi="宋体" w:eastAsia="宋体" w:cs="宋体"/>
                <w:sz w:val="18"/>
                <w:szCs w:val="18"/>
              </w:rPr>
            </w:pPr>
            <w:r>
              <w:rPr>
                <w:rFonts w:hint="eastAsia" w:ascii="宋体" w:hAnsi="宋体" w:cs="宋体"/>
                <w:spacing w:val="1"/>
                <w:kern w:val="0"/>
                <w:sz w:val="18"/>
                <w:szCs w:val="18"/>
                <w:lang w:val="en-US" w:eastAsia="zh-CN"/>
              </w:rPr>
              <w:t>3</w:t>
            </w:r>
            <w:r>
              <w:rPr>
                <w:rFonts w:hint="eastAsia" w:ascii="宋体" w:hAnsi="宋体" w:eastAsia="宋体" w:cs="宋体"/>
                <w:spacing w:val="-1"/>
                <w:kern w:val="0"/>
                <w:sz w:val="18"/>
                <w:szCs w:val="18"/>
              </w:rPr>
              <w:t>.</w:t>
            </w:r>
            <w:r>
              <w:rPr>
                <w:rFonts w:hint="eastAsia" w:ascii="宋体" w:hAnsi="宋体" w:eastAsia="宋体" w:cs="宋体"/>
                <w:spacing w:val="1"/>
                <w:kern w:val="0"/>
                <w:sz w:val="18"/>
                <w:szCs w:val="18"/>
              </w:rPr>
              <w:t>1</w:t>
            </w:r>
            <w:r>
              <w:rPr>
                <w:rFonts w:hint="eastAsia" w:ascii="宋体" w:hAnsi="宋体" w:eastAsia="宋体" w:cs="宋体"/>
                <w:spacing w:val="-1"/>
                <w:kern w:val="0"/>
                <w:sz w:val="18"/>
                <w:szCs w:val="18"/>
              </w:rPr>
              <w:t>.</w:t>
            </w:r>
            <w:r>
              <w:rPr>
                <w:rFonts w:hint="eastAsia" w:ascii="宋体" w:hAnsi="宋体" w:eastAsia="宋体" w:cs="宋体"/>
                <w:kern w:val="0"/>
                <w:sz w:val="18"/>
                <w:szCs w:val="18"/>
              </w:rPr>
              <w:t>2</w:t>
            </w:r>
          </w:p>
        </w:tc>
        <w:tc>
          <w:tcPr>
            <w:tcW w:w="706" w:type="dxa"/>
            <w:vMerge w:val="restart"/>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资格评审标准</w:t>
            </w: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资质等级</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符合</w:t>
            </w:r>
            <w:r>
              <w:rPr>
                <w:rFonts w:hint="eastAsia" w:ascii="宋体" w:hAnsi="宋体" w:eastAsia="宋体" w:cs="宋体"/>
                <w:sz w:val="18"/>
                <w:szCs w:val="18"/>
                <w:lang w:val="en-US" w:eastAsia="zh-CN"/>
              </w:rPr>
              <w:t>招标文件第一章</w:t>
            </w:r>
            <w:r>
              <w:rPr>
                <w:rFonts w:hint="eastAsia" w:ascii="宋体" w:hAnsi="宋体" w:eastAsia="宋体" w:cs="宋体"/>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业绩要求</w:t>
            </w:r>
          </w:p>
        </w:tc>
        <w:tc>
          <w:tcPr>
            <w:tcW w:w="4276" w:type="dxa"/>
            <w:gridSpan w:val="3"/>
            <w:vAlign w:val="top"/>
          </w:tcPr>
          <w:p>
            <w:pPr>
              <w:rPr>
                <w:rFonts w:hint="eastAsia" w:ascii="宋体" w:hAnsi="宋体" w:eastAsia="宋体" w:cs="宋体"/>
                <w:b/>
                <w:bCs/>
                <w:kern w:val="2"/>
                <w:sz w:val="18"/>
                <w:szCs w:val="18"/>
                <w:lang w:val="en-US" w:eastAsia="zh-CN" w:bidi="ar-SA"/>
              </w:rPr>
            </w:pPr>
            <w:r>
              <w:rPr>
                <w:rFonts w:hint="eastAsia" w:ascii="宋体" w:hAnsi="宋体" w:eastAsia="宋体" w:cs="宋体"/>
                <w:sz w:val="18"/>
                <w:szCs w:val="18"/>
              </w:rPr>
              <w:t>符合</w:t>
            </w:r>
            <w:r>
              <w:rPr>
                <w:rFonts w:hint="eastAsia" w:ascii="宋体" w:hAnsi="宋体" w:eastAsia="宋体" w:cs="宋体"/>
                <w:sz w:val="18"/>
                <w:szCs w:val="18"/>
                <w:lang w:val="en-US" w:eastAsia="zh-CN"/>
              </w:rPr>
              <w:t>招标文件第一章</w:t>
            </w:r>
            <w:r>
              <w:rPr>
                <w:rFonts w:hint="eastAsia" w:ascii="宋体" w:hAnsi="宋体" w:eastAsia="宋体" w:cs="宋体"/>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信誉要求</w:t>
            </w:r>
          </w:p>
        </w:tc>
        <w:tc>
          <w:tcPr>
            <w:tcW w:w="4276" w:type="dxa"/>
            <w:gridSpan w:val="3"/>
            <w:vAlign w:val="top"/>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符合</w:t>
            </w:r>
            <w:r>
              <w:rPr>
                <w:rFonts w:hint="eastAsia" w:ascii="宋体" w:hAnsi="宋体" w:eastAsia="宋体" w:cs="宋体"/>
                <w:sz w:val="18"/>
                <w:szCs w:val="18"/>
                <w:lang w:val="en-US" w:eastAsia="zh-CN"/>
              </w:rPr>
              <w:t>招标文件第一章</w:t>
            </w:r>
            <w:r>
              <w:rPr>
                <w:rFonts w:hint="eastAsia" w:ascii="宋体" w:hAnsi="宋体" w:eastAsia="宋体" w:cs="宋体"/>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项目负责人要求</w:t>
            </w:r>
          </w:p>
        </w:tc>
        <w:tc>
          <w:tcPr>
            <w:tcW w:w="4276" w:type="dxa"/>
            <w:gridSpan w:val="3"/>
            <w:vAlign w:val="top"/>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符合</w:t>
            </w:r>
            <w:r>
              <w:rPr>
                <w:rFonts w:hint="eastAsia" w:ascii="宋体" w:hAnsi="宋体" w:eastAsia="宋体" w:cs="宋体"/>
                <w:sz w:val="18"/>
                <w:szCs w:val="18"/>
                <w:lang w:val="en-US" w:eastAsia="zh-CN"/>
              </w:rPr>
              <w:t>招标文件第一章</w:t>
            </w:r>
            <w:r>
              <w:rPr>
                <w:rFonts w:hint="eastAsia" w:ascii="宋体" w:hAnsi="宋体" w:eastAsia="宋体" w:cs="宋体"/>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其他要求</w:t>
            </w:r>
          </w:p>
        </w:tc>
        <w:tc>
          <w:tcPr>
            <w:tcW w:w="4276" w:type="dxa"/>
            <w:gridSpan w:val="3"/>
            <w:vAlign w:val="top"/>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符合</w:t>
            </w:r>
            <w:r>
              <w:rPr>
                <w:rFonts w:hint="eastAsia" w:ascii="宋体" w:hAnsi="宋体" w:eastAsia="宋体" w:cs="宋体"/>
                <w:sz w:val="18"/>
                <w:szCs w:val="18"/>
                <w:lang w:val="en-US" w:eastAsia="zh-CN"/>
              </w:rPr>
              <w:t>招标文件第一章</w:t>
            </w:r>
            <w:r>
              <w:rPr>
                <w:rFonts w:hint="eastAsia" w:ascii="宋体" w:hAnsi="宋体" w:eastAsia="宋体" w:cs="宋体"/>
                <w:sz w:val="18"/>
                <w:szCs w:val="1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rPr>
                <w:rFonts w:hint="eastAsia" w:ascii="宋体" w:hAnsi="宋体" w:eastAsia="宋体" w:cs="宋体"/>
                <w:sz w:val="18"/>
                <w:szCs w:val="18"/>
              </w:rPr>
            </w:pPr>
            <w:r>
              <w:rPr>
                <w:rFonts w:hint="eastAsia" w:ascii="宋体" w:hAnsi="宋体" w:cs="宋体"/>
                <w:spacing w:val="1"/>
                <w:kern w:val="0"/>
                <w:sz w:val="18"/>
                <w:szCs w:val="18"/>
                <w:lang w:val="en-US" w:eastAsia="zh-CN"/>
              </w:rPr>
              <w:t>3</w:t>
            </w:r>
            <w:r>
              <w:rPr>
                <w:rFonts w:hint="eastAsia" w:ascii="宋体" w:hAnsi="宋体" w:eastAsia="宋体" w:cs="宋体"/>
                <w:spacing w:val="-1"/>
                <w:kern w:val="0"/>
                <w:sz w:val="18"/>
                <w:szCs w:val="18"/>
              </w:rPr>
              <w:t>.</w:t>
            </w:r>
            <w:r>
              <w:rPr>
                <w:rFonts w:hint="eastAsia" w:ascii="宋体" w:hAnsi="宋体" w:eastAsia="宋体" w:cs="宋体"/>
                <w:spacing w:val="1"/>
                <w:kern w:val="0"/>
                <w:sz w:val="18"/>
                <w:szCs w:val="18"/>
              </w:rPr>
              <w:t>1</w:t>
            </w:r>
            <w:r>
              <w:rPr>
                <w:rFonts w:hint="eastAsia" w:ascii="宋体" w:hAnsi="宋体" w:eastAsia="宋体" w:cs="宋体"/>
                <w:spacing w:val="-1"/>
                <w:kern w:val="0"/>
                <w:sz w:val="18"/>
                <w:szCs w:val="18"/>
              </w:rPr>
              <w:t>.</w:t>
            </w:r>
            <w:r>
              <w:rPr>
                <w:rFonts w:hint="eastAsia" w:ascii="宋体" w:hAnsi="宋体" w:eastAsia="宋体" w:cs="宋体"/>
                <w:kern w:val="0"/>
                <w:sz w:val="18"/>
                <w:szCs w:val="18"/>
              </w:rPr>
              <w:t>3</w:t>
            </w:r>
          </w:p>
        </w:tc>
        <w:tc>
          <w:tcPr>
            <w:tcW w:w="706"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响应性评审标准</w:t>
            </w: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投标内容</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符合第二章“投标人须知”第1.3.1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服务周期</w:t>
            </w:r>
          </w:p>
        </w:tc>
        <w:tc>
          <w:tcPr>
            <w:tcW w:w="4276" w:type="dxa"/>
            <w:gridSpan w:val="3"/>
          </w:tcPr>
          <w:p>
            <w:pPr>
              <w:rPr>
                <w:rFonts w:hint="eastAsia" w:ascii="宋体" w:hAnsi="宋体" w:eastAsia="宋体" w:cs="宋体"/>
                <w:b/>
                <w:sz w:val="18"/>
                <w:szCs w:val="18"/>
              </w:rPr>
            </w:pPr>
            <w:r>
              <w:rPr>
                <w:rFonts w:hint="eastAsia" w:ascii="宋体" w:hAnsi="宋体" w:eastAsia="宋体" w:cs="宋体"/>
                <w:sz w:val="18"/>
                <w:szCs w:val="18"/>
              </w:rPr>
              <w:t>符合第二章“投标人须知”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质量</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符合第二章“投标人须知”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投标有效期</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递交投标文件截止之日起的90天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22" w:type="dxa"/>
            <w:vMerge w:val="continue"/>
            <w:vAlign w:val="center"/>
          </w:tcPr>
          <w:p>
            <w:pPr>
              <w:rPr>
                <w:rFonts w:hint="eastAsia" w:ascii="宋体" w:hAnsi="宋体" w:eastAsia="宋体" w:cs="宋体"/>
                <w:sz w:val="18"/>
                <w:szCs w:val="18"/>
              </w:rPr>
            </w:pPr>
          </w:p>
        </w:tc>
        <w:tc>
          <w:tcPr>
            <w:tcW w:w="706" w:type="dxa"/>
            <w:vMerge w:val="continue"/>
            <w:vAlign w:val="center"/>
          </w:tcPr>
          <w:p>
            <w:pPr>
              <w:rPr>
                <w:rFonts w:hint="eastAsia" w:ascii="宋体" w:hAnsi="宋体" w:eastAsia="宋体" w:cs="宋体"/>
                <w:sz w:val="18"/>
                <w:szCs w:val="18"/>
              </w:rPr>
            </w:pP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权利义务</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28" w:type="dxa"/>
            <w:gridSpan w:val="2"/>
            <w:vAlign w:val="center"/>
          </w:tcPr>
          <w:p>
            <w:pPr>
              <w:jc w:val="left"/>
              <w:rPr>
                <w:rFonts w:hint="eastAsia" w:ascii="宋体" w:hAnsi="宋体" w:eastAsia="宋体" w:cs="宋体"/>
                <w:b/>
                <w:bCs/>
                <w:sz w:val="18"/>
                <w:szCs w:val="18"/>
              </w:rPr>
            </w:pPr>
            <w:r>
              <w:rPr>
                <w:rFonts w:hint="eastAsia" w:ascii="宋体" w:hAnsi="宋体" w:eastAsia="宋体" w:cs="宋体"/>
                <w:b/>
                <w:bCs/>
                <w:kern w:val="0"/>
                <w:sz w:val="18"/>
                <w:szCs w:val="18"/>
              </w:rPr>
              <w:t>条款号</w:t>
            </w:r>
          </w:p>
        </w:tc>
        <w:tc>
          <w:tcPr>
            <w:tcW w:w="2518" w:type="dxa"/>
            <w:gridSpan w:val="3"/>
            <w:vAlign w:val="center"/>
          </w:tcPr>
          <w:p>
            <w:pPr>
              <w:jc w:val="left"/>
              <w:rPr>
                <w:rFonts w:hint="eastAsia" w:ascii="宋体" w:hAnsi="宋体" w:eastAsia="宋体" w:cs="宋体"/>
                <w:b/>
                <w:bCs/>
                <w:sz w:val="18"/>
                <w:szCs w:val="18"/>
              </w:rPr>
            </w:pPr>
            <w:r>
              <w:rPr>
                <w:rFonts w:hint="eastAsia" w:ascii="宋体" w:hAnsi="宋体" w:eastAsia="宋体" w:cs="宋体"/>
                <w:b/>
                <w:bCs/>
                <w:kern w:val="0"/>
                <w:sz w:val="18"/>
                <w:szCs w:val="18"/>
              </w:rPr>
              <w:t>条款内容</w:t>
            </w:r>
          </w:p>
        </w:tc>
        <w:tc>
          <w:tcPr>
            <w:tcW w:w="4276" w:type="dxa"/>
            <w:gridSpan w:val="3"/>
          </w:tcPr>
          <w:p>
            <w:pPr>
              <w:jc w:val="left"/>
              <w:rPr>
                <w:rFonts w:hint="eastAsia" w:ascii="宋体" w:hAnsi="宋体" w:eastAsia="宋体" w:cs="宋体"/>
                <w:b/>
                <w:bCs/>
                <w:sz w:val="18"/>
                <w:szCs w:val="18"/>
              </w:rPr>
            </w:pPr>
            <w:r>
              <w:rPr>
                <w:rFonts w:hint="eastAsia" w:ascii="宋体" w:hAnsi="宋体" w:eastAsia="宋体" w:cs="宋体"/>
                <w:b/>
                <w:bCs/>
                <w:kern w:val="0"/>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28" w:type="dxa"/>
            <w:gridSpan w:val="2"/>
            <w:vAlign w:val="center"/>
          </w:tcPr>
          <w:p>
            <w:pPr>
              <w:rPr>
                <w:rFonts w:hint="eastAsia" w:ascii="宋体" w:hAnsi="宋体" w:eastAsia="宋体" w:cs="宋体"/>
                <w:sz w:val="18"/>
                <w:szCs w:val="18"/>
              </w:rPr>
            </w:pPr>
            <w:r>
              <w:rPr>
                <w:rFonts w:hint="eastAsia" w:ascii="宋体" w:hAnsi="宋体" w:cs="宋体"/>
                <w:spacing w:val="1"/>
                <w:kern w:val="0"/>
                <w:sz w:val="20"/>
                <w:szCs w:val="20"/>
                <w:lang w:val="en-US" w:eastAsia="zh-CN"/>
              </w:rPr>
              <w:t>3</w:t>
            </w:r>
            <w:r>
              <w:rPr>
                <w:rFonts w:hint="eastAsia" w:ascii="宋体" w:hAnsi="宋体" w:eastAsia="宋体" w:cs="宋体"/>
                <w:spacing w:val="-1"/>
                <w:kern w:val="0"/>
                <w:sz w:val="20"/>
                <w:szCs w:val="20"/>
              </w:rPr>
              <w:t>.</w:t>
            </w:r>
            <w:r>
              <w:rPr>
                <w:rFonts w:hint="eastAsia" w:ascii="宋体" w:hAnsi="宋体" w:eastAsia="宋体" w:cs="宋体"/>
                <w:spacing w:val="1"/>
                <w:kern w:val="0"/>
                <w:sz w:val="20"/>
                <w:szCs w:val="20"/>
              </w:rPr>
              <w:t>2</w:t>
            </w:r>
            <w:r>
              <w:rPr>
                <w:rFonts w:hint="eastAsia" w:ascii="宋体" w:hAnsi="宋体" w:eastAsia="宋体" w:cs="宋体"/>
                <w:spacing w:val="-1"/>
                <w:kern w:val="0"/>
                <w:sz w:val="20"/>
                <w:szCs w:val="20"/>
              </w:rPr>
              <w:t>.</w:t>
            </w:r>
            <w:r>
              <w:rPr>
                <w:rFonts w:hint="eastAsia" w:ascii="宋体" w:hAnsi="宋体" w:eastAsia="宋体" w:cs="宋体"/>
                <w:kern w:val="0"/>
                <w:sz w:val="20"/>
                <w:szCs w:val="20"/>
              </w:rPr>
              <w:t>1</w:t>
            </w: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分值构成(总分100 分)</w:t>
            </w:r>
          </w:p>
        </w:tc>
        <w:tc>
          <w:tcPr>
            <w:tcW w:w="4276" w:type="dxa"/>
            <w:gridSpan w:val="3"/>
          </w:tcPr>
          <w:p>
            <w:pPr>
              <w:rPr>
                <w:rFonts w:hint="eastAsia" w:ascii="宋体" w:hAnsi="宋体" w:eastAsia="宋体" w:cs="宋体"/>
                <w:kern w:val="0"/>
                <w:position w:val="-2"/>
                <w:sz w:val="18"/>
                <w:szCs w:val="18"/>
                <w:lang w:val="en-US" w:eastAsia="zh-CN"/>
              </w:rPr>
            </w:pPr>
            <w:r>
              <w:rPr>
                <w:rFonts w:hint="eastAsia" w:ascii="宋体" w:hAnsi="宋体" w:eastAsia="宋体" w:cs="宋体"/>
                <w:kern w:val="0"/>
                <w:position w:val="-2"/>
                <w:sz w:val="18"/>
                <w:szCs w:val="18"/>
                <w:lang w:val="en-US" w:eastAsia="zh-CN"/>
              </w:rPr>
              <w:t>技术部分     50分</w:t>
            </w:r>
          </w:p>
          <w:p>
            <w:pPr>
              <w:rPr>
                <w:rFonts w:hint="eastAsia" w:ascii="宋体" w:hAnsi="宋体" w:eastAsia="宋体" w:cs="宋体"/>
                <w:sz w:val="18"/>
                <w:szCs w:val="18"/>
                <w:lang w:val="en-US" w:eastAsia="zh-CN"/>
              </w:rPr>
            </w:pPr>
            <w:r>
              <w:rPr>
                <w:rFonts w:hint="eastAsia" w:ascii="宋体" w:hAnsi="宋体" w:eastAsia="宋体" w:cs="宋体"/>
                <w:kern w:val="0"/>
                <w:position w:val="-2"/>
                <w:sz w:val="18"/>
                <w:szCs w:val="18"/>
                <w:lang w:val="en-US" w:eastAsia="zh-CN"/>
              </w:rPr>
              <w:t>商务部分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.2.2</w:t>
            </w: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sz w:val="18"/>
                <w:szCs w:val="18"/>
              </w:rPr>
              <w:t>评标基准价计算方法</w:t>
            </w:r>
          </w:p>
        </w:tc>
        <w:tc>
          <w:tcPr>
            <w:tcW w:w="4276" w:type="dxa"/>
            <w:gridSpan w:val="3"/>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.2.3</w:t>
            </w:r>
          </w:p>
        </w:tc>
        <w:tc>
          <w:tcPr>
            <w:tcW w:w="2518" w:type="dxa"/>
            <w:gridSpan w:val="3"/>
            <w:vAlign w:val="center"/>
          </w:tcPr>
          <w:p>
            <w:pPr>
              <w:rPr>
                <w:rFonts w:hint="eastAsia" w:ascii="宋体" w:hAnsi="宋体" w:eastAsia="宋体" w:cs="宋体"/>
                <w:sz w:val="18"/>
                <w:szCs w:val="18"/>
              </w:rPr>
            </w:pPr>
            <w:r>
              <w:rPr>
                <w:rFonts w:hint="eastAsia" w:ascii="宋体" w:hAnsi="宋体" w:eastAsia="宋体" w:cs="宋体"/>
                <w:kern w:val="0"/>
                <w:sz w:val="20"/>
                <w:szCs w:val="20"/>
              </w:rPr>
              <w:t>投标报</w:t>
            </w:r>
            <w:r>
              <w:rPr>
                <w:rFonts w:hint="eastAsia" w:ascii="宋体" w:hAnsi="宋体" w:eastAsia="宋体" w:cs="宋体"/>
                <w:spacing w:val="-1"/>
                <w:kern w:val="0"/>
                <w:sz w:val="20"/>
                <w:szCs w:val="20"/>
              </w:rPr>
              <w:t>价</w:t>
            </w:r>
            <w:r>
              <w:rPr>
                <w:rFonts w:hint="eastAsia" w:ascii="宋体" w:hAnsi="宋体" w:eastAsia="宋体" w:cs="宋体"/>
                <w:kern w:val="0"/>
                <w:sz w:val="20"/>
                <w:szCs w:val="20"/>
              </w:rPr>
              <w:t>的</w:t>
            </w:r>
            <w:r>
              <w:rPr>
                <w:rFonts w:hint="eastAsia" w:ascii="宋体" w:hAnsi="宋体" w:eastAsia="宋体" w:cs="宋体"/>
                <w:spacing w:val="-1"/>
                <w:kern w:val="0"/>
                <w:sz w:val="20"/>
                <w:szCs w:val="20"/>
              </w:rPr>
              <w:t>偏</w:t>
            </w:r>
            <w:r>
              <w:rPr>
                <w:rFonts w:hint="eastAsia" w:ascii="宋体" w:hAnsi="宋体" w:eastAsia="宋体" w:cs="宋体"/>
                <w:kern w:val="0"/>
                <w:sz w:val="20"/>
                <w:szCs w:val="20"/>
              </w:rPr>
              <w:t>差率计算公式</w:t>
            </w:r>
          </w:p>
        </w:tc>
        <w:tc>
          <w:tcPr>
            <w:tcW w:w="4276" w:type="dxa"/>
            <w:gridSpan w:val="3"/>
          </w:tcPr>
          <w:p>
            <w:pPr>
              <w:rPr>
                <w:rFonts w:hint="eastAsia" w:ascii="宋体" w:hAnsi="宋体" w:eastAsia="宋体" w:cs="宋体"/>
                <w:sz w:val="18"/>
                <w:szCs w:val="18"/>
              </w:rPr>
            </w:pPr>
            <w:r>
              <w:rPr>
                <w:rFonts w:hint="eastAsia" w:ascii="宋体" w:hAnsi="宋体" w:eastAsia="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pPr>
              <w:rPr>
                <w:rFonts w:hint="eastAsia" w:ascii="宋体" w:hAnsi="宋体" w:eastAsia="宋体" w:cs="宋体"/>
                <w:sz w:val="18"/>
                <w:szCs w:val="18"/>
              </w:rPr>
            </w:pPr>
            <w:r>
              <w:rPr>
                <w:rFonts w:hint="eastAsia" w:ascii="宋体" w:hAnsi="宋体" w:eastAsia="宋体" w:cs="宋体"/>
                <w:b/>
                <w:bCs/>
                <w:sz w:val="18"/>
                <w:szCs w:val="18"/>
              </w:rPr>
              <w:t>评分因素、分值权重及评分标准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2" w:type="dxa"/>
            <w:vAlign w:val="center"/>
          </w:tcPr>
          <w:p>
            <w:pPr>
              <w:rPr>
                <w:rFonts w:hint="eastAsia" w:ascii="宋体" w:hAnsi="宋体" w:eastAsia="宋体" w:cs="宋体"/>
                <w:sz w:val="18"/>
                <w:szCs w:val="18"/>
              </w:rPr>
            </w:pPr>
            <w:r>
              <w:rPr>
                <w:rFonts w:hint="eastAsia" w:ascii="宋体" w:hAnsi="宋体" w:eastAsia="宋体" w:cs="宋体"/>
                <w:sz w:val="18"/>
                <w:szCs w:val="18"/>
              </w:rPr>
              <w:t>条款号</w:t>
            </w:r>
          </w:p>
        </w:tc>
        <w:tc>
          <w:tcPr>
            <w:tcW w:w="1062"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评分因素</w:t>
            </w:r>
          </w:p>
        </w:tc>
        <w:tc>
          <w:tcPr>
            <w:tcW w:w="1038" w:type="dxa"/>
            <w:vAlign w:val="center"/>
          </w:tcPr>
          <w:p>
            <w:pPr>
              <w:rPr>
                <w:rFonts w:hint="eastAsia" w:ascii="宋体" w:hAnsi="宋体" w:eastAsia="宋体" w:cs="宋体"/>
                <w:sz w:val="18"/>
                <w:szCs w:val="18"/>
              </w:rPr>
            </w:pPr>
            <w:r>
              <w:rPr>
                <w:rFonts w:hint="eastAsia" w:ascii="宋体" w:hAnsi="宋体" w:eastAsia="宋体" w:cs="宋体"/>
                <w:sz w:val="18"/>
                <w:szCs w:val="18"/>
              </w:rPr>
              <w:t>分值权重</w:t>
            </w:r>
          </w:p>
        </w:tc>
        <w:tc>
          <w:tcPr>
            <w:tcW w:w="1846" w:type="dxa"/>
            <w:gridSpan w:val="2"/>
            <w:vAlign w:val="center"/>
          </w:tcPr>
          <w:p>
            <w:pPr>
              <w:rPr>
                <w:rFonts w:hint="eastAsia" w:ascii="宋体" w:hAnsi="宋体" w:eastAsia="宋体" w:cs="宋体"/>
                <w:sz w:val="18"/>
                <w:szCs w:val="18"/>
              </w:rPr>
            </w:pPr>
            <w:r>
              <w:rPr>
                <w:rFonts w:hint="eastAsia" w:ascii="宋体" w:hAnsi="宋体" w:eastAsia="宋体" w:cs="宋体"/>
                <w:sz w:val="18"/>
                <w:szCs w:val="18"/>
              </w:rPr>
              <w:t>各评分因素细项</w:t>
            </w:r>
          </w:p>
        </w:tc>
        <w:tc>
          <w:tcPr>
            <w:tcW w:w="72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分值</w:t>
            </w:r>
          </w:p>
        </w:tc>
        <w:tc>
          <w:tcPr>
            <w:tcW w:w="28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22" w:type="dxa"/>
            <w:vMerge w:val="restart"/>
            <w:vAlign w:val="center"/>
          </w:tcPr>
          <w:p>
            <w:pP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.2.4(1)</w:t>
            </w:r>
          </w:p>
        </w:tc>
        <w:tc>
          <w:tcPr>
            <w:tcW w:w="1062" w:type="dxa"/>
            <w:gridSpan w:val="2"/>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技术部分</w:t>
            </w:r>
          </w:p>
        </w:tc>
        <w:tc>
          <w:tcPr>
            <w:tcW w:w="1038"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50</w:t>
            </w:r>
            <w:r>
              <w:rPr>
                <w:rFonts w:hint="eastAsia" w:ascii="宋体" w:hAnsi="宋体" w:eastAsia="宋体" w:cs="宋体"/>
                <w:sz w:val="18"/>
                <w:szCs w:val="18"/>
              </w:rPr>
              <w:t>分</w:t>
            </w:r>
          </w:p>
        </w:tc>
        <w:tc>
          <w:tcPr>
            <w:tcW w:w="1846" w:type="dxa"/>
            <w:gridSpan w:val="2"/>
            <w:vAlign w:val="center"/>
          </w:tcPr>
          <w:p>
            <w:pPr>
              <w:jc w:val="center"/>
              <w:rPr>
                <w:rFonts w:hint="eastAsia" w:ascii="宋体" w:hAnsi="宋体" w:cs="宋体"/>
                <w:sz w:val="18"/>
                <w:szCs w:val="18"/>
                <w:lang w:val="en-US" w:eastAsia="zh-CN"/>
              </w:rPr>
            </w:pPr>
            <w:r>
              <w:rPr>
                <w:rFonts w:hint="eastAsia" w:ascii="宋体" w:hAnsi="宋体" w:cs="宋体"/>
                <w:sz w:val="18"/>
                <w:szCs w:val="18"/>
                <w:lang w:val="en-US" w:eastAsia="zh-CN"/>
              </w:rPr>
              <w:t>工程类</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招标</w:t>
            </w:r>
            <w:r>
              <w:rPr>
                <w:rFonts w:hint="eastAsia" w:ascii="宋体" w:hAnsi="宋体" w:cs="宋体"/>
                <w:sz w:val="18"/>
                <w:szCs w:val="18"/>
                <w:lang w:val="en-US" w:eastAsia="zh-CN"/>
              </w:rPr>
              <w:t>采购</w:t>
            </w:r>
            <w:r>
              <w:rPr>
                <w:rFonts w:hint="eastAsia" w:ascii="宋体" w:hAnsi="宋体" w:eastAsia="宋体" w:cs="宋体"/>
                <w:sz w:val="18"/>
                <w:szCs w:val="18"/>
              </w:rPr>
              <w:t>服务方案</w:t>
            </w:r>
          </w:p>
        </w:tc>
        <w:tc>
          <w:tcPr>
            <w:tcW w:w="720" w:type="dxa"/>
            <w:vAlign w:val="center"/>
          </w:tcPr>
          <w:p>
            <w:pPr>
              <w:ind w:left="102"/>
              <w:rPr>
                <w:rFonts w:hint="eastAsia" w:ascii="宋体" w:hAnsi="宋体" w:eastAsia="宋体" w:cs="宋体"/>
                <w:sz w:val="18"/>
                <w:szCs w:val="18"/>
              </w:rPr>
            </w:pPr>
            <w:r>
              <w:rPr>
                <w:rFonts w:hint="eastAsia" w:ascii="宋体" w:hAnsi="宋体" w:eastAsia="宋体" w:cs="宋体"/>
                <w:sz w:val="18"/>
                <w:szCs w:val="18"/>
                <w:lang w:val="en-US" w:eastAsia="zh-CN"/>
              </w:rPr>
              <w:t>20</w:t>
            </w:r>
            <w:r>
              <w:rPr>
                <w:rFonts w:hint="eastAsia" w:ascii="宋体" w:hAnsi="宋体" w:eastAsia="宋体" w:cs="宋体"/>
                <w:sz w:val="18"/>
                <w:szCs w:val="18"/>
              </w:rPr>
              <w:t>分</w:t>
            </w:r>
          </w:p>
        </w:tc>
        <w:tc>
          <w:tcPr>
            <w:tcW w:w="2834"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招标代理的服务方案，包括</w:t>
            </w:r>
            <w:r>
              <w:rPr>
                <w:rFonts w:hint="eastAsia" w:ascii="宋体" w:hAnsi="宋体" w:eastAsia="宋体" w:cs="宋体"/>
                <w:sz w:val="18"/>
                <w:szCs w:val="18"/>
                <w:lang w:val="en-US" w:eastAsia="zh-CN"/>
              </w:rPr>
              <w:t>①</w:t>
            </w:r>
            <w:r>
              <w:rPr>
                <w:rFonts w:hint="eastAsia" w:ascii="宋体" w:hAnsi="宋体" w:eastAsia="宋体" w:cs="宋体"/>
                <w:sz w:val="18"/>
                <w:szCs w:val="18"/>
              </w:rPr>
              <w:t>工作内容和依据</w:t>
            </w:r>
            <w:r>
              <w:rPr>
                <w:rFonts w:hint="eastAsia" w:ascii="宋体" w:hAnsi="宋体" w:cs="宋体"/>
                <w:sz w:val="18"/>
                <w:szCs w:val="18"/>
                <w:lang w:eastAsia="zh-CN"/>
              </w:rPr>
              <w:t>；</w:t>
            </w:r>
            <w:r>
              <w:rPr>
                <w:rFonts w:hint="eastAsia" w:ascii="宋体" w:hAnsi="宋体" w:eastAsia="宋体" w:cs="宋体"/>
                <w:sz w:val="18"/>
                <w:szCs w:val="18"/>
                <w:lang w:val="en-US" w:eastAsia="zh-CN"/>
              </w:rPr>
              <w:t>②</w:t>
            </w:r>
            <w:r>
              <w:rPr>
                <w:rFonts w:hint="eastAsia" w:ascii="宋体" w:hAnsi="宋体" w:eastAsia="宋体" w:cs="宋体"/>
                <w:sz w:val="18"/>
                <w:szCs w:val="18"/>
                <w:lang w:eastAsia="zh-CN"/>
              </w:rPr>
              <w:t>项目组的组织结构形式</w:t>
            </w:r>
            <w:r>
              <w:rPr>
                <w:rFonts w:hint="eastAsia" w:ascii="宋体" w:hAnsi="宋体" w:cs="宋体"/>
                <w:sz w:val="18"/>
                <w:szCs w:val="18"/>
                <w:lang w:eastAsia="zh-CN"/>
              </w:rPr>
              <w:t>；</w:t>
            </w:r>
            <w:r>
              <w:rPr>
                <w:rFonts w:hint="eastAsia" w:ascii="宋体" w:hAnsi="宋体" w:eastAsia="宋体" w:cs="宋体"/>
                <w:sz w:val="18"/>
                <w:szCs w:val="18"/>
                <w:lang w:val="en-US" w:eastAsia="zh-CN"/>
              </w:rPr>
              <w:t>③</w:t>
            </w:r>
            <w:r>
              <w:rPr>
                <w:rFonts w:hint="eastAsia" w:ascii="宋体" w:hAnsi="宋体" w:eastAsia="宋体" w:cs="宋体"/>
                <w:sz w:val="18"/>
                <w:szCs w:val="18"/>
                <w:lang w:eastAsia="zh-CN"/>
              </w:rPr>
              <w:t>质量保障措施</w:t>
            </w:r>
            <w:r>
              <w:rPr>
                <w:rFonts w:hint="eastAsia" w:ascii="宋体" w:hAnsi="宋体" w:cs="宋体"/>
                <w:sz w:val="18"/>
                <w:szCs w:val="18"/>
                <w:lang w:eastAsia="zh-CN"/>
              </w:rPr>
              <w:t>；</w:t>
            </w:r>
            <w:r>
              <w:rPr>
                <w:rFonts w:hint="eastAsia" w:ascii="宋体" w:hAnsi="宋体" w:eastAsia="宋体" w:cs="宋体"/>
                <w:sz w:val="18"/>
                <w:szCs w:val="18"/>
                <w:lang w:val="en-US" w:eastAsia="zh-CN"/>
              </w:rPr>
              <w:t>④</w:t>
            </w:r>
            <w:r>
              <w:rPr>
                <w:rFonts w:hint="eastAsia" w:ascii="宋体" w:hAnsi="宋体" w:eastAsia="宋体" w:cs="宋体"/>
                <w:sz w:val="18"/>
                <w:szCs w:val="18"/>
                <w:lang w:eastAsia="zh-CN"/>
              </w:rPr>
              <w:t>工作进度</w:t>
            </w:r>
            <w:r>
              <w:rPr>
                <w:rFonts w:hint="eastAsia" w:ascii="宋体" w:hAnsi="宋体" w:cs="宋体"/>
                <w:sz w:val="18"/>
                <w:szCs w:val="18"/>
                <w:lang w:eastAsia="zh-CN"/>
              </w:rPr>
              <w:t>；</w:t>
            </w:r>
            <w:r>
              <w:rPr>
                <w:rFonts w:hint="eastAsia" w:ascii="宋体" w:hAnsi="宋体" w:eastAsia="宋体" w:cs="宋体"/>
                <w:sz w:val="18"/>
                <w:szCs w:val="18"/>
                <w:lang w:val="en-US" w:eastAsia="zh-CN"/>
              </w:rPr>
              <w:t>⑤</w:t>
            </w:r>
            <w:r>
              <w:rPr>
                <w:rFonts w:hint="eastAsia" w:ascii="宋体" w:hAnsi="宋体" w:eastAsia="宋体" w:cs="宋体"/>
                <w:sz w:val="18"/>
                <w:szCs w:val="18"/>
              </w:rPr>
              <w:t>难点分析</w:t>
            </w:r>
            <w:r>
              <w:rPr>
                <w:rFonts w:hint="eastAsia" w:ascii="宋体" w:hAnsi="宋体" w:cs="宋体"/>
                <w:sz w:val="18"/>
                <w:szCs w:val="18"/>
                <w:lang w:eastAsia="zh-CN"/>
              </w:rPr>
              <w:t>；</w:t>
            </w:r>
            <w:r>
              <w:rPr>
                <w:rFonts w:hint="eastAsia" w:ascii="宋体" w:hAnsi="宋体" w:eastAsia="宋体" w:cs="宋体"/>
                <w:sz w:val="18"/>
                <w:szCs w:val="18"/>
                <w:lang w:val="en-US" w:eastAsia="zh-CN"/>
              </w:rPr>
              <w:t>⑥</w:t>
            </w:r>
            <w:r>
              <w:rPr>
                <w:rFonts w:hint="eastAsia" w:ascii="宋体" w:hAnsi="宋体" w:eastAsia="宋体" w:cs="宋体"/>
                <w:sz w:val="18"/>
                <w:szCs w:val="18"/>
              </w:rPr>
              <w:t>与工程建设各方的协调，与各监管主管部门的衔接</w:t>
            </w:r>
            <w:r>
              <w:rPr>
                <w:rFonts w:hint="eastAsia" w:ascii="宋体" w:hAnsi="宋体" w:cs="宋体"/>
                <w:sz w:val="18"/>
                <w:szCs w:val="18"/>
                <w:lang w:eastAsia="zh-CN"/>
              </w:rPr>
              <w:t>；</w:t>
            </w:r>
            <w:r>
              <w:rPr>
                <w:rFonts w:hint="eastAsia" w:ascii="宋体" w:hAnsi="宋体" w:eastAsia="宋体" w:cs="宋体"/>
                <w:sz w:val="18"/>
                <w:szCs w:val="18"/>
                <w:lang w:val="en-US" w:eastAsia="zh-CN"/>
              </w:rPr>
              <w:t>⑦</w:t>
            </w:r>
            <w:r>
              <w:rPr>
                <w:rFonts w:hint="eastAsia" w:ascii="宋体" w:hAnsi="宋体" w:eastAsia="宋体" w:cs="宋体"/>
                <w:sz w:val="18"/>
                <w:szCs w:val="18"/>
              </w:rPr>
              <w:t>相关承诺等进行评审。满分20分，优17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~20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分、良14</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~17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分，中12</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~14</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分，差0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~12</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22" w:type="dxa"/>
            <w:vMerge w:val="continue"/>
            <w:vAlign w:val="center"/>
          </w:tcPr>
          <w:p>
            <w:pPr>
              <w:rPr>
                <w:rFonts w:hint="eastAsia" w:ascii="宋体" w:hAnsi="宋体" w:eastAsia="宋体" w:cs="宋体"/>
                <w:sz w:val="18"/>
                <w:szCs w:val="18"/>
              </w:rPr>
            </w:pPr>
          </w:p>
        </w:tc>
        <w:tc>
          <w:tcPr>
            <w:tcW w:w="1062" w:type="dxa"/>
            <w:gridSpan w:val="2"/>
            <w:vMerge w:val="continue"/>
            <w:vAlign w:val="center"/>
          </w:tcPr>
          <w:p>
            <w:pPr>
              <w:rPr>
                <w:rFonts w:hint="eastAsia" w:ascii="宋体" w:hAnsi="宋体" w:eastAsia="宋体" w:cs="宋体"/>
                <w:sz w:val="18"/>
                <w:szCs w:val="18"/>
              </w:rPr>
            </w:pPr>
          </w:p>
        </w:tc>
        <w:tc>
          <w:tcPr>
            <w:tcW w:w="1038" w:type="dxa"/>
            <w:vMerge w:val="continue"/>
            <w:vAlign w:val="center"/>
          </w:tcPr>
          <w:p>
            <w:pPr>
              <w:rPr>
                <w:rFonts w:hint="eastAsia" w:ascii="宋体" w:hAnsi="宋体" w:eastAsia="宋体" w:cs="宋体"/>
                <w:sz w:val="18"/>
                <w:szCs w:val="18"/>
              </w:rPr>
            </w:pPr>
          </w:p>
        </w:tc>
        <w:tc>
          <w:tcPr>
            <w:tcW w:w="1846" w:type="dxa"/>
            <w:gridSpan w:val="2"/>
            <w:vAlign w:val="center"/>
          </w:tcPr>
          <w:p>
            <w:pPr>
              <w:jc w:val="center"/>
              <w:rPr>
                <w:rFonts w:hint="eastAsia" w:ascii="宋体" w:hAnsi="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政府采购类</w:t>
            </w:r>
          </w:p>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highlight w:val="none"/>
                <w:lang w:val="en-US" w:eastAsia="zh-CN" w:bidi="ar-SA"/>
              </w:rPr>
              <w:t>招标采购</w:t>
            </w:r>
            <w:r>
              <w:rPr>
                <w:rFonts w:hint="eastAsia" w:ascii="宋体" w:hAnsi="宋体" w:eastAsia="宋体" w:cs="宋体"/>
                <w:kern w:val="2"/>
                <w:sz w:val="18"/>
                <w:szCs w:val="18"/>
                <w:highlight w:val="none"/>
                <w:lang w:val="en-US" w:eastAsia="zh-CN" w:bidi="ar-SA"/>
              </w:rPr>
              <w:t>服务方案</w:t>
            </w:r>
            <w:bookmarkStart w:id="94" w:name="_GoBack"/>
            <w:bookmarkEnd w:id="94"/>
          </w:p>
        </w:tc>
        <w:tc>
          <w:tcPr>
            <w:tcW w:w="720" w:type="dxa"/>
            <w:vAlign w:val="center"/>
          </w:tcPr>
          <w:p>
            <w:pPr>
              <w:ind w:left="102" w:leftChars="0"/>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20</w:t>
            </w:r>
            <w:r>
              <w:rPr>
                <w:rFonts w:hint="eastAsia" w:ascii="宋体" w:hAnsi="宋体" w:eastAsia="宋体" w:cs="宋体"/>
                <w:kern w:val="2"/>
                <w:sz w:val="18"/>
                <w:szCs w:val="18"/>
                <w:lang w:val="en-US" w:eastAsia="zh-CN" w:bidi="ar-SA"/>
              </w:rPr>
              <w:t>分</w:t>
            </w:r>
          </w:p>
        </w:tc>
        <w:tc>
          <w:tcPr>
            <w:tcW w:w="2834"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采购代理的服务方案，包括①工作内容和依据；②项目组的组织结构形式；③质量保障措施；④工作进度；⑤难点分析；⑥</w:t>
            </w:r>
            <w:r>
              <w:rPr>
                <w:rFonts w:hint="eastAsia" w:ascii="宋体" w:hAnsi="宋体" w:cs="宋体"/>
                <w:sz w:val="18"/>
                <w:szCs w:val="18"/>
                <w:lang w:eastAsia="zh-CN"/>
              </w:rPr>
              <w:t>与政府采购各方的协调，</w:t>
            </w:r>
            <w:r>
              <w:rPr>
                <w:rFonts w:hint="eastAsia" w:ascii="宋体" w:hAnsi="宋体" w:eastAsia="宋体" w:cs="宋体"/>
                <w:sz w:val="18"/>
                <w:szCs w:val="18"/>
              </w:rPr>
              <w:t>与</w:t>
            </w:r>
            <w:r>
              <w:rPr>
                <w:rFonts w:hint="eastAsia" w:ascii="宋体" w:hAnsi="宋体" w:eastAsia="宋体" w:cs="宋体"/>
                <w:sz w:val="18"/>
                <w:szCs w:val="18"/>
                <w:lang w:eastAsia="zh-CN"/>
              </w:rPr>
              <w:t>各</w:t>
            </w:r>
            <w:r>
              <w:rPr>
                <w:rFonts w:hint="eastAsia" w:ascii="宋体" w:hAnsi="宋体" w:cs="宋体"/>
                <w:sz w:val="18"/>
                <w:szCs w:val="18"/>
                <w:lang w:eastAsia="zh-CN"/>
              </w:rPr>
              <w:t>监管主管</w:t>
            </w:r>
            <w:r>
              <w:rPr>
                <w:rFonts w:hint="eastAsia" w:ascii="宋体" w:hAnsi="宋体" w:eastAsia="宋体" w:cs="宋体"/>
                <w:sz w:val="18"/>
                <w:szCs w:val="18"/>
                <w:lang w:eastAsia="zh-CN"/>
              </w:rPr>
              <w:t>部门的衔接</w:t>
            </w:r>
            <w:r>
              <w:rPr>
                <w:rFonts w:hint="eastAsia" w:ascii="宋体" w:hAnsi="宋体" w:eastAsia="宋体" w:cs="宋体"/>
                <w:sz w:val="18"/>
                <w:szCs w:val="18"/>
              </w:rPr>
              <w:t>；⑦相关承诺等进行评审。满分20分，优17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~20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分、良14</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~17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分，中12</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~14</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分，差0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~12</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22" w:type="dxa"/>
            <w:vMerge w:val="continue"/>
            <w:vAlign w:val="center"/>
          </w:tcPr>
          <w:p>
            <w:pPr>
              <w:rPr>
                <w:rFonts w:hint="eastAsia" w:ascii="宋体" w:hAnsi="宋体" w:eastAsia="宋体" w:cs="宋体"/>
                <w:sz w:val="18"/>
                <w:szCs w:val="18"/>
              </w:rPr>
            </w:pPr>
          </w:p>
        </w:tc>
        <w:tc>
          <w:tcPr>
            <w:tcW w:w="1062" w:type="dxa"/>
            <w:gridSpan w:val="2"/>
            <w:vMerge w:val="continue"/>
            <w:vAlign w:val="center"/>
          </w:tcPr>
          <w:p>
            <w:pPr>
              <w:rPr>
                <w:rFonts w:hint="eastAsia" w:ascii="宋体" w:hAnsi="宋体" w:eastAsia="宋体" w:cs="宋体"/>
                <w:sz w:val="18"/>
                <w:szCs w:val="18"/>
              </w:rPr>
            </w:pPr>
          </w:p>
        </w:tc>
        <w:tc>
          <w:tcPr>
            <w:tcW w:w="1038" w:type="dxa"/>
            <w:vMerge w:val="continue"/>
            <w:vAlign w:val="center"/>
          </w:tcPr>
          <w:p>
            <w:pPr>
              <w:rPr>
                <w:rFonts w:hint="eastAsia" w:ascii="宋体" w:hAnsi="宋体" w:eastAsia="宋体" w:cs="宋体"/>
                <w:sz w:val="18"/>
                <w:szCs w:val="18"/>
              </w:rPr>
            </w:pPr>
          </w:p>
        </w:tc>
        <w:tc>
          <w:tcPr>
            <w:tcW w:w="1846" w:type="dxa"/>
            <w:gridSpan w:val="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制度保障措施</w:t>
            </w:r>
          </w:p>
        </w:tc>
        <w:tc>
          <w:tcPr>
            <w:tcW w:w="720" w:type="dxa"/>
            <w:vAlign w:val="center"/>
          </w:tcPr>
          <w:p>
            <w:pPr>
              <w:ind w:left="102" w:lef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0</w:t>
            </w:r>
            <w:r>
              <w:rPr>
                <w:rFonts w:hint="eastAsia" w:ascii="宋体" w:hAnsi="宋体" w:eastAsia="宋体" w:cs="宋体"/>
                <w:kern w:val="2"/>
                <w:sz w:val="18"/>
                <w:szCs w:val="18"/>
                <w:lang w:val="en-US" w:eastAsia="zh-CN" w:bidi="ar-SA"/>
              </w:rPr>
              <w:t>分</w:t>
            </w:r>
          </w:p>
        </w:tc>
        <w:tc>
          <w:tcPr>
            <w:tcW w:w="2834"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主要对人员工作守则、保密制度，廉洁措施，法律支持等进行综合评价。满分10分，优8.5</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~10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分、良7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~8.5</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分，中6</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分，差0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~6</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022" w:type="dxa"/>
            <w:vMerge w:val="restart"/>
            <w:vAlign w:val="center"/>
          </w:tcPr>
          <w:p>
            <w:pP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.2.4(2)</w:t>
            </w:r>
          </w:p>
        </w:tc>
        <w:tc>
          <w:tcPr>
            <w:tcW w:w="1062" w:type="dxa"/>
            <w:gridSpan w:val="2"/>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商务部分</w:t>
            </w:r>
          </w:p>
        </w:tc>
        <w:tc>
          <w:tcPr>
            <w:tcW w:w="1038"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50</w:t>
            </w:r>
            <w:r>
              <w:rPr>
                <w:rFonts w:hint="eastAsia" w:ascii="宋体" w:hAnsi="宋体" w:eastAsia="宋体" w:cs="宋体"/>
                <w:sz w:val="18"/>
                <w:szCs w:val="18"/>
              </w:rPr>
              <w:t>分</w:t>
            </w:r>
          </w:p>
        </w:tc>
        <w:tc>
          <w:tcPr>
            <w:tcW w:w="1846" w:type="dxa"/>
            <w:gridSpan w:val="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企业</w:t>
            </w:r>
            <w:r>
              <w:rPr>
                <w:rFonts w:hint="eastAsia" w:ascii="宋体" w:hAnsi="宋体" w:cs="宋体"/>
                <w:sz w:val="18"/>
                <w:szCs w:val="18"/>
                <w:lang w:val="en-US" w:eastAsia="zh-CN"/>
              </w:rPr>
              <w:t>实力</w:t>
            </w:r>
          </w:p>
        </w:tc>
        <w:tc>
          <w:tcPr>
            <w:tcW w:w="720" w:type="dxa"/>
            <w:vAlign w:val="center"/>
          </w:tcPr>
          <w:p>
            <w:pPr>
              <w:ind w:left="102" w:leftChars="0"/>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w:t>
            </w:r>
            <w:r>
              <w:rPr>
                <w:rFonts w:hint="eastAsia" w:ascii="宋体" w:hAnsi="宋体" w:eastAsia="宋体" w:cs="宋体"/>
                <w:sz w:val="18"/>
                <w:szCs w:val="18"/>
                <w:lang w:val="en-US" w:eastAsia="zh-CN"/>
              </w:rPr>
              <w:t>分</w:t>
            </w:r>
          </w:p>
        </w:tc>
        <w:tc>
          <w:tcPr>
            <w:tcW w:w="2834"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根据投标人的业务范围、</w:t>
            </w:r>
            <w:r>
              <w:rPr>
                <w:rFonts w:hint="eastAsia" w:ascii="宋体" w:hAnsi="宋体" w:eastAsia="宋体" w:cs="宋体"/>
                <w:sz w:val="18"/>
                <w:szCs w:val="18"/>
                <w:lang w:val="en-US" w:eastAsia="zh-CN"/>
              </w:rPr>
              <w:t>财务状况、</w:t>
            </w:r>
            <w:r>
              <w:rPr>
                <w:rFonts w:hint="eastAsia" w:ascii="宋体" w:hAnsi="宋体" w:eastAsia="宋体" w:cs="宋体"/>
                <w:sz w:val="18"/>
                <w:szCs w:val="18"/>
              </w:rPr>
              <w:t>发展情况、经营信誉</w:t>
            </w:r>
            <w:r>
              <w:rPr>
                <w:rFonts w:hint="eastAsia" w:ascii="宋体" w:hAnsi="宋体" w:eastAsia="宋体" w:cs="宋体"/>
                <w:sz w:val="18"/>
                <w:szCs w:val="18"/>
                <w:lang w:eastAsia="zh-CN"/>
              </w:rPr>
              <w:t>、</w:t>
            </w:r>
            <w:r>
              <w:rPr>
                <w:rFonts w:hint="eastAsia" w:ascii="宋体" w:hAnsi="宋体" w:eastAsia="宋体" w:cs="宋体"/>
                <w:sz w:val="18"/>
                <w:szCs w:val="18"/>
              </w:rPr>
              <w:t>荣誉奖项、相关资质情况</w:t>
            </w:r>
            <w:r>
              <w:rPr>
                <w:rFonts w:hint="eastAsia" w:ascii="宋体" w:hAnsi="宋体" w:eastAsia="宋体" w:cs="宋体"/>
                <w:sz w:val="18"/>
                <w:szCs w:val="18"/>
                <w:lang w:val="en-US" w:eastAsia="zh-CN"/>
              </w:rPr>
              <w:t>等</w:t>
            </w:r>
            <w:r>
              <w:rPr>
                <w:rFonts w:hint="eastAsia" w:ascii="宋体" w:hAnsi="宋体" w:eastAsia="宋体" w:cs="宋体"/>
                <w:sz w:val="18"/>
                <w:szCs w:val="18"/>
              </w:rPr>
              <w:t>综合打分。满分6分，优5</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~6</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分、良4</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分，中3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不含</w:t>
            </w:r>
            <w:r>
              <w:rPr>
                <w:rFonts w:hint="eastAsia" w:ascii="宋体" w:hAnsi="宋体" w:eastAsia="宋体" w:cs="宋体"/>
                <w:sz w:val="18"/>
                <w:szCs w:val="18"/>
                <w:lang w:eastAsia="zh-CN"/>
              </w:rPr>
              <w:t>）</w:t>
            </w: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分，差0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w:t>
            </w:r>
            <w:r>
              <w:rPr>
                <w:rFonts w:hint="eastAsia" w:ascii="宋体" w:hAnsi="宋体" w:eastAsia="宋体" w:cs="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022" w:type="dxa"/>
            <w:vMerge w:val="continue"/>
            <w:vAlign w:val="center"/>
          </w:tcPr>
          <w:p>
            <w:pPr>
              <w:rPr>
                <w:rFonts w:hint="eastAsia" w:ascii="宋体" w:hAnsi="宋体" w:eastAsia="宋体" w:cs="宋体"/>
                <w:sz w:val="18"/>
                <w:szCs w:val="18"/>
              </w:rPr>
            </w:pPr>
          </w:p>
        </w:tc>
        <w:tc>
          <w:tcPr>
            <w:tcW w:w="1062" w:type="dxa"/>
            <w:gridSpan w:val="2"/>
            <w:vMerge w:val="continue"/>
            <w:vAlign w:val="center"/>
          </w:tcPr>
          <w:p>
            <w:pPr>
              <w:rPr>
                <w:rFonts w:hint="eastAsia" w:ascii="宋体" w:hAnsi="宋体" w:eastAsia="宋体" w:cs="宋体"/>
                <w:sz w:val="18"/>
                <w:szCs w:val="18"/>
              </w:rPr>
            </w:pPr>
          </w:p>
        </w:tc>
        <w:tc>
          <w:tcPr>
            <w:tcW w:w="1038" w:type="dxa"/>
            <w:vMerge w:val="continue"/>
            <w:vAlign w:val="center"/>
          </w:tcPr>
          <w:p>
            <w:pPr>
              <w:rPr>
                <w:rFonts w:hint="eastAsia" w:ascii="宋体" w:hAnsi="宋体" w:eastAsia="宋体" w:cs="宋体"/>
                <w:sz w:val="18"/>
                <w:szCs w:val="18"/>
                <w:lang w:val="en-US" w:eastAsia="zh-CN"/>
              </w:rPr>
            </w:pPr>
          </w:p>
        </w:tc>
        <w:tc>
          <w:tcPr>
            <w:tcW w:w="1846" w:type="dxa"/>
            <w:gridSpan w:val="2"/>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rPr>
              <w:t>管理体系认证</w:t>
            </w:r>
          </w:p>
        </w:tc>
        <w:tc>
          <w:tcPr>
            <w:tcW w:w="720" w:type="dxa"/>
            <w:vAlign w:val="center"/>
          </w:tcPr>
          <w:p>
            <w:pPr>
              <w:ind w:left="102" w:leftChars="0"/>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w:t>
            </w:r>
            <w:r>
              <w:rPr>
                <w:rFonts w:hint="eastAsia" w:ascii="宋体" w:hAnsi="宋体" w:eastAsia="宋体" w:cs="宋体"/>
                <w:sz w:val="18"/>
                <w:szCs w:val="18"/>
              </w:rPr>
              <w:t>分</w:t>
            </w:r>
          </w:p>
        </w:tc>
        <w:tc>
          <w:tcPr>
            <w:tcW w:w="2834"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投标人同时具有有效期内的质量管理体系认证证书、环境管理体系认证证书、职业健康安全管理体系认证证书的得满分</w:t>
            </w:r>
            <w:r>
              <w:rPr>
                <w:rFonts w:hint="eastAsia" w:ascii="宋体" w:hAnsi="宋体" w:cs="宋体"/>
                <w:sz w:val="18"/>
                <w:szCs w:val="18"/>
                <w:lang w:val="en-US" w:eastAsia="zh-CN"/>
              </w:rPr>
              <w:t>3</w:t>
            </w:r>
            <w:r>
              <w:rPr>
                <w:rFonts w:hint="eastAsia" w:ascii="宋体" w:hAnsi="宋体" w:eastAsia="宋体" w:cs="宋体"/>
                <w:sz w:val="18"/>
                <w:szCs w:val="18"/>
              </w:rPr>
              <w:t>分，每少一个扣</w:t>
            </w:r>
            <w:r>
              <w:rPr>
                <w:rFonts w:hint="eastAsia" w:ascii="宋体" w:hAnsi="宋体" w:cs="宋体"/>
                <w:sz w:val="18"/>
                <w:szCs w:val="18"/>
                <w:lang w:val="en-US" w:eastAsia="zh-CN"/>
              </w:rPr>
              <w:t>1</w:t>
            </w:r>
            <w:r>
              <w:rPr>
                <w:rFonts w:hint="eastAsia" w:ascii="宋体" w:hAnsi="宋体" w:eastAsia="宋体" w:cs="宋体"/>
                <w:sz w:val="18"/>
                <w:szCs w:val="18"/>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022" w:type="dxa"/>
            <w:vMerge w:val="continue"/>
            <w:vAlign w:val="center"/>
          </w:tcPr>
          <w:p>
            <w:pPr>
              <w:rPr>
                <w:rFonts w:hint="eastAsia" w:ascii="宋体" w:hAnsi="宋体" w:eastAsia="宋体" w:cs="宋体"/>
                <w:sz w:val="18"/>
                <w:szCs w:val="18"/>
              </w:rPr>
            </w:pPr>
          </w:p>
        </w:tc>
        <w:tc>
          <w:tcPr>
            <w:tcW w:w="1062" w:type="dxa"/>
            <w:gridSpan w:val="2"/>
            <w:vMerge w:val="continue"/>
            <w:vAlign w:val="center"/>
          </w:tcPr>
          <w:p>
            <w:pPr>
              <w:rPr>
                <w:rFonts w:hint="eastAsia" w:ascii="宋体" w:hAnsi="宋体" w:eastAsia="宋体" w:cs="宋体"/>
                <w:sz w:val="18"/>
                <w:szCs w:val="18"/>
              </w:rPr>
            </w:pPr>
          </w:p>
        </w:tc>
        <w:tc>
          <w:tcPr>
            <w:tcW w:w="1038" w:type="dxa"/>
            <w:vMerge w:val="continue"/>
            <w:vAlign w:val="center"/>
          </w:tcPr>
          <w:p>
            <w:pPr>
              <w:rPr>
                <w:rFonts w:hint="eastAsia" w:ascii="宋体" w:hAnsi="宋体" w:eastAsia="宋体" w:cs="宋体"/>
                <w:sz w:val="18"/>
                <w:szCs w:val="18"/>
                <w:lang w:val="en-US" w:eastAsia="zh-CN"/>
              </w:rPr>
            </w:pPr>
          </w:p>
        </w:tc>
        <w:tc>
          <w:tcPr>
            <w:tcW w:w="1846" w:type="dxa"/>
            <w:gridSpan w:val="2"/>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工作</w:t>
            </w:r>
            <w:r>
              <w:rPr>
                <w:rFonts w:hint="eastAsia" w:ascii="宋体" w:hAnsi="宋体" w:eastAsia="宋体" w:cs="宋体"/>
                <w:sz w:val="18"/>
                <w:szCs w:val="18"/>
                <w:lang w:val="en-US" w:eastAsia="zh-CN"/>
              </w:rPr>
              <w:t>业绩</w:t>
            </w:r>
          </w:p>
        </w:tc>
        <w:tc>
          <w:tcPr>
            <w:tcW w:w="720" w:type="dxa"/>
            <w:vAlign w:val="center"/>
          </w:tcPr>
          <w:p>
            <w:pPr>
              <w:ind w:left="102" w:leftChars="0"/>
              <w:rPr>
                <w:rFonts w:hint="eastAsia" w:ascii="宋体" w:hAnsi="宋体" w:cs="宋体"/>
                <w:sz w:val="18"/>
                <w:szCs w:val="18"/>
                <w:lang w:val="en-US" w:eastAsia="zh-CN"/>
              </w:rPr>
            </w:pPr>
            <w:r>
              <w:rPr>
                <w:rFonts w:hint="eastAsia" w:ascii="宋体" w:hAnsi="宋体" w:eastAsia="宋体" w:cs="宋体"/>
                <w:sz w:val="18"/>
                <w:szCs w:val="18"/>
                <w:lang w:val="en-US" w:eastAsia="zh-CN"/>
              </w:rPr>
              <w:t>20分</w:t>
            </w:r>
          </w:p>
        </w:tc>
        <w:tc>
          <w:tcPr>
            <w:tcW w:w="2834" w:type="dxa"/>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投标人近</w:t>
            </w:r>
            <w:r>
              <w:rPr>
                <w:rFonts w:hint="eastAsia" w:ascii="宋体" w:hAnsi="宋体" w:cs="宋体"/>
                <w:sz w:val="18"/>
                <w:szCs w:val="18"/>
                <w:lang w:val="en-US" w:eastAsia="zh-CN"/>
              </w:rPr>
              <w:t>三</w:t>
            </w:r>
            <w:r>
              <w:rPr>
                <w:rFonts w:hint="eastAsia" w:ascii="宋体" w:hAnsi="宋体" w:eastAsia="宋体" w:cs="宋体"/>
                <w:sz w:val="18"/>
                <w:szCs w:val="18"/>
                <w:lang w:val="en-US" w:eastAsia="zh-CN"/>
              </w:rPr>
              <w:t>年（20</w:t>
            </w:r>
            <w:r>
              <w:rPr>
                <w:rFonts w:hint="eastAsia" w:ascii="宋体" w:hAnsi="宋体" w:cs="宋体"/>
                <w:sz w:val="18"/>
                <w:szCs w:val="18"/>
                <w:lang w:val="en-US" w:eastAsia="zh-CN"/>
              </w:rPr>
              <w:t>20</w:t>
            </w:r>
            <w:r>
              <w:rPr>
                <w:rFonts w:hint="eastAsia" w:ascii="宋体" w:hAnsi="宋体" w:eastAsia="宋体" w:cs="宋体"/>
                <w:sz w:val="18"/>
                <w:szCs w:val="18"/>
                <w:lang w:val="en-US" w:eastAsia="zh-CN"/>
              </w:rPr>
              <w:t>年</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月1日以来，以招标公告发布时间为准）通过江苏省交通运输厅招投标信息管理系统完成过一</w:t>
            </w:r>
            <w:r>
              <w:rPr>
                <w:rFonts w:hint="eastAsia" w:ascii="宋体" w:hAnsi="宋体" w:cs="宋体"/>
                <w:sz w:val="18"/>
                <w:szCs w:val="18"/>
                <w:lang w:val="en-US" w:eastAsia="zh-CN"/>
              </w:rPr>
              <w:t>个</w:t>
            </w:r>
            <w:r>
              <w:rPr>
                <w:rFonts w:hint="eastAsia" w:ascii="宋体" w:hAnsi="宋体" w:eastAsia="宋体" w:cs="宋体"/>
                <w:sz w:val="18"/>
                <w:szCs w:val="18"/>
                <w:lang w:val="en-US" w:eastAsia="zh-CN"/>
              </w:rPr>
              <w:t>招标代理项目</w:t>
            </w:r>
            <w:r>
              <w:rPr>
                <w:rFonts w:hint="eastAsia" w:ascii="宋体" w:hAnsi="宋体" w:cs="宋体"/>
                <w:sz w:val="18"/>
                <w:szCs w:val="18"/>
                <w:lang w:val="en-US" w:eastAsia="zh-CN"/>
              </w:rPr>
              <w:t>，每有1个得1分，最多得20分</w:t>
            </w:r>
            <w:r>
              <w:rPr>
                <w:rFonts w:hint="eastAsia" w:ascii="宋体" w:hAnsi="宋体" w:eastAsia="宋体" w:cs="宋体"/>
                <w:sz w:val="18"/>
                <w:szCs w:val="18"/>
                <w:lang w:val="en-US" w:eastAsia="zh-CN"/>
              </w:rPr>
              <w:t>。提供项目招标公告网页截图</w:t>
            </w:r>
            <w:r>
              <w:rPr>
                <w:rFonts w:hint="eastAsia" w:ascii="宋体" w:hAnsi="宋体" w:cs="宋体"/>
                <w:sz w:val="18"/>
                <w:szCs w:val="18"/>
                <w:lang w:val="en-US" w:eastAsia="zh-CN"/>
              </w:rPr>
              <w:t>及中标通知书，须明确体现招标代理单位名称。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022" w:type="dxa"/>
            <w:vMerge w:val="continue"/>
            <w:vAlign w:val="center"/>
          </w:tcPr>
          <w:p>
            <w:pPr>
              <w:rPr>
                <w:rFonts w:hint="eastAsia" w:ascii="宋体" w:hAnsi="宋体" w:eastAsia="宋体" w:cs="宋体"/>
                <w:sz w:val="18"/>
                <w:szCs w:val="18"/>
              </w:rPr>
            </w:pPr>
          </w:p>
        </w:tc>
        <w:tc>
          <w:tcPr>
            <w:tcW w:w="1062" w:type="dxa"/>
            <w:gridSpan w:val="2"/>
            <w:vMerge w:val="continue"/>
            <w:vAlign w:val="center"/>
          </w:tcPr>
          <w:p>
            <w:pPr>
              <w:rPr>
                <w:rFonts w:hint="eastAsia" w:ascii="宋体" w:hAnsi="宋体" w:eastAsia="宋体" w:cs="宋体"/>
                <w:sz w:val="18"/>
                <w:szCs w:val="18"/>
              </w:rPr>
            </w:pPr>
          </w:p>
        </w:tc>
        <w:tc>
          <w:tcPr>
            <w:tcW w:w="1038" w:type="dxa"/>
            <w:vMerge w:val="continue"/>
            <w:vAlign w:val="center"/>
          </w:tcPr>
          <w:p>
            <w:pPr>
              <w:rPr>
                <w:rFonts w:hint="eastAsia" w:ascii="宋体" w:hAnsi="宋体" w:eastAsia="宋体" w:cs="宋体"/>
                <w:sz w:val="18"/>
                <w:szCs w:val="18"/>
                <w:lang w:val="en-US" w:eastAsia="zh-CN"/>
              </w:rPr>
            </w:pPr>
          </w:p>
        </w:tc>
        <w:tc>
          <w:tcPr>
            <w:tcW w:w="1846" w:type="dxa"/>
            <w:gridSpan w:val="2"/>
            <w:vAlign w:val="center"/>
          </w:tcPr>
          <w:p>
            <w:pPr>
              <w:jc w:val="center"/>
              <w:rPr>
                <w:rFonts w:hint="eastAsia" w:ascii="宋体" w:hAnsi="宋体" w:cs="宋体"/>
                <w:sz w:val="18"/>
                <w:szCs w:val="18"/>
                <w:lang w:val="en-US" w:eastAsia="zh-CN"/>
              </w:rPr>
            </w:pPr>
            <w:r>
              <w:rPr>
                <w:rFonts w:hint="eastAsia" w:ascii="宋体" w:hAnsi="宋体" w:eastAsia="宋体" w:cs="宋体"/>
                <w:sz w:val="18"/>
                <w:szCs w:val="18"/>
                <w:lang w:val="en-US" w:eastAsia="zh-CN"/>
              </w:rPr>
              <w:t>企业履约信誉</w:t>
            </w:r>
          </w:p>
        </w:tc>
        <w:tc>
          <w:tcPr>
            <w:tcW w:w="720" w:type="dxa"/>
            <w:vAlign w:val="center"/>
          </w:tcPr>
          <w:p>
            <w:pPr>
              <w:ind w:left="102" w:left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5分</w:t>
            </w:r>
          </w:p>
        </w:tc>
        <w:tc>
          <w:tcPr>
            <w:tcW w:w="2834" w:type="dxa"/>
            <w:vAlign w:val="center"/>
          </w:tcPr>
          <w:p>
            <w:pPr>
              <w:rPr>
                <w:rFonts w:hint="eastAsia" w:ascii="宋体" w:hAnsi="宋体" w:eastAsia="宋体" w:cs="宋体"/>
                <w:sz w:val="18"/>
                <w:szCs w:val="18"/>
              </w:rPr>
            </w:pPr>
            <w:r>
              <w:rPr>
                <w:rFonts w:hint="eastAsia" w:ascii="宋体" w:hAnsi="宋体" w:eastAsia="宋体" w:cs="宋体"/>
                <w:sz w:val="18"/>
                <w:szCs w:val="18"/>
              </w:rPr>
              <w:t>根据《江苏省公路水运建设市场信用信息管理办法》，在投标文件递交截止当日查询的投标人的“服务单位”信用等级及信用等级评定分值情况进行评定：</w:t>
            </w:r>
          </w:p>
          <w:p>
            <w:pPr>
              <w:rPr>
                <w:rFonts w:hint="eastAsia" w:ascii="宋体" w:hAnsi="宋体" w:eastAsia="宋体" w:cs="宋体"/>
                <w:sz w:val="18"/>
                <w:szCs w:val="18"/>
              </w:rPr>
            </w:pPr>
            <w:r>
              <w:rPr>
                <w:rFonts w:hint="eastAsia" w:ascii="宋体" w:hAnsi="宋体" w:eastAsia="宋体" w:cs="宋体"/>
                <w:sz w:val="18"/>
                <w:szCs w:val="18"/>
              </w:rPr>
              <w:t>a、信用等级为AA级的投标人，履约信誉分为X分；</w:t>
            </w:r>
          </w:p>
          <w:p>
            <w:pPr>
              <w:rPr>
                <w:rFonts w:hint="eastAsia" w:ascii="宋体" w:hAnsi="宋体" w:eastAsia="宋体" w:cs="宋体"/>
                <w:sz w:val="18"/>
                <w:szCs w:val="18"/>
              </w:rPr>
            </w:pPr>
            <w:r>
              <w:rPr>
                <w:rFonts w:hint="eastAsia" w:ascii="宋体" w:hAnsi="宋体" w:eastAsia="宋体" w:cs="宋体"/>
                <w:sz w:val="18"/>
                <w:szCs w:val="18"/>
              </w:rPr>
              <w:t>b、信用等级为A级（含暂定A 级）的投标人，履约信誉分为0.8X～0.95X分，具体按下列公式进行计算：</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Y=0.15X*(Z-85)/10+0.8X</w:t>
            </w:r>
          </w:p>
          <w:p>
            <w:pPr>
              <w:rPr>
                <w:rFonts w:hint="default" w:ascii="宋体" w:hAnsi="宋体" w:eastAsia="宋体" w:cs="宋体"/>
                <w:sz w:val="18"/>
                <w:szCs w:val="18"/>
                <w:lang w:val="en-US"/>
              </w:rPr>
            </w:pPr>
            <w:r>
              <w:rPr>
                <w:rFonts w:hint="eastAsia" w:ascii="宋体" w:hAnsi="宋体" w:eastAsia="宋体" w:cs="宋体"/>
                <w:sz w:val="18"/>
                <w:szCs w:val="18"/>
                <w:lang w:val="en-US" w:eastAsia="zh-CN"/>
              </w:rPr>
              <w:t>投标人在投标文件中提供最新的信用等级评定分值。</w:t>
            </w:r>
          </w:p>
          <w:p>
            <w:pPr>
              <w:rPr>
                <w:rFonts w:hint="eastAsia" w:ascii="宋体" w:hAnsi="宋体" w:eastAsia="宋体" w:cs="宋体"/>
                <w:sz w:val="18"/>
                <w:szCs w:val="18"/>
                <w:lang w:val="en-US" w:eastAsia="zh-CN"/>
              </w:rPr>
            </w:pPr>
            <w:r>
              <w:rPr>
                <w:rFonts w:hint="eastAsia" w:ascii="宋体" w:hAnsi="宋体" w:eastAsia="宋体" w:cs="宋体"/>
                <w:sz w:val="18"/>
                <w:szCs w:val="18"/>
              </w:rPr>
              <w:t>注：X为履约信誉分满分值（X=5），Y为投标人在本次投标活动中的履约信誉分值，Z为企业最近一次信用等级评定分值。暂定 A 级、无评定分值的A级投标人，Z按85计算。</w:t>
            </w:r>
            <w:r>
              <w:rPr>
                <w:rFonts w:hint="eastAsia" w:ascii="宋体" w:hAnsi="宋体" w:eastAsia="宋体" w:cs="宋体"/>
                <w:sz w:val="18"/>
                <w:szCs w:val="18"/>
                <w:lang w:eastAsia="zh-CN"/>
              </w:rPr>
              <w:t>在江苏省无信用评价记录且上年度无失信行为记录的，其信用等级按照暂定A级确定。</w:t>
            </w:r>
            <w:r>
              <w:rPr>
                <w:rFonts w:hint="eastAsia" w:ascii="宋体" w:hAnsi="宋体" w:eastAsia="宋体" w:cs="宋体"/>
                <w:sz w:val="18"/>
                <w:szCs w:val="18"/>
              </w:rPr>
              <w:t>Y值保留小数点后两位，小数点后第三位“四舍五入”。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Merge w:val="continue"/>
            <w:vAlign w:val="center"/>
          </w:tcPr>
          <w:p>
            <w:pPr>
              <w:rPr>
                <w:rFonts w:hint="eastAsia" w:ascii="宋体" w:hAnsi="宋体" w:eastAsia="宋体" w:cs="宋体"/>
                <w:sz w:val="18"/>
                <w:szCs w:val="18"/>
              </w:rPr>
            </w:pPr>
          </w:p>
        </w:tc>
        <w:tc>
          <w:tcPr>
            <w:tcW w:w="1062" w:type="dxa"/>
            <w:gridSpan w:val="2"/>
            <w:vMerge w:val="continue"/>
            <w:vAlign w:val="center"/>
          </w:tcPr>
          <w:p>
            <w:pPr>
              <w:rPr>
                <w:rFonts w:hint="eastAsia" w:ascii="宋体" w:hAnsi="宋体" w:eastAsia="宋体" w:cs="宋体"/>
                <w:sz w:val="18"/>
                <w:szCs w:val="18"/>
              </w:rPr>
            </w:pPr>
          </w:p>
        </w:tc>
        <w:tc>
          <w:tcPr>
            <w:tcW w:w="1038" w:type="dxa"/>
            <w:vMerge w:val="continue"/>
            <w:vAlign w:val="center"/>
          </w:tcPr>
          <w:p>
            <w:pPr>
              <w:rPr>
                <w:rFonts w:hint="eastAsia" w:ascii="宋体" w:hAnsi="宋体" w:eastAsia="宋体" w:cs="宋体"/>
                <w:sz w:val="18"/>
                <w:szCs w:val="18"/>
              </w:rPr>
            </w:pPr>
          </w:p>
        </w:tc>
        <w:tc>
          <w:tcPr>
            <w:tcW w:w="1846" w:type="dxa"/>
            <w:gridSpan w:val="2"/>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项目负责人</w:t>
            </w:r>
          </w:p>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资历及业绩</w:t>
            </w:r>
          </w:p>
        </w:tc>
        <w:tc>
          <w:tcPr>
            <w:tcW w:w="720" w:type="dxa"/>
            <w:vAlign w:val="center"/>
          </w:tcPr>
          <w:p>
            <w:pPr>
              <w:ind w:left="102" w:leftChars="0"/>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6分</w:t>
            </w:r>
          </w:p>
        </w:tc>
        <w:tc>
          <w:tcPr>
            <w:tcW w:w="2834" w:type="dxa"/>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（1）项目负责人具备高级工程师证书的得2分。</w:t>
            </w:r>
          </w:p>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项目负责人近</w:t>
            </w:r>
            <w:r>
              <w:rPr>
                <w:rFonts w:hint="eastAsia" w:ascii="宋体" w:hAnsi="宋体" w:cs="宋体"/>
                <w:sz w:val="18"/>
                <w:szCs w:val="18"/>
                <w:lang w:val="en-US" w:eastAsia="zh-CN"/>
              </w:rPr>
              <w:t>三</w:t>
            </w:r>
            <w:r>
              <w:rPr>
                <w:rFonts w:hint="eastAsia" w:ascii="宋体" w:hAnsi="宋体" w:eastAsia="宋体" w:cs="宋体"/>
                <w:sz w:val="18"/>
                <w:szCs w:val="18"/>
                <w:lang w:val="en-US" w:eastAsia="zh-CN"/>
              </w:rPr>
              <w:t>年（20</w:t>
            </w:r>
            <w:r>
              <w:rPr>
                <w:rFonts w:hint="eastAsia" w:ascii="宋体" w:hAnsi="宋体" w:cs="宋体"/>
                <w:sz w:val="18"/>
                <w:szCs w:val="18"/>
                <w:lang w:val="en-US" w:eastAsia="zh-CN"/>
              </w:rPr>
              <w:t>20</w:t>
            </w:r>
            <w:r>
              <w:rPr>
                <w:rFonts w:hint="eastAsia" w:ascii="宋体" w:hAnsi="宋体" w:eastAsia="宋体" w:cs="宋体"/>
                <w:sz w:val="18"/>
                <w:szCs w:val="18"/>
                <w:lang w:val="en-US" w:eastAsia="zh-CN"/>
              </w:rPr>
              <w:t>年</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月1日至今，以招标公告发布时间为准）担任过通过江苏省交通运输厅招投标信息管理系统完成的招标代理项目的项目负责人</w:t>
            </w:r>
            <w:r>
              <w:rPr>
                <w:rFonts w:hint="eastAsia" w:ascii="宋体" w:hAnsi="宋体" w:cs="宋体"/>
                <w:sz w:val="18"/>
                <w:szCs w:val="18"/>
                <w:lang w:val="en-US" w:eastAsia="zh-CN"/>
              </w:rPr>
              <w:t>的</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有每1个业绩得1分，最多</w:t>
            </w:r>
            <w:r>
              <w:rPr>
                <w:rFonts w:hint="eastAsia" w:ascii="宋体" w:hAnsi="宋体" w:eastAsia="宋体" w:cs="宋体"/>
                <w:sz w:val="18"/>
                <w:szCs w:val="18"/>
                <w:lang w:val="en-US" w:eastAsia="zh-CN"/>
              </w:rPr>
              <w:t>得4分</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提供项目招标公告网页截图</w:t>
            </w:r>
            <w:r>
              <w:rPr>
                <w:rFonts w:hint="eastAsia" w:ascii="宋体" w:hAnsi="宋体" w:cs="宋体"/>
                <w:sz w:val="18"/>
                <w:szCs w:val="18"/>
                <w:lang w:val="en-US" w:eastAsia="zh-CN"/>
              </w:rPr>
              <w:t>、中标通知书</w:t>
            </w:r>
            <w:r>
              <w:rPr>
                <w:rFonts w:hint="eastAsia" w:ascii="宋体" w:hAnsi="宋体" w:eastAsia="宋体" w:cs="宋体"/>
                <w:sz w:val="18"/>
                <w:szCs w:val="18"/>
                <w:lang w:val="en-US" w:eastAsia="zh-CN"/>
              </w:rPr>
              <w:t>及项目负责人证明材料</w:t>
            </w:r>
            <w:r>
              <w:rPr>
                <w:rFonts w:hint="eastAsia" w:ascii="宋体" w:hAnsi="宋体" w:cs="宋体"/>
                <w:sz w:val="18"/>
                <w:szCs w:val="18"/>
                <w:lang w:val="en-US" w:eastAsia="zh-CN"/>
              </w:rPr>
              <w:t>（如招标代理协议等）。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22" w:type="dxa"/>
            <w:vMerge w:val="continue"/>
            <w:vAlign w:val="center"/>
          </w:tcPr>
          <w:p>
            <w:pPr>
              <w:rPr>
                <w:rFonts w:hint="eastAsia" w:ascii="宋体" w:hAnsi="宋体" w:eastAsia="宋体" w:cs="宋体"/>
                <w:sz w:val="18"/>
                <w:szCs w:val="18"/>
              </w:rPr>
            </w:pPr>
          </w:p>
        </w:tc>
        <w:tc>
          <w:tcPr>
            <w:tcW w:w="1062" w:type="dxa"/>
            <w:gridSpan w:val="2"/>
            <w:vMerge w:val="continue"/>
            <w:vAlign w:val="center"/>
          </w:tcPr>
          <w:p>
            <w:pPr>
              <w:rPr>
                <w:rFonts w:hint="eastAsia" w:ascii="宋体" w:hAnsi="宋体" w:eastAsia="宋体" w:cs="宋体"/>
                <w:sz w:val="18"/>
                <w:szCs w:val="18"/>
              </w:rPr>
            </w:pPr>
          </w:p>
        </w:tc>
        <w:tc>
          <w:tcPr>
            <w:tcW w:w="1038" w:type="dxa"/>
            <w:vMerge w:val="continue"/>
            <w:vAlign w:val="center"/>
          </w:tcPr>
          <w:p>
            <w:pPr>
              <w:rPr>
                <w:rFonts w:hint="eastAsia" w:ascii="宋体" w:hAnsi="宋体" w:eastAsia="宋体" w:cs="宋体"/>
                <w:sz w:val="18"/>
                <w:szCs w:val="18"/>
              </w:rPr>
            </w:pPr>
          </w:p>
        </w:tc>
        <w:tc>
          <w:tcPr>
            <w:tcW w:w="1846" w:type="dxa"/>
            <w:gridSpan w:val="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团队成员</w:t>
            </w:r>
            <w:r>
              <w:rPr>
                <w:rFonts w:hint="eastAsia" w:ascii="宋体" w:hAnsi="宋体" w:cs="宋体"/>
                <w:sz w:val="18"/>
                <w:szCs w:val="18"/>
                <w:lang w:val="en-US" w:eastAsia="zh-CN"/>
              </w:rPr>
              <w:t>资历</w:t>
            </w:r>
          </w:p>
        </w:tc>
        <w:tc>
          <w:tcPr>
            <w:tcW w:w="720" w:type="dxa"/>
            <w:vAlign w:val="center"/>
          </w:tcPr>
          <w:p>
            <w:pPr>
              <w:ind w:left="102" w:left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10分</w:t>
            </w:r>
          </w:p>
        </w:tc>
        <w:tc>
          <w:tcPr>
            <w:tcW w:w="2834" w:type="dxa"/>
            <w:vAlign w:val="center"/>
          </w:tcPr>
          <w:p>
            <w:pPr>
              <w:numPr>
                <w:ilvl w:val="0"/>
                <w:numId w:val="1"/>
              </w:numPr>
              <w:rPr>
                <w:rFonts w:hint="eastAsia" w:ascii="宋体" w:hAnsi="宋体" w:eastAsia="宋体" w:cs="宋体"/>
                <w:sz w:val="18"/>
                <w:szCs w:val="18"/>
              </w:rPr>
            </w:pPr>
            <w:r>
              <w:rPr>
                <w:rFonts w:hint="eastAsia" w:ascii="宋体" w:hAnsi="宋体" w:eastAsia="宋体" w:cs="宋体"/>
                <w:sz w:val="18"/>
                <w:szCs w:val="18"/>
              </w:rPr>
              <w:t>团队工作人员</w:t>
            </w:r>
            <w:r>
              <w:rPr>
                <w:rFonts w:hint="eastAsia" w:ascii="宋体" w:hAnsi="宋体" w:eastAsia="宋体" w:cs="宋体"/>
                <w:sz w:val="18"/>
                <w:szCs w:val="18"/>
                <w:lang w:val="en-US" w:eastAsia="zh-CN"/>
              </w:rPr>
              <w:t>具备高级职称及以上，每有1个加1分，最多加3分。</w:t>
            </w:r>
          </w:p>
          <w:p>
            <w:pPr>
              <w:numPr>
                <w:ilvl w:val="0"/>
                <w:numId w:val="1"/>
              </w:numPr>
              <w:rPr>
                <w:rFonts w:hint="eastAsia" w:ascii="宋体" w:hAnsi="宋体" w:eastAsia="宋体" w:cs="宋体"/>
                <w:sz w:val="18"/>
                <w:szCs w:val="18"/>
              </w:rPr>
            </w:pPr>
            <w:r>
              <w:rPr>
                <w:rFonts w:hint="eastAsia" w:ascii="宋体" w:hAnsi="宋体" w:eastAsia="宋体" w:cs="宋体"/>
                <w:sz w:val="18"/>
                <w:szCs w:val="18"/>
              </w:rPr>
              <w:t>团队工作人员</w:t>
            </w:r>
            <w:r>
              <w:rPr>
                <w:rFonts w:hint="eastAsia" w:ascii="宋体" w:hAnsi="宋体" w:eastAsia="宋体" w:cs="宋体"/>
                <w:sz w:val="18"/>
                <w:szCs w:val="18"/>
                <w:lang w:val="en-US" w:eastAsia="zh-CN"/>
              </w:rPr>
              <w:t>具备一级注册造价师的每有1个加1分，最多加3分。</w:t>
            </w:r>
          </w:p>
          <w:p>
            <w:pPr>
              <w:numPr>
                <w:ilvl w:val="0"/>
                <w:numId w:val="1"/>
              </w:numPr>
              <w:rPr>
                <w:rFonts w:hint="eastAsia" w:ascii="宋体" w:hAnsi="宋体" w:eastAsia="宋体" w:cs="宋体"/>
                <w:sz w:val="18"/>
                <w:szCs w:val="18"/>
                <w:lang w:val="en-US" w:eastAsia="zh-CN"/>
              </w:rPr>
            </w:pPr>
            <w:r>
              <w:rPr>
                <w:rFonts w:hint="eastAsia" w:ascii="宋体" w:hAnsi="宋体" w:eastAsia="宋体" w:cs="宋体"/>
                <w:sz w:val="18"/>
                <w:szCs w:val="18"/>
              </w:rPr>
              <w:t>团队工作人员</w:t>
            </w:r>
            <w:r>
              <w:rPr>
                <w:rFonts w:hint="eastAsia" w:ascii="宋体" w:hAnsi="宋体" w:eastAsia="宋体" w:cs="宋体"/>
                <w:sz w:val="18"/>
                <w:szCs w:val="18"/>
                <w:lang w:val="en-US" w:eastAsia="zh-CN"/>
              </w:rPr>
              <w:t>具备工程注册类执业资格的，每有1个加1分，最多加4分。</w:t>
            </w:r>
          </w:p>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注：所有加分人员均需提供</w:t>
            </w:r>
            <w:r>
              <w:rPr>
                <w:rFonts w:hint="eastAsia" w:ascii="宋体" w:hAnsi="宋体" w:eastAsia="宋体" w:cs="宋体"/>
                <w:sz w:val="18"/>
                <w:szCs w:val="18"/>
              </w:rPr>
              <w:t>近6个月社保证明</w:t>
            </w:r>
            <w:r>
              <w:rPr>
                <w:rFonts w:hint="eastAsia" w:ascii="宋体" w:hAnsi="宋体" w:eastAsia="宋体" w:cs="宋体"/>
                <w:sz w:val="18"/>
                <w:szCs w:val="18"/>
                <w:lang w:eastAsia="zh-CN"/>
              </w:rPr>
              <w:t>，</w:t>
            </w:r>
            <w:r>
              <w:rPr>
                <w:rFonts w:hint="eastAsia" w:ascii="宋体" w:hAnsi="宋体" w:eastAsia="宋体" w:cs="宋体"/>
                <w:sz w:val="18"/>
                <w:szCs w:val="18"/>
              </w:rPr>
              <w:t>否则均不予认可。拟投入项目组成员不少于10人，少于10人得0分。</w:t>
            </w:r>
            <w:r>
              <w:rPr>
                <w:rFonts w:hint="eastAsia" w:ascii="宋体" w:hAnsi="宋体" w:eastAsia="宋体" w:cs="宋体"/>
                <w:sz w:val="18"/>
                <w:szCs w:val="18"/>
                <w:lang w:val="en-US" w:eastAsia="zh-CN"/>
              </w:rPr>
              <w:t>项目负责人不计入该项得分。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22" w:type="dxa"/>
            <w:gridSpan w:val="8"/>
            <w:vAlign w:val="center"/>
          </w:tcPr>
          <w:p>
            <w:pPr>
              <w:spacing w:line="360" w:lineRule="auto"/>
              <w:rPr>
                <w:rFonts w:ascii="宋体" w:hAnsi="宋体" w:cs="宋体"/>
                <w:b/>
                <w:szCs w:val="21"/>
                <w:highlight w:val="none"/>
              </w:rPr>
            </w:pPr>
            <w:r>
              <w:rPr>
                <w:rFonts w:hint="eastAsia" w:ascii="宋体" w:hAnsi="宋体" w:cs="宋体"/>
                <w:b/>
                <w:szCs w:val="21"/>
                <w:highlight w:val="none"/>
              </w:rPr>
              <w:t>3.3需补充的其他内容：</w:t>
            </w:r>
          </w:p>
          <w:p>
            <w:pPr>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lang w:val="en-US" w:eastAsia="zh-CN"/>
              </w:rPr>
              <w:t>部分各单项的得分应分别为评标委员会所有委员该项评分（七个或以上时去掉1个最高值和1个最低值后）的算术平均值。</w:t>
            </w:r>
            <w:r>
              <w:rPr>
                <w:rFonts w:hint="eastAsia" w:ascii="宋体" w:hAnsi="宋体" w:eastAsia="宋体" w:cs="宋体"/>
                <w:snapToGrid w:val="0"/>
                <w:color w:val="auto"/>
                <w:kern w:val="0"/>
                <w:sz w:val="21"/>
                <w:szCs w:val="21"/>
                <w:highlight w:val="none"/>
              </w:rPr>
              <w:t>技术</w:t>
            </w:r>
            <w:r>
              <w:rPr>
                <w:rFonts w:hint="eastAsia" w:ascii="宋体" w:hAnsi="宋体" w:eastAsia="宋体" w:cs="宋体"/>
                <w:snapToGrid w:val="0"/>
                <w:color w:val="auto"/>
                <w:kern w:val="0"/>
                <w:sz w:val="21"/>
                <w:szCs w:val="21"/>
                <w:highlight w:val="none"/>
                <w:lang w:val="en-US" w:eastAsia="zh-CN"/>
              </w:rPr>
              <w:t>部分</w:t>
            </w:r>
            <w:r>
              <w:rPr>
                <w:rFonts w:hint="eastAsia" w:ascii="宋体" w:hAnsi="宋体" w:eastAsia="宋体" w:cs="宋体"/>
                <w:snapToGrid w:val="0"/>
                <w:color w:val="auto"/>
                <w:kern w:val="0"/>
                <w:sz w:val="21"/>
                <w:szCs w:val="21"/>
                <w:highlight w:val="none"/>
              </w:rPr>
              <w:t>得分为各</w:t>
            </w:r>
            <w:r>
              <w:rPr>
                <w:rFonts w:hint="eastAsia" w:ascii="宋体" w:hAnsi="宋体" w:eastAsia="宋体" w:cs="宋体"/>
                <w:snapToGrid w:val="0"/>
                <w:color w:val="auto"/>
                <w:kern w:val="0"/>
                <w:sz w:val="21"/>
                <w:szCs w:val="21"/>
                <w:highlight w:val="none"/>
                <w:lang w:val="en-US" w:eastAsia="zh-CN"/>
              </w:rPr>
              <w:t>单</w:t>
            </w:r>
            <w:r>
              <w:rPr>
                <w:rFonts w:hint="eastAsia" w:ascii="宋体" w:hAnsi="宋体" w:eastAsia="宋体" w:cs="宋体"/>
                <w:snapToGrid w:val="0"/>
                <w:color w:val="auto"/>
                <w:kern w:val="0"/>
                <w:sz w:val="21"/>
                <w:szCs w:val="21"/>
                <w:highlight w:val="none"/>
              </w:rPr>
              <w:t>项得分之和（四舍五入保留两位小数）。</w:t>
            </w:r>
          </w:p>
          <w:p>
            <w:pPr>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（2）商务部分各单项的得分应分别为评标委员会所有委员该项评分（七个或以上时去掉1个最高值和1个最低值后）的算术平均值。商务部分得分为各单项得分之和（四舍五入保留两位小数）。</w:t>
            </w:r>
          </w:p>
          <w:p>
            <w:pPr>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（3）综合得分为技术部分得分与商务部分得分之和（四舍五入保留两位小数）。</w:t>
            </w:r>
          </w:p>
          <w:p>
            <w:pPr>
              <w:numPr>
                <w:ilvl w:val="0"/>
                <w:numId w:val="0"/>
              </w:numPr>
              <w:jc w:val="left"/>
              <w:rPr>
                <w:rFonts w:hint="eastAsia"/>
                <w:color w:val="auto"/>
                <w:lang w:val="en-US" w:eastAsia="zh-CN"/>
              </w:rPr>
            </w:pPr>
            <w:r>
              <w:rPr>
                <w:rFonts w:hint="eastAsia" w:ascii="宋体" w:hAnsi="宋体" w:eastAsia="宋体" w:cs="宋体"/>
                <w:color w:val="auto"/>
                <w:sz w:val="21"/>
                <w:szCs w:val="21"/>
                <w:highlight w:val="none"/>
                <w:lang w:val="en-US" w:eastAsia="zh-CN"/>
              </w:rPr>
              <w:t>（4）评标委员会按投标人综合得分从高到低顺序推荐中标候选人，</w:t>
            </w:r>
            <w:r>
              <w:rPr>
                <w:rFonts w:hint="eastAsia" w:ascii="宋体" w:hAnsi="宋体" w:eastAsia="宋体" w:cs="宋体"/>
                <w:color w:val="auto"/>
                <w:sz w:val="21"/>
                <w:szCs w:val="21"/>
                <w:highlight w:val="none"/>
                <w:lang w:val="zh-CN" w:eastAsia="zh-CN"/>
              </w:rPr>
              <w:t>确定排名第一</w:t>
            </w:r>
            <w:r>
              <w:rPr>
                <w:rFonts w:hint="eastAsia" w:ascii="宋体" w:hAnsi="宋体" w:eastAsia="宋体" w:cs="宋体"/>
                <w:color w:val="auto"/>
                <w:sz w:val="21"/>
                <w:szCs w:val="21"/>
                <w:highlight w:val="none"/>
                <w:lang w:val="en-US" w:eastAsia="zh-CN"/>
              </w:rPr>
              <w:t>及第二</w:t>
            </w:r>
            <w:r>
              <w:rPr>
                <w:rFonts w:hint="eastAsia" w:ascii="宋体" w:hAnsi="宋体" w:eastAsia="宋体" w:cs="宋体"/>
                <w:color w:val="auto"/>
                <w:sz w:val="21"/>
                <w:szCs w:val="21"/>
                <w:highlight w:val="none"/>
                <w:lang w:val="zh-CN" w:eastAsia="zh-CN"/>
              </w:rPr>
              <w:t>的中标候选人为中标人。如果排名</w:t>
            </w:r>
            <w:r>
              <w:rPr>
                <w:rFonts w:hint="eastAsia" w:ascii="宋体" w:hAnsi="宋体" w:eastAsia="宋体" w:cs="宋体"/>
                <w:color w:val="auto"/>
                <w:sz w:val="21"/>
                <w:szCs w:val="21"/>
                <w:highlight w:val="none"/>
                <w:lang w:val="en-US" w:eastAsia="zh-CN"/>
              </w:rPr>
              <w:t>前2</w:t>
            </w:r>
            <w:r>
              <w:rPr>
                <w:rFonts w:hint="eastAsia" w:ascii="宋体" w:hAnsi="宋体" w:eastAsia="宋体" w:cs="宋体"/>
                <w:color w:val="auto"/>
                <w:sz w:val="21"/>
                <w:szCs w:val="21"/>
                <w:highlight w:val="none"/>
                <w:lang w:val="zh-CN" w:eastAsia="zh-CN"/>
              </w:rPr>
              <w:t>的中标候选人放弃中标、因不可抗力提出不能履行合同或者招标文件规定应当提交履约担保而在规定期限未能提交的，招标人将依法确定排名第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eastAsia="zh-CN"/>
              </w:rPr>
              <w:t>的中标候选人为中标人，依此类推，当所有中标候选人因上述原因不能签订合同的，招标人将依法重新招标。</w:t>
            </w:r>
          </w:p>
          <w:p>
            <w:pPr>
              <w:rPr>
                <w:rFonts w:hint="eastAsia" w:ascii="宋体" w:hAnsi="宋体" w:eastAsia="宋体" w:cs="宋体"/>
                <w:szCs w:val="21"/>
              </w:rPr>
            </w:pPr>
          </w:p>
        </w:tc>
      </w:tr>
    </w:tbl>
    <w:p/>
    <w:p>
      <w:pPr>
        <w:rPr>
          <w:sz w:val="28"/>
          <w:szCs w:val="28"/>
        </w:rPr>
      </w:pPr>
      <w:r>
        <w:rPr>
          <w:sz w:val="28"/>
          <w:szCs w:val="28"/>
        </w:rPr>
        <w:br w:type="page"/>
      </w:r>
    </w:p>
    <w:p>
      <w:pPr>
        <w:spacing w:line="400" w:lineRule="exact"/>
        <w:outlineLvl w:val="1"/>
        <w:rPr>
          <w:sz w:val="28"/>
          <w:szCs w:val="28"/>
        </w:rPr>
      </w:pPr>
      <w:r>
        <w:rPr>
          <w:sz w:val="28"/>
          <w:szCs w:val="28"/>
        </w:rPr>
        <w:t xml:space="preserve">1. </w:t>
      </w:r>
      <w:r>
        <w:rPr>
          <w:rFonts w:hint="eastAsia"/>
          <w:sz w:val="28"/>
          <w:szCs w:val="28"/>
        </w:rPr>
        <w:t>评标方法</w:t>
      </w:r>
      <w:bookmarkEnd w:id="59"/>
      <w:bookmarkEnd w:id="60"/>
      <w:bookmarkEnd w:id="61"/>
    </w:p>
    <w:p>
      <w:pPr>
        <w:spacing w:line="400" w:lineRule="exact"/>
        <w:ind w:firstLine="420" w:firstLineChars="200"/>
      </w:pPr>
      <w:r>
        <w:rPr>
          <w:rFonts w:hint="eastAsia"/>
        </w:rPr>
        <w:t>本次评标采用综合评估法。评标委员会对满足招标文件实质性要求的投标文件，按照本章第</w:t>
      </w:r>
      <w:r>
        <w:t>2.2</w:t>
      </w:r>
      <w:r>
        <w:rPr>
          <w:rFonts w:hint="eastAsia"/>
        </w:rPr>
        <w:t>款规定的评分标准进行打分，并按得分由高到低顺序推荐中标候选人，或根据招标人授权直接确定中标人。综合评分相等时，以</w:t>
      </w:r>
      <w:r>
        <w:rPr>
          <w:rFonts w:hint="eastAsia"/>
          <w:lang w:val="en-US" w:eastAsia="zh-CN"/>
        </w:rPr>
        <w:t>技术部分得分高</w:t>
      </w:r>
      <w:r>
        <w:rPr>
          <w:rFonts w:hint="eastAsia"/>
        </w:rPr>
        <w:t>的优先；</w:t>
      </w:r>
      <w:r>
        <w:rPr>
          <w:rFonts w:hint="eastAsia"/>
          <w:lang w:val="en-US" w:eastAsia="zh-CN"/>
        </w:rPr>
        <w:t>技术部分得分</w:t>
      </w:r>
      <w:r>
        <w:rPr>
          <w:rFonts w:hint="eastAsia"/>
        </w:rPr>
        <w:t>也相等的，由招标人自行确定。</w:t>
      </w:r>
    </w:p>
    <w:p>
      <w:pPr>
        <w:spacing w:line="400" w:lineRule="exact"/>
        <w:outlineLvl w:val="1"/>
        <w:rPr>
          <w:sz w:val="28"/>
          <w:szCs w:val="28"/>
        </w:rPr>
      </w:pPr>
      <w:bookmarkStart w:id="64" w:name="_Toc286357742"/>
      <w:bookmarkStart w:id="65" w:name="_Toc303840943"/>
      <w:bookmarkStart w:id="66" w:name="_Toc30344"/>
      <w:r>
        <w:rPr>
          <w:sz w:val="28"/>
          <w:szCs w:val="28"/>
        </w:rPr>
        <w:t xml:space="preserve">2. </w:t>
      </w:r>
      <w:r>
        <w:rPr>
          <w:rFonts w:hint="eastAsia"/>
          <w:sz w:val="28"/>
          <w:szCs w:val="28"/>
        </w:rPr>
        <w:t>评审标准</w:t>
      </w:r>
      <w:bookmarkEnd w:id="64"/>
      <w:bookmarkEnd w:id="65"/>
      <w:bookmarkEnd w:id="66"/>
    </w:p>
    <w:p>
      <w:pPr>
        <w:spacing w:line="400" w:lineRule="exact"/>
        <w:outlineLvl w:val="2"/>
        <w:rPr>
          <w:sz w:val="24"/>
        </w:rPr>
      </w:pPr>
      <w:bookmarkStart w:id="67" w:name="_Toc303840944"/>
      <w:bookmarkStart w:id="68" w:name="_Toc20062"/>
      <w:bookmarkStart w:id="69" w:name="_Toc286357743"/>
      <w:r>
        <w:rPr>
          <w:sz w:val="24"/>
        </w:rPr>
        <w:t xml:space="preserve">2.1 </w:t>
      </w:r>
      <w:r>
        <w:rPr>
          <w:rFonts w:hint="eastAsia"/>
          <w:sz w:val="24"/>
        </w:rPr>
        <w:t>初步评审标准</w:t>
      </w:r>
      <w:bookmarkEnd w:id="67"/>
      <w:bookmarkEnd w:id="68"/>
      <w:bookmarkEnd w:id="69"/>
    </w:p>
    <w:p>
      <w:pPr>
        <w:spacing w:line="400" w:lineRule="exact"/>
        <w:ind w:firstLine="420" w:firstLineChars="200"/>
      </w:pPr>
      <w:r>
        <w:t xml:space="preserve">2.1.1  </w:t>
      </w:r>
      <w:r>
        <w:rPr>
          <w:rFonts w:hint="eastAsia"/>
        </w:rPr>
        <w:t>形式评审标准：见评标办法前附表。</w:t>
      </w:r>
    </w:p>
    <w:p>
      <w:pPr>
        <w:spacing w:line="400" w:lineRule="exact"/>
        <w:ind w:firstLine="420" w:firstLineChars="200"/>
      </w:pPr>
      <w:r>
        <w:t xml:space="preserve">2.1.2 </w:t>
      </w:r>
      <w:r>
        <w:rPr>
          <w:rFonts w:hint="eastAsia"/>
          <w:lang w:val="en-US" w:eastAsia="zh-CN"/>
        </w:rPr>
        <w:t xml:space="preserve"> </w:t>
      </w:r>
      <w:r>
        <w:rPr>
          <w:rFonts w:hint="eastAsia"/>
        </w:rPr>
        <w:t>资格评审标准：见评标办法前附表。</w:t>
      </w:r>
    </w:p>
    <w:p>
      <w:pPr>
        <w:spacing w:line="400" w:lineRule="exact"/>
        <w:ind w:firstLine="420" w:firstLineChars="200"/>
      </w:pPr>
      <w:r>
        <w:t xml:space="preserve">2.1.3  </w:t>
      </w:r>
      <w:r>
        <w:rPr>
          <w:rFonts w:hint="eastAsia"/>
        </w:rPr>
        <w:t>响应性评审标准：见评标办法前附表。</w:t>
      </w:r>
    </w:p>
    <w:p>
      <w:pPr>
        <w:spacing w:line="400" w:lineRule="exact"/>
        <w:outlineLvl w:val="2"/>
        <w:rPr>
          <w:sz w:val="24"/>
        </w:rPr>
      </w:pPr>
      <w:bookmarkStart w:id="70" w:name="_Toc286357744"/>
      <w:bookmarkStart w:id="71" w:name="_Toc303840945"/>
      <w:bookmarkStart w:id="72" w:name="_Toc5388"/>
      <w:r>
        <w:rPr>
          <w:sz w:val="24"/>
        </w:rPr>
        <w:t xml:space="preserve">2.2 </w:t>
      </w:r>
      <w:r>
        <w:rPr>
          <w:rFonts w:hint="eastAsia"/>
          <w:sz w:val="24"/>
        </w:rPr>
        <w:t>分值构成与评分标准</w:t>
      </w:r>
      <w:bookmarkEnd w:id="70"/>
      <w:bookmarkEnd w:id="71"/>
      <w:bookmarkEnd w:id="72"/>
    </w:p>
    <w:p>
      <w:pPr>
        <w:spacing w:line="400" w:lineRule="exact"/>
        <w:ind w:firstLine="420" w:firstLineChars="200"/>
      </w:pPr>
      <w:r>
        <w:t xml:space="preserve">2.2.1  </w:t>
      </w:r>
      <w:r>
        <w:rPr>
          <w:rFonts w:hint="eastAsia"/>
        </w:rPr>
        <w:t>分值构成</w:t>
      </w:r>
    </w:p>
    <w:p>
      <w:pPr>
        <w:spacing w:line="400" w:lineRule="exact"/>
        <w:ind w:firstLine="420" w:firstLineChars="200"/>
        <w:rPr>
          <w:rFonts w:hint="eastAsia" w:eastAsia="宋体"/>
          <w:lang w:eastAsia="zh-CN"/>
        </w:rPr>
      </w:pPr>
      <w:r>
        <w:rPr>
          <w:rFonts w:hint="eastAsia"/>
        </w:rPr>
        <w:t>（</w:t>
      </w:r>
      <w:r>
        <w:t>1</w:t>
      </w:r>
      <w:r>
        <w:rPr>
          <w:rFonts w:hint="eastAsia"/>
        </w:rPr>
        <w:t>）技术部分：见评标办法前附表</w:t>
      </w:r>
      <w:r>
        <w:rPr>
          <w:rFonts w:hint="eastAsia"/>
          <w:lang w:eastAsia="zh-CN"/>
        </w:rPr>
        <w:t>。</w:t>
      </w:r>
    </w:p>
    <w:p>
      <w:pPr>
        <w:spacing w:line="400" w:lineRule="exact"/>
        <w:ind w:firstLine="420" w:firstLineChars="200"/>
        <w:rPr>
          <w:rFonts w:hint="eastAsia" w:eastAsia="宋体"/>
          <w:lang w:eastAsia="zh-CN"/>
        </w:rPr>
      </w:pPr>
      <w:r>
        <w:rPr>
          <w:rFonts w:hint="eastAsia"/>
        </w:rPr>
        <w:t>（</w:t>
      </w:r>
      <w:r>
        <w:t>2</w:t>
      </w:r>
      <w:r>
        <w:rPr>
          <w:rFonts w:hint="eastAsia"/>
        </w:rPr>
        <w:t>）商务部分：见评标办法前附表</w:t>
      </w:r>
      <w:r>
        <w:rPr>
          <w:rFonts w:hint="eastAsia"/>
          <w:lang w:eastAsia="zh-CN"/>
        </w:rPr>
        <w:t>。</w:t>
      </w:r>
    </w:p>
    <w:p>
      <w:pPr>
        <w:spacing w:line="400" w:lineRule="exact"/>
        <w:ind w:firstLine="420" w:firstLineChars="200"/>
      </w:pPr>
      <w:r>
        <w:t xml:space="preserve">2.2.2 </w:t>
      </w:r>
      <w:r>
        <w:rPr>
          <w:rFonts w:hint="eastAsia"/>
        </w:rPr>
        <w:t>评标基准价计算评标基准价计算方法：见评标办法前附表。</w:t>
      </w:r>
    </w:p>
    <w:p>
      <w:pPr>
        <w:spacing w:line="400" w:lineRule="exact"/>
        <w:ind w:firstLine="420" w:firstLineChars="200"/>
      </w:pPr>
      <w:r>
        <w:t xml:space="preserve">2.2.3 </w:t>
      </w:r>
      <w:r>
        <w:rPr>
          <w:rFonts w:hint="eastAsia"/>
        </w:rPr>
        <w:t>投标报价的偏差率计算投标报价的偏差率计算公式：见评标办法前附表。</w:t>
      </w:r>
    </w:p>
    <w:p>
      <w:pPr>
        <w:spacing w:line="400" w:lineRule="exact"/>
        <w:ind w:firstLine="420" w:firstLineChars="200"/>
      </w:pPr>
      <w:r>
        <w:t xml:space="preserve">2.2.4  </w:t>
      </w:r>
      <w:r>
        <w:rPr>
          <w:rFonts w:hint="eastAsia"/>
        </w:rPr>
        <w:t>评分标准</w:t>
      </w:r>
    </w:p>
    <w:p>
      <w:pPr>
        <w:spacing w:line="400" w:lineRule="exact"/>
        <w:ind w:firstLine="420" w:firstLineChars="200"/>
        <w:rPr>
          <w:rFonts w:hint="eastAsia" w:eastAsia="宋体"/>
          <w:lang w:eastAsia="zh-CN"/>
        </w:rPr>
      </w:pPr>
      <w:r>
        <w:rPr>
          <w:rFonts w:hint="eastAsia"/>
        </w:rPr>
        <w:t>（</w:t>
      </w:r>
      <w:r>
        <w:t>1</w:t>
      </w:r>
      <w:r>
        <w:rPr>
          <w:rFonts w:hint="eastAsia"/>
        </w:rPr>
        <w:t>）技术部分评分标准：见评标办法前附表</w:t>
      </w:r>
      <w:r>
        <w:rPr>
          <w:rFonts w:hint="eastAsia"/>
          <w:lang w:eastAsia="zh-CN"/>
        </w:rPr>
        <w:t>。</w:t>
      </w:r>
    </w:p>
    <w:p>
      <w:pPr>
        <w:spacing w:line="400" w:lineRule="exact"/>
        <w:ind w:firstLine="420" w:firstLineChars="200"/>
        <w:rPr>
          <w:rFonts w:hint="eastAsia" w:eastAsia="宋体"/>
          <w:lang w:eastAsia="zh-CN"/>
        </w:rPr>
      </w:pPr>
      <w:r>
        <w:rPr>
          <w:rFonts w:hint="eastAsia"/>
        </w:rPr>
        <w:t>（</w:t>
      </w:r>
      <w:r>
        <w:t>2</w:t>
      </w:r>
      <w:r>
        <w:rPr>
          <w:rFonts w:hint="eastAsia"/>
        </w:rPr>
        <w:t>）商务部分评分标准：见评标办法前附表</w:t>
      </w:r>
      <w:r>
        <w:rPr>
          <w:rFonts w:hint="eastAsia"/>
          <w:lang w:eastAsia="zh-CN"/>
        </w:rPr>
        <w:t>。</w:t>
      </w:r>
    </w:p>
    <w:p>
      <w:pPr>
        <w:spacing w:line="380" w:lineRule="exact"/>
        <w:outlineLvl w:val="1"/>
        <w:rPr>
          <w:sz w:val="28"/>
          <w:szCs w:val="28"/>
        </w:rPr>
      </w:pPr>
      <w:bookmarkStart w:id="73" w:name="_Toc25768"/>
      <w:bookmarkStart w:id="74" w:name="_Toc303840946"/>
      <w:bookmarkStart w:id="75" w:name="_Toc286357745"/>
      <w:r>
        <w:rPr>
          <w:sz w:val="28"/>
          <w:szCs w:val="28"/>
        </w:rPr>
        <w:t xml:space="preserve">3. </w:t>
      </w:r>
      <w:r>
        <w:rPr>
          <w:rFonts w:hint="eastAsia"/>
          <w:sz w:val="28"/>
          <w:szCs w:val="28"/>
        </w:rPr>
        <w:t>评标程序</w:t>
      </w:r>
      <w:bookmarkEnd w:id="73"/>
      <w:bookmarkEnd w:id="74"/>
      <w:bookmarkEnd w:id="75"/>
    </w:p>
    <w:p>
      <w:pPr>
        <w:spacing w:line="380" w:lineRule="exact"/>
        <w:outlineLvl w:val="2"/>
        <w:rPr>
          <w:sz w:val="24"/>
        </w:rPr>
      </w:pPr>
      <w:bookmarkStart w:id="76" w:name="_Toc286357746"/>
      <w:bookmarkStart w:id="77" w:name="_Toc303840947"/>
      <w:bookmarkStart w:id="78" w:name="_Toc8271"/>
      <w:r>
        <w:rPr>
          <w:sz w:val="24"/>
        </w:rPr>
        <w:t xml:space="preserve">3.1 </w:t>
      </w:r>
      <w:r>
        <w:rPr>
          <w:rFonts w:hint="eastAsia"/>
          <w:sz w:val="24"/>
        </w:rPr>
        <w:t>初步评审</w:t>
      </w:r>
      <w:bookmarkEnd w:id="76"/>
      <w:bookmarkEnd w:id="77"/>
      <w:bookmarkEnd w:id="78"/>
    </w:p>
    <w:p>
      <w:pPr>
        <w:spacing w:line="380" w:lineRule="exact"/>
        <w:ind w:firstLine="420" w:firstLineChars="200"/>
      </w:pPr>
      <w:r>
        <w:t xml:space="preserve">3.1.1  </w:t>
      </w:r>
      <w:r>
        <w:rPr>
          <w:rFonts w:hint="eastAsia"/>
        </w:rPr>
        <w:t>评评标委员会可以要求投标人提交第二章“投标人须知”第</w:t>
      </w:r>
      <w:r>
        <w:t xml:space="preserve">3.5.1 </w:t>
      </w:r>
      <w:r>
        <w:rPr>
          <w:rFonts w:hint="eastAsia"/>
        </w:rPr>
        <w:t>项至第</w:t>
      </w:r>
      <w:r>
        <w:t xml:space="preserve">3.5.5 </w:t>
      </w:r>
      <w:r>
        <w:rPr>
          <w:rFonts w:hint="eastAsia"/>
        </w:rPr>
        <w:t>项规定的有关证明和证件的原件，以便核验。评标委员会依据本章第</w:t>
      </w:r>
      <w:r>
        <w:t xml:space="preserve">2.1 </w:t>
      </w:r>
      <w:r>
        <w:rPr>
          <w:rFonts w:hint="eastAsia"/>
        </w:rPr>
        <w:t>款规定的标准对投标文件进行初步评审。有一项不符合评审标准的，作</w:t>
      </w:r>
      <w:r>
        <w:rPr>
          <w:rFonts w:hint="eastAsia"/>
          <w:lang w:val="en-US" w:eastAsia="zh-CN"/>
        </w:rPr>
        <w:t>否决投标</w:t>
      </w:r>
      <w:r>
        <w:rPr>
          <w:rFonts w:hint="eastAsia"/>
        </w:rPr>
        <w:t>处理。</w:t>
      </w:r>
    </w:p>
    <w:p>
      <w:pPr>
        <w:spacing w:line="380" w:lineRule="exact"/>
        <w:ind w:firstLine="420" w:firstLineChars="200"/>
      </w:pPr>
      <w:r>
        <w:t xml:space="preserve">3.1.2  </w:t>
      </w:r>
      <w:r>
        <w:rPr>
          <w:rFonts w:hint="eastAsia"/>
        </w:rPr>
        <w:t>投标人有以下情形之一的，其投标作废标处理：</w:t>
      </w:r>
    </w:p>
    <w:p>
      <w:pPr>
        <w:spacing w:line="380" w:lineRule="exact"/>
        <w:ind w:firstLine="420" w:firstLineChars="200"/>
      </w:pPr>
      <w:r>
        <w:rPr>
          <w:rFonts w:hint="eastAsia"/>
        </w:rPr>
        <w:t>（</w:t>
      </w:r>
      <w:r>
        <w:t>1</w:t>
      </w:r>
      <w:r>
        <w:rPr>
          <w:rFonts w:hint="eastAsia"/>
        </w:rPr>
        <w:t>）第二章总则第</w:t>
      </w:r>
      <w:r>
        <w:t>1.4.2</w:t>
      </w:r>
      <w:r>
        <w:rPr>
          <w:rFonts w:hint="eastAsia"/>
        </w:rPr>
        <w:t>项规定的任何一种情形的；</w:t>
      </w:r>
    </w:p>
    <w:p>
      <w:pPr>
        <w:spacing w:line="380" w:lineRule="exact"/>
        <w:ind w:firstLine="420" w:firstLineChars="200"/>
      </w:pPr>
      <w:r>
        <w:rPr>
          <w:rFonts w:hint="eastAsia"/>
        </w:rPr>
        <w:t>（</w:t>
      </w:r>
      <w:r>
        <w:t>2</w:t>
      </w:r>
      <w:r>
        <w:rPr>
          <w:rFonts w:hint="eastAsia"/>
        </w:rPr>
        <w:t>）串通投标或弄虚作假或有其他违法行为的；</w:t>
      </w:r>
    </w:p>
    <w:p>
      <w:pPr>
        <w:spacing w:line="380" w:lineRule="exact"/>
        <w:ind w:firstLine="420" w:firstLineChars="200"/>
      </w:pPr>
      <w:r>
        <w:rPr>
          <w:rFonts w:hint="eastAsia"/>
        </w:rPr>
        <w:t>（</w:t>
      </w:r>
      <w:r>
        <w:t>3</w:t>
      </w:r>
      <w:r>
        <w:rPr>
          <w:rFonts w:hint="eastAsia"/>
        </w:rPr>
        <w:t>）不按评标委员会要求澄清、说明或补正的。</w:t>
      </w:r>
    </w:p>
    <w:p>
      <w:pPr>
        <w:spacing w:line="380" w:lineRule="exact"/>
        <w:outlineLvl w:val="2"/>
        <w:rPr>
          <w:sz w:val="24"/>
        </w:rPr>
      </w:pPr>
      <w:bookmarkStart w:id="79" w:name="_Toc303840948"/>
      <w:bookmarkStart w:id="80" w:name="_Toc28052"/>
      <w:bookmarkStart w:id="81" w:name="_Toc286357747"/>
      <w:r>
        <w:rPr>
          <w:sz w:val="24"/>
        </w:rPr>
        <w:t xml:space="preserve">3.2  </w:t>
      </w:r>
      <w:r>
        <w:rPr>
          <w:rFonts w:hint="eastAsia"/>
          <w:sz w:val="24"/>
        </w:rPr>
        <w:t>详细评审</w:t>
      </w:r>
      <w:bookmarkEnd w:id="79"/>
      <w:bookmarkEnd w:id="80"/>
      <w:bookmarkEnd w:id="81"/>
    </w:p>
    <w:p>
      <w:pPr>
        <w:spacing w:line="380" w:lineRule="exact"/>
        <w:ind w:firstLine="420" w:firstLineChars="200"/>
      </w:pPr>
      <w:r>
        <w:t xml:space="preserve">3.2.1 </w:t>
      </w:r>
      <w:r>
        <w:rPr>
          <w:rFonts w:hint="eastAsia"/>
        </w:rPr>
        <w:t>评标委员会按本章</w:t>
      </w:r>
      <w:r>
        <w:rPr>
          <w:rFonts w:hint="eastAsia"/>
          <w:lang w:eastAsia="zh-CN"/>
        </w:rPr>
        <w:t>评标办法前附表</w:t>
      </w:r>
      <w:r>
        <w:rPr>
          <w:rFonts w:hint="eastAsia"/>
        </w:rPr>
        <w:t>规定的量化因素和分值进行打分，并计算出综合评估得分。</w:t>
      </w:r>
    </w:p>
    <w:p>
      <w:pPr>
        <w:spacing w:line="380" w:lineRule="exact"/>
        <w:ind w:firstLine="420" w:firstLineChars="200"/>
      </w:pPr>
      <w:r>
        <w:rPr>
          <w:rFonts w:hint="eastAsia"/>
        </w:rPr>
        <w:t>（</w:t>
      </w:r>
      <w:r>
        <w:t>1</w:t>
      </w:r>
      <w:r>
        <w:rPr>
          <w:rFonts w:hint="eastAsia"/>
        </w:rPr>
        <w:t>）按本章第</w:t>
      </w:r>
      <w:r>
        <w:rPr>
          <w:rFonts w:hint="eastAsia"/>
          <w:lang w:val="en-US" w:eastAsia="zh-CN"/>
        </w:rPr>
        <w:t>3</w:t>
      </w:r>
      <w:r>
        <w:t>.2.4</w:t>
      </w:r>
      <w:r>
        <w:rPr>
          <w:rFonts w:hint="eastAsia"/>
        </w:rPr>
        <w:t>（</w:t>
      </w:r>
      <w:r>
        <w:t>1</w:t>
      </w:r>
      <w:r>
        <w:rPr>
          <w:rFonts w:hint="eastAsia"/>
        </w:rPr>
        <w:t>）目规定的评审因素和分值对</w:t>
      </w:r>
      <w:r>
        <w:rPr>
          <w:rFonts w:hint="eastAsia"/>
          <w:lang w:val="en-US" w:eastAsia="zh-CN"/>
        </w:rPr>
        <w:t>技术部分</w:t>
      </w:r>
      <w:r>
        <w:rPr>
          <w:rFonts w:hint="eastAsia"/>
        </w:rPr>
        <w:t>等计算出得分</w:t>
      </w:r>
      <w:r>
        <w:t>A</w:t>
      </w:r>
      <w:r>
        <w:rPr>
          <w:rFonts w:hint="eastAsia"/>
        </w:rPr>
        <w:t>；</w:t>
      </w:r>
    </w:p>
    <w:p>
      <w:pPr>
        <w:spacing w:line="380" w:lineRule="exact"/>
        <w:ind w:firstLine="420" w:firstLineChars="200"/>
      </w:pPr>
      <w:r>
        <w:rPr>
          <w:rFonts w:hint="eastAsia"/>
        </w:rPr>
        <w:t>（</w:t>
      </w:r>
      <w:r>
        <w:t>2</w:t>
      </w:r>
      <w:r>
        <w:rPr>
          <w:rFonts w:hint="eastAsia"/>
        </w:rPr>
        <w:t>）按本章第</w:t>
      </w:r>
      <w:r>
        <w:rPr>
          <w:rFonts w:hint="eastAsia"/>
          <w:lang w:val="en-US" w:eastAsia="zh-CN"/>
        </w:rPr>
        <w:t>3</w:t>
      </w:r>
      <w:r>
        <w:t>.2.4</w:t>
      </w:r>
      <w:r>
        <w:rPr>
          <w:rFonts w:hint="eastAsia"/>
        </w:rPr>
        <w:t>（</w:t>
      </w:r>
      <w:r>
        <w:t>2</w:t>
      </w:r>
      <w:r>
        <w:rPr>
          <w:rFonts w:hint="eastAsia"/>
        </w:rPr>
        <w:t>）目规定的评审因素和分值对</w:t>
      </w:r>
      <w:r>
        <w:rPr>
          <w:rFonts w:hint="eastAsia"/>
          <w:lang w:val="en-US" w:eastAsia="zh-CN"/>
        </w:rPr>
        <w:t>商务部分</w:t>
      </w:r>
      <w:r>
        <w:rPr>
          <w:rFonts w:hint="eastAsia"/>
        </w:rPr>
        <w:t>计算出得分</w:t>
      </w:r>
      <w:r>
        <w:t>B</w:t>
      </w:r>
      <w:r>
        <w:rPr>
          <w:rFonts w:hint="eastAsia"/>
        </w:rPr>
        <w:t>；</w:t>
      </w:r>
    </w:p>
    <w:p>
      <w:pPr>
        <w:spacing w:line="380" w:lineRule="exact"/>
        <w:ind w:firstLine="420" w:firstLineChars="200"/>
      </w:pPr>
      <w:r>
        <w:rPr>
          <w:rFonts w:hint="eastAsia"/>
        </w:rPr>
        <w:t>评分分值计算保留小数点后两位，小数点后第三位</w:t>
      </w:r>
      <w:r>
        <w:t>“</w:t>
      </w:r>
      <w:r>
        <w:rPr>
          <w:rFonts w:hint="eastAsia"/>
        </w:rPr>
        <w:t>四舍五入</w:t>
      </w:r>
      <w:r>
        <w:t>”</w:t>
      </w:r>
      <w:r>
        <w:rPr>
          <w:rFonts w:hint="eastAsia"/>
        </w:rPr>
        <w:t>。投标人得分</w:t>
      </w:r>
      <w:r>
        <w:t>=A+B</w:t>
      </w:r>
      <w:r>
        <w:rPr>
          <w:rFonts w:hint="eastAsia"/>
        </w:rPr>
        <w:t>。</w:t>
      </w:r>
    </w:p>
    <w:p>
      <w:pPr>
        <w:spacing w:line="380" w:lineRule="exact"/>
        <w:outlineLvl w:val="2"/>
      </w:pPr>
      <w:bookmarkStart w:id="82" w:name="_Toc286357748"/>
      <w:bookmarkStart w:id="83" w:name="_Toc17923"/>
      <w:bookmarkStart w:id="84" w:name="_Toc303840949"/>
      <w:r>
        <w:rPr>
          <w:sz w:val="24"/>
        </w:rPr>
        <w:t xml:space="preserve">3.3  </w:t>
      </w:r>
      <w:r>
        <w:rPr>
          <w:rFonts w:hint="eastAsia"/>
          <w:sz w:val="24"/>
        </w:rPr>
        <w:t>投标文件的澄清和补正</w:t>
      </w:r>
      <w:bookmarkEnd w:id="82"/>
      <w:bookmarkEnd w:id="83"/>
      <w:bookmarkEnd w:id="84"/>
    </w:p>
    <w:p>
      <w:pPr>
        <w:spacing w:line="380" w:lineRule="exact"/>
        <w:ind w:firstLine="420" w:firstLineChars="200"/>
      </w:pPr>
      <w:r>
        <w:t xml:space="preserve">3.3.1 </w:t>
      </w:r>
      <w:r>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80" w:lineRule="exact"/>
        <w:ind w:firstLine="420" w:firstLineChars="200"/>
      </w:pPr>
      <w:r>
        <w:t xml:space="preserve">3.3.2 </w:t>
      </w:r>
      <w:r>
        <w:rPr>
          <w:rFonts w:hint="eastAsia"/>
        </w:rPr>
        <w:t>澄清、说明和补正不得改变投标文件的实质性内容。投标人的书面澄清、说明和补正属于投标文件的组成部分。</w:t>
      </w:r>
    </w:p>
    <w:p>
      <w:pPr>
        <w:spacing w:line="380" w:lineRule="exact"/>
        <w:ind w:firstLine="420" w:firstLineChars="200"/>
      </w:pPr>
      <w:r>
        <w:t xml:space="preserve">3.3.3 </w:t>
      </w:r>
      <w:r>
        <w:rPr>
          <w:rFonts w:hint="eastAsia"/>
        </w:rPr>
        <w:t>评标委员会对投标人提交的澄清、说明或补正有疑问的，可以要求投标人进一步澄清、说明或补正，直至满足评标委员会的要求。</w:t>
      </w:r>
    </w:p>
    <w:p>
      <w:pPr>
        <w:spacing w:line="380" w:lineRule="exact"/>
        <w:outlineLvl w:val="2"/>
        <w:rPr>
          <w:sz w:val="24"/>
        </w:rPr>
      </w:pPr>
      <w:bookmarkStart w:id="85" w:name="_Toc286357749"/>
      <w:bookmarkStart w:id="86" w:name="_Toc31022"/>
      <w:bookmarkStart w:id="87" w:name="_Toc303840950"/>
      <w:r>
        <w:rPr>
          <w:sz w:val="24"/>
        </w:rPr>
        <w:t xml:space="preserve">3.4 </w:t>
      </w:r>
      <w:r>
        <w:rPr>
          <w:rFonts w:hint="eastAsia"/>
          <w:sz w:val="24"/>
        </w:rPr>
        <w:t>评标结果</w:t>
      </w:r>
      <w:bookmarkEnd w:id="85"/>
      <w:bookmarkEnd w:id="86"/>
      <w:bookmarkEnd w:id="87"/>
    </w:p>
    <w:p>
      <w:pPr>
        <w:spacing w:line="380" w:lineRule="exact"/>
        <w:ind w:firstLine="420" w:firstLineChars="200"/>
      </w:pPr>
      <w:r>
        <w:t xml:space="preserve">3.4.1  </w:t>
      </w:r>
      <w:r>
        <w:rPr>
          <w:rFonts w:hint="eastAsia"/>
        </w:rPr>
        <w:t>除第二章</w:t>
      </w:r>
      <w:r>
        <w:t>“</w:t>
      </w:r>
      <w:r>
        <w:rPr>
          <w:rFonts w:hint="eastAsia"/>
        </w:rPr>
        <w:t>投标人须知</w:t>
      </w:r>
      <w:r>
        <w:t>”</w:t>
      </w:r>
      <w:r>
        <w:rPr>
          <w:rFonts w:hint="eastAsia"/>
        </w:rPr>
        <w:t>前附表授权直接确定中标人外，评标委员会按照得分由高到低的顺序推荐中标候选人。</w:t>
      </w:r>
    </w:p>
    <w:p>
      <w:pPr>
        <w:spacing w:line="380" w:lineRule="exact"/>
        <w:ind w:firstLine="420" w:firstLineChars="200"/>
      </w:pPr>
      <w:r>
        <w:t xml:space="preserve">3.4.2  </w:t>
      </w:r>
      <w:r>
        <w:rPr>
          <w:rFonts w:hint="eastAsia"/>
        </w:rPr>
        <w:t>评标委员会完成评标后，应当向招标人提交书面评标报告。</w:t>
      </w:r>
    </w:p>
    <w:p/>
    <w:bookmarkEnd w:id="62"/>
    <w:p>
      <w:pPr>
        <w:spacing w:line="380" w:lineRule="exact"/>
        <w:ind w:firstLine="420" w:firstLineChars="200"/>
      </w:pPr>
    </w:p>
    <w:p>
      <w:pPr>
        <w:spacing w:line="400" w:lineRule="exact"/>
        <w:ind w:firstLine="420" w:firstLineChars="200"/>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107"/>
        <w:outlineLvl w:val="0"/>
      </w:pPr>
      <w:bookmarkStart w:id="88" w:name="_Toc29366"/>
      <w:bookmarkStart w:id="89" w:name="_Toc286357750"/>
      <w:r>
        <w:rPr>
          <w:rFonts w:hint="eastAsia"/>
        </w:rPr>
        <w:t>第四章</w:t>
      </w:r>
      <w:r>
        <w:t xml:space="preserve"> </w:t>
      </w:r>
      <w:r>
        <w:rPr>
          <w:rFonts w:hint="eastAsia"/>
        </w:rPr>
        <w:t>合同条款及格式</w:t>
      </w:r>
      <w:bookmarkEnd w:id="88"/>
      <w:bookmarkEnd w:id="89"/>
    </w:p>
    <w:p/>
    <w:p>
      <w:bookmarkStart w:id="90" w:name="_Hlt503233640"/>
      <w:bookmarkEnd w:id="90"/>
    </w:p>
    <w:p/>
    <w:p/>
    <w:p/>
    <w:p/>
    <w:p/>
    <w:p/>
    <w:p/>
    <w:p/>
    <w:p>
      <w:pPr>
        <w:spacing w:line="280" w:lineRule="exact"/>
        <w:ind w:firstLine="912" w:firstLineChars="285"/>
        <w:jc w:val="center"/>
        <w:rPr>
          <w:sz w:val="32"/>
          <w:szCs w:val="32"/>
        </w:rPr>
      </w:pPr>
    </w:p>
    <w:p>
      <w:pPr>
        <w:spacing w:line="280" w:lineRule="exact"/>
        <w:ind w:firstLine="912" w:firstLineChars="285"/>
        <w:jc w:val="center"/>
        <w:rPr>
          <w:sz w:val="32"/>
          <w:szCs w:val="32"/>
        </w:rPr>
      </w:pPr>
    </w:p>
    <w:p>
      <w:pPr>
        <w:spacing w:line="280" w:lineRule="exact"/>
        <w:ind w:firstLine="912" w:firstLineChars="285"/>
        <w:jc w:val="center"/>
        <w:rPr>
          <w:sz w:val="32"/>
          <w:szCs w:val="32"/>
        </w:rPr>
      </w:pPr>
    </w:p>
    <w:p>
      <w:pPr>
        <w:spacing w:line="280" w:lineRule="exact"/>
        <w:ind w:firstLine="912" w:firstLineChars="285"/>
        <w:jc w:val="center"/>
        <w:rPr>
          <w:sz w:val="32"/>
          <w:szCs w:val="32"/>
        </w:rPr>
      </w:pPr>
    </w:p>
    <w:p>
      <w:pPr>
        <w:spacing w:line="280" w:lineRule="exact"/>
        <w:ind w:firstLine="912" w:firstLineChars="285"/>
        <w:jc w:val="center"/>
        <w:rPr>
          <w:sz w:val="32"/>
          <w:szCs w:val="32"/>
        </w:rPr>
      </w:pPr>
    </w:p>
    <w:p>
      <w:pPr>
        <w:spacing w:line="280" w:lineRule="exact"/>
        <w:ind w:firstLine="912" w:firstLineChars="285"/>
        <w:jc w:val="center"/>
        <w:rPr>
          <w:sz w:val="32"/>
          <w:szCs w:val="32"/>
        </w:rPr>
      </w:pPr>
    </w:p>
    <w:p>
      <w:pPr>
        <w:spacing w:line="380" w:lineRule="exact"/>
        <w:jc w:val="center"/>
        <w:rPr>
          <w:rFonts w:hint="eastAsia" w:ascii="Times New Roman" w:hAnsi="Times New Roman" w:eastAsia="宋体" w:cs="Times New Roman"/>
          <w:b/>
          <w:bCs/>
          <w:kern w:val="2"/>
          <w:sz w:val="28"/>
          <w:szCs w:val="28"/>
          <w:lang w:val="en-US" w:eastAsia="zh-CN" w:bidi="ar-SA"/>
        </w:rPr>
      </w:pPr>
      <w:r>
        <w:rPr>
          <w:sz w:val="32"/>
          <w:szCs w:val="32"/>
        </w:rPr>
        <w:br w:type="page"/>
      </w:r>
      <w:r>
        <w:rPr>
          <w:rFonts w:hint="eastAsia" w:ascii="Times New Roman" w:hAnsi="Times New Roman" w:eastAsia="宋体" w:cs="Times New Roman"/>
          <w:b/>
          <w:bCs/>
          <w:kern w:val="2"/>
          <w:sz w:val="28"/>
          <w:szCs w:val="28"/>
          <w:lang w:val="en-US" w:eastAsia="zh-CN" w:bidi="ar-SA"/>
        </w:rPr>
        <w:t>第一部分 通用条款</w:t>
      </w:r>
    </w:p>
    <w:p>
      <w:pPr>
        <w:spacing w:line="380" w:lineRule="exact"/>
        <w:rPr>
          <w:rFonts w:hint="eastAsia"/>
          <w:b/>
          <w:bCs/>
        </w:rPr>
      </w:pPr>
      <w:r>
        <w:rPr>
          <w:rFonts w:hint="eastAsia"/>
          <w:b/>
          <w:bCs/>
        </w:rPr>
        <w:t>一、词语定义和适用法律</w:t>
      </w:r>
    </w:p>
    <w:p>
      <w:pPr>
        <w:spacing w:line="380" w:lineRule="exact"/>
        <w:ind w:firstLine="420" w:firstLineChars="200"/>
        <w:rPr>
          <w:rFonts w:hint="eastAsia"/>
        </w:rPr>
      </w:pPr>
      <w:r>
        <w:rPr>
          <w:rFonts w:hint="eastAsia"/>
        </w:rPr>
        <w:t>1、词语定义</w:t>
      </w:r>
    </w:p>
    <w:p>
      <w:pPr>
        <w:spacing w:line="380" w:lineRule="exact"/>
        <w:ind w:firstLine="420" w:firstLineChars="200"/>
        <w:rPr>
          <w:rFonts w:hint="eastAsia"/>
        </w:rPr>
      </w:pPr>
      <w:r>
        <w:rPr>
          <w:rFonts w:hint="eastAsia"/>
        </w:rPr>
        <w:t>下列词语除本合同专用条款另有约定外，应具有本条款所赋予的定义：</w:t>
      </w:r>
    </w:p>
    <w:p>
      <w:pPr>
        <w:spacing w:line="380" w:lineRule="exact"/>
        <w:ind w:firstLine="420" w:firstLineChars="200"/>
        <w:rPr>
          <w:rFonts w:hint="eastAsia"/>
        </w:rPr>
      </w:pPr>
      <w:r>
        <w:rPr>
          <w:rFonts w:hint="eastAsia"/>
        </w:rPr>
        <w:t>l.1招标代理合同：委托人将工程建设项目招标工作委托给具有相应招标代理资质的受托人，实施招标活动签订的委托合同。</w:t>
      </w:r>
    </w:p>
    <w:p>
      <w:pPr>
        <w:spacing w:line="380" w:lineRule="exact"/>
        <w:ind w:firstLine="420" w:firstLineChars="200"/>
        <w:rPr>
          <w:rFonts w:hint="eastAsia"/>
        </w:rPr>
      </w:pPr>
      <w:r>
        <w:rPr>
          <w:rFonts w:hint="eastAsia"/>
        </w:rPr>
        <w:t>l.2通用条款：是根据有关法律、行政法规和工程建设项目招标代理的需要所订立</w:t>
      </w:r>
      <w:r>
        <w:rPr>
          <w:rFonts w:hint="eastAsia"/>
          <w:lang w:eastAsia="zh-CN"/>
        </w:rPr>
        <w:t>，</w:t>
      </w:r>
      <w:r>
        <w:rPr>
          <w:rFonts w:hint="eastAsia"/>
        </w:rPr>
        <w:t>通用于各类工程建设项目招标代理的条款。</w:t>
      </w:r>
    </w:p>
    <w:p>
      <w:pPr>
        <w:spacing w:line="380" w:lineRule="exact"/>
        <w:ind w:firstLine="420" w:firstLineChars="200"/>
        <w:rPr>
          <w:rFonts w:hint="eastAsia"/>
        </w:rPr>
      </w:pPr>
      <w:r>
        <w:rPr>
          <w:rFonts w:hint="eastAsia"/>
        </w:rPr>
        <w:t>1.3专用条款：是委托人与受托人根据有关法律、行政法规规定，结合具体工程建设项目招标代理的实际，经协商达成一致意见的条款，是对通用条款的具体化、补充或修改。</w:t>
      </w:r>
    </w:p>
    <w:p>
      <w:pPr>
        <w:spacing w:line="380" w:lineRule="exact"/>
        <w:ind w:firstLine="420" w:firstLineChars="200"/>
        <w:rPr>
          <w:rFonts w:hint="eastAsia"/>
        </w:rPr>
      </w:pPr>
      <w:r>
        <w:rPr>
          <w:rFonts w:hint="eastAsia"/>
        </w:rPr>
        <w:t>l.4委托人：指在合同中约定的，具有建设项目招标委托主体资格的当事人，以及取得该当事人资格的合法继承人。</w:t>
      </w:r>
    </w:p>
    <w:p>
      <w:pPr>
        <w:spacing w:line="380" w:lineRule="exact"/>
        <w:ind w:firstLine="420" w:firstLineChars="200"/>
        <w:rPr>
          <w:rFonts w:hint="eastAsia"/>
        </w:rPr>
      </w:pPr>
      <w:r>
        <w:rPr>
          <w:rFonts w:hint="eastAsia"/>
        </w:rPr>
        <w:t>1.5受托人：指在合同中约定的，被委托人接受的具有建设项目招标代理主体资格的当事人，以及取得该当事人资格的合法继承人。</w:t>
      </w:r>
    </w:p>
    <w:p>
      <w:pPr>
        <w:spacing w:line="380" w:lineRule="exact"/>
        <w:ind w:firstLine="420" w:firstLineChars="200"/>
        <w:rPr>
          <w:rFonts w:hint="eastAsia"/>
        </w:rPr>
      </w:pPr>
      <w:r>
        <w:rPr>
          <w:rFonts w:hint="eastAsia"/>
        </w:rPr>
        <w:t>1.6招标代理项目负责人：指受托人在专用条款中指定的负责合同履行的代表。</w:t>
      </w:r>
    </w:p>
    <w:p>
      <w:pPr>
        <w:spacing w:line="380" w:lineRule="exact"/>
        <w:ind w:firstLine="420" w:firstLineChars="200"/>
        <w:rPr>
          <w:rFonts w:hint="eastAsia"/>
        </w:rPr>
      </w:pPr>
      <w:r>
        <w:rPr>
          <w:rFonts w:hint="eastAsia"/>
        </w:rPr>
        <w:t>1.7工程建设项目：指由委托人和受托人在合同中约定的委托代理招标的工程。</w:t>
      </w:r>
    </w:p>
    <w:p>
      <w:pPr>
        <w:spacing w:line="380" w:lineRule="exact"/>
        <w:ind w:firstLine="420" w:firstLineChars="200"/>
        <w:rPr>
          <w:rFonts w:hint="eastAsia"/>
        </w:rPr>
      </w:pPr>
      <w:r>
        <w:rPr>
          <w:rFonts w:hint="eastAsia"/>
        </w:rPr>
        <w:t>1.8招标代理业务：委托人委托受托人代理实施工程建设项目招标的工作内容。</w:t>
      </w:r>
    </w:p>
    <w:p>
      <w:pPr>
        <w:spacing w:line="380" w:lineRule="exact"/>
        <w:ind w:firstLine="420" w:firstLineChars="200"/>
        <w:rPr>
          <w:rFonts w:hint="eastAsia"/>
        </w:rPr>
      </w:pPr>
      <w:r>
        <w:rPr>
          <w:rFonts w:hint="eastAsia"/>
        </w:rPr>
        <w:t>1.9附加服务：指委托人和受托人在本合同通用条款 4.1 款和专用条款 4.1款中双方约定工作范围之外的附加工作。</w:t>
      </w:r>
    </w:p>
    <w:p>
      <w:pPr>
        <w:spacing w:line="380" w:lineRule="exact"/>
        <w:ind w:firstLine="420" w:firstLineChars="200"/>
        <w:rPr>
          <w:rFonts w:hint="eastAsia"/>
        </w:rPr>
      </w:pPr>
      <w:r>
        <w:rPr>
          <w:rFonts w:hint="eastAsia"/>
        </w:rPr>
        <w:t>1.10代理报酬：委托人和受托人在合同中约定的，受托人按照约定应收取的代理报酬总额。</w:t>
      </w:r>
    </w:p>
    <w:p>
      <w:pPr>
        <w:spacing w:line="380" w:lineRule="exact"/>
        <w:ind w:firstLine="420" w:firstLineChars="200"/>
        <w:rPr>
          <w:rFonts w:hint="eastAsia"/>
        </w:rPr>
      </w:pPr>
      <w:r>
        <w:rPr>
          <w:rFonts w:hint="eastAsia"/>
        </w:rPr>
        <w:t>1.11图纸：指由委托人提供的满足招标需要的所有图纸、计算书、配套说明以及相关的技术资料。</w:t>
      </w:r>
    </w:p>
    <w:p>
      <w:pPr>
        <w:spacing w:line="380" w:lineRule="exact"/>
        <w:ind w:firstLine="420" w:firstLineChars="200"/>
        <w:rPr>
          <w:rFonts w:hint="eastAsia"/>
        </w:rPr>
      </w:pPr>
      <w:r>
        <w:rPr>
          <w:rFonts w:hint="eastAsia"/>
        </w:rPr>
        <w:t>1.12书面形式：指具有公章、法定代表人或授权代理人签字的合同书、信件和数据电文（包括电报、电传、传真）等可以有形地表现所载内容的形式。</w:t>
      </w:r>
    </w:p>
    <w:p>
      <w:pPr>
        <w:spacing w:line="380" w:lineRule="exact"/>
        <w:ind w:firstLine="420" w:firstLineChars="200"/>
        <w:rPr>
          <w:rFonts w:hint="eastAsia"/>
        </w:rPr>
      </w:pPr>
      <w:r>
        <w:rPr>
          <w:rFonts w:hint="eastAsia"/>
        </w:rPr>
        <w:t>1.13违约责任：指合同一方不履行合同义务或履行合同义务不符合约定所应承担的责 任。</w:t>
      </w:r>
    </w:p>
    <w:p>
      <w:pPr>
        <w:spacing w:line="380" w:lineRule="exact"/>
        <w:ind w:firstLine="420" w:firstLineChars="200"/>
        <w:rPr>
          <w:rFonts w:hint="eastAsia"/>
        </w:rPr>
      </w:pPr>
      <w:r>
        <w:rPr>
          <w:rFonts w:hint="eastAsia"/>
        </w:rPr>
        <w:t>1.14索赔：指在合同履行过程中，对于并非自己的过错，而是应由对方承担责任的情况造成的实际损失，向对方提出经济补偿或其他的要求。</w:t>
      </w:r>
    </w:p>
    <w:p>
      <w:pPr>
        <w:spacing w:line="380" w:lineRule="exact"/>
        <w:ind w:firstLine="420" w:firstLineChars="200"/>
        <w:rPr>
          <w:rFonts w:hint="eastAsia"/>
        </w:rPr>
      </w:pPr>
      <w:r>
        <w:rPr>
          <w:rFonts w:hint="eastAsia"/>
        </w:rPr>
        <w:t>1.15不可抗力：指双方无法控制和不可预见的事件，但不包括双方的违约或疏忽。这些事件包括但不限于战争、严重火灾、洪水、台风、地震，或其他双方一致认为属于不可抗力的事件。</w:t>
      </w:r>
    </w:p>
    <w:p>
      <w:pPr>
        <w:spacing w:line="380" w:lineRule="exact"/>
        <w:ind w:firstLine="420" w:firstLineChars="200"/>
        <w:rPr>
          <w:rFonts w:hint="eastAsia"/>
        </w:rPr>
      </w:pPr>
      <w:r>
        <w:rPr>
          <w:rFonts w:hint="eastAsia"/>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 24 时。</w:t>
      </w:r>
    </w:p>
    <w:p>
      <w:pPr>
        <w:spacing w:line="380" w:lineRule="exact"/>
        <w:ind w:firstLine="420" w:firstLineChars="200"/>
        <w:rPr>
          <w:rFonts w:hint="eastAsia"/>
        </w:rPr>
      </w:pPr>
      <w:r>
        <w:rPr>
          <w:rFonts w:hint="eastAsia"/>
        </w:rPr>
        <w:t>2、合同文件及解释顺序</w:t>
      </w:r>
    </w:p>
    <w:p>
      <w:pPr>
        <w:spacing w:line="380" w:lineRule="exact"/>
        <w:ind w:firstLine="420" w:firstLineChars="200"/>
        <w:rPr>
          <w:rFonts w:hint="eastAsia"/>
        </w:rPr>
      </w:pPr>
      <w:r>
        <w:rPr>
          <w:rFonts w:hint="eastAsia"/>
        </w:rPr>
        <w:t>2.l合同文件应能互相解释，互为说明。除本合同专用条款另有约定外，组成本合同的文件及优先解释顺序如下：</w:t>
      </w:r>
    </w:p>
    <w:p>
      <w:pPr>
        <w:spacing w:line="380" w:lineRule="exact"/>
        <w:ind w:firstLine="420" w:firstLineChars="200"/>
        <w:rPr>
          <w:rFonts w:hint="eastAsia"/>
        </w:rPr>
      </w:pPr>
      <w:r>
        <w:rPr>
          <w:rFonts w:hint="eastAsia"/>
        </w:rPr>
        <w:t>（1）本合同协议书及各种合同附件（含评标期间和合同谈判过程中的澄清文件和补充 资料）；</w:t>
      </w:r>
    </w:p>
    <w:p>
      <w:pPr>
        <w:spacing w:line="380" w:lineRule="exact"/>
        <w:ind w:firstLine="420" w:firstLineChars="200"/>
        <w:rPr>
          <w:rFonts w:hint="eastAsia" w:eastAsia="宋体"/>
          <w:lang w:eastAsia="zh-CN"/>
        </w:rPr>
      </w:pPr>
      <w:r>
        <w:rPr>
          <w:rFonts w:hint="eastAsia"/>
        </w:rPr>
        <w:t>（2）中标通知书、招标文件及投标文件</w:t>
      </w:r>
      <w:r>
        <w:rPr>
          <w:rFonts w:hint="eastAsia"/>
          <w:lang w:eastAsia="zh-CN"/>
        </w:rPr>
        <w:t>；</w:t>
      </w:r>
    </w:p>
    <w:p>
      <w:pPr>
        <w:spacing w:line="380" w:lineRule="exact"/>
        <w:ind w:firstLine="420" w:firstLineChars="200"/>
        <w:rPr>
          <w:rFonts w:hint="eastAsia"/>
        </w:rPr>
      </w:pPr>
      <w:r>
        <w:rPr>
          <w:rFonts w:hint="eastAsia"/>
        </w:rPr>
        <w:t>（3）本合同专用条款；</w:t>
      </w:r>
    </w:p>
    <w:p>
      <w:pPr>
        <w:spacing w:line="380" w:lineRule="exact"/>
        <w:ind w:firstLine="420" w:firstLineChars="200"/>
        <w:rPr>
          <w:rFonts w:hint="eastAsia"/>
        </w:rPr>
      </w:pPr>
      <w:r>
        <w:rPr>
          <w:rFonts w:hint="eastAsia"/>
        </w:rPr>
        <w:t>（4）本合同通用条款。</w:t>
      </w:r>
    </w:p>
    <w:p>
      <w:pPr>
        <w:spacing w:line="380" w:lineRule="exact"/>
        <w:ind w:firstLine="420" w:firstLineChars="200"/>
        <w:rPr>
          <w:rFonts w:hint="eastAsia"/>
        </w:rPr>
      </w:pPr>
      <w:r>
        <w:rPr>
          <w:rFonts w:hint="eastAsia"/>
        </w:rPr>
        <w:t>2.2当合同文件内容出现含糊不清或不相一致时，应在不影响招标代理业务正常进行的情况下，由委托人和受托人协商解决。双方协商不成时，按本合同通用条款第12条关于争议的约定处理。</w:t>
      </w:r>
    </w:p>
    <w:p>
      <w:pPr>
        <w:spacing w:line="380" w:lineRule="exact"/>
        <w:ind w:firstLine="420" w:firstLineChars="200"/>
        <w:rPr>
          <w:rFonts w:hint="eastAsia"/>
        </w:rPr>
      </w:pPr>
      <w:r>
        <w:rPr>
          <w:rFonts w:hint="eastAsia"/>
        </w:rPr>
        <w:t>3、语言文字和适用法律</w:t>
      </w:r>
    </w:p>
    <w:p>
      <w:pPr>
        <w:spacing w:line="380" w:lineRule="exact"/>
        <w:ind w:firstLine="420" w:firstLineChars="200"/>
        <w:rPr>
          <w:rFonts w:hint="eastAsia"/>
        </w:rPr>
      </w:pPr>
      <w:r>
        <w:rPr>
          <w:rFonts w:hint="eastAsia"/>
        </w:rPr>
        <w:t>3.1语言文字 除本合同专用条款中另有约定，本合同文件使用汉语语言文字书写、解释和说明。如本合同专用条款约定使用两种以上（含两种）语言文字时，汉语应为解释和说明本合同的标准语言文字。</w:t>
      </w:r>
    </w:p>
    <w:p>
      <w:pPr>
        <w:spacing w:line="380" w:lineRule="exact"/>
        <w:ind w:firstLine="420" w:firstLineChars="200"/>
        <w:rPr>
          <w:rFonts w:hint="eastAsia"/>
        </w:rPr>
      </w:pPr>
      <w:r>
        <w:rPr>
          <w:rFonts w:hint="eastAsia"/>
        </w:rPr>
        <w:t>3.2适用法律和行政法规本合同文件适用有关法律和行政法规。需要明示的法律和行政法规，双方可在本合同专用条款中约定。</w:t>
      </w:r>
    </w:p>
    <w:p>
      <w:pPr>
        <w:spacing w:line="380" w:lineRule="exact"/>
        <w:rPr>
          <w:rFonts w:hint="eastAsia"/>
          <w:b/>
          <w:bCs/>
        </w:rPr>
      </w:pPr>
      <w:r>
        <w:rPr>
          <w:rFonts w:hint="eastAsia"/>
          <w:b/>
          <w:bCs/>
        </w:rPr>
        <w:t>二、双方一般权利和义务</w:t>
      </w:r>
    </w:p>
    <w:p>
      <w:pPr>
        <w:spacing w:line="380" w:lineRule="exact"/>
        <w:ind w:firstLine="420" w:firstLineChars="200"/>
        <w:rPr>
          <w:rFonts w:hint="eastAsia"/>
        </w:rPr>
      </w:pPr>
      <w:r>
        <w:rPr>
          <w:rFonts w:hint="eastAsia"/>
        </w:rPr>
        <w:t>4、委托人的义务</w:t>
      </w:r>
    </w:p>
    <w:p>
      <w:pPr>
        <w:spacing w:line="380" w:lineRule="exact"/>
        <w:ind w:firstLine="420" w:firstLineChars="200"/>
        <w:rPr>
          <w:rFonts w:hint="eastAsia"/>
        </w:rPr>
      </w:pPr>
      <w:r>
        <w:rPr>
          <w:rFonts w:hint="eastAsia"/>
        </w:rPr>
        <w:t>4.1委托人将委托招标代理工作的具体范围和内容在本合同专用条款中约定。</w:t>
      </w:r>
    </w:p>
    <w:p>
      <w:pPr>
        <w:spacing w:line="380" w:lineRule="exact"/>
        <w:ind w:firstLine="420" w:firstLineChars="200"/>
        <w:rPr>
          <w:rFonts w:hint="eastAsia"/>
        </w:rPr>
      </w:pPr>
      <w:r>
        <w:rPr>
          <w:rFonts w:hint="eastAsia"/>
        </w:rPr>
        <w:t>4.2委托人按本合同专用条款约定的内容和时间完成下列工作：</w:t>
      </w:r>
    </w:p>
    <w:p>
      <w:pPr>
        <w:spacing w:line="380" w:lineRule="exact"/>
        <w:ind w:firstLine="420" w:firstLineChars="200"/>
        <w:rPr>
          <w:rFonts w:hint="eastAsia"/>
        </w:rPr>
      </w:pPr>
      <w:r>
        <w:rPr>
          <w:rFonts w:hint="eastAsia"/>
        </w:rPr>
        <w:t>（1）向受托人提供本工程招标代理业务应具备的相关工程前期资料（如立项批准手续 规划许可、报建证等）及资金落实情况资料；</w:t>
      </w:r>
    </w:p>
    <w:p>
      <w:pPr>
        <w:spacing w:line="380" w:lineRule="exact"/>
        <w:ind w:firstLine="420" w:firstLineChars="200"/>
        <w:rPr>
          <w:rFonts w:hint="eastAsia"/>
        </w:rPr>
      </w:pPr>
      <w:r>
        <w:rPr>
          <w:rFonts w:hint="eastAsia"/>
        </w:rPr>
        <w:t>（2）向受托人提供完成本工程招标代理业务所需的全部技术资料和图纸，需要交底的 须向受托人详细交底，并对提供资料的真实性、完整性、准确性负责；</w:t>
      </w:r>
    </w:p>
    <w:p>
      <w:pPr>
        <w:spacing w:line="380" w:lineRule="exact"/>
        <w:ind w:firstLine="420" w:firstLineChars="200"/>
        <w:rPr>
          <w:rFonts w:hint="eastAsia"/>
        </w:rPr>
      </w:pPr>
      <w:r>
        <w:rPr>
          <w:rFonts w:hint="eastAsia"/>
        </w:rPr>
        <w:t>（3）向受托人提供保证招标工作顺利完成的条件，提供的条件在本合同专用条款内约 定；</w:t>
      </w:r>
    </w:p>
    <w:p>
      <w:pPr>
        <w:spacing w:line="380" w:lineRule="exact"/>
        <w:ind w:firstLine="420" w:firstLineChars="200"/>
        <w:rPr>
          <w:rFonts w:hint="eastAsia"/>
        </w:rPr>
      </w:pPr>
      <w:r>
        <w:rPr>
          <w:rFonts w:hint="eastAsia"/>
        </w:rPr>
        <w:t>（4）指定专人与受托人联系，指定人员的姓名、职务、职称在本合同专用条款内约定；</w:t>
      </w:r>
    </w:p>
    <w:p>
      <w:pPr>
        <w:spacing w:line="380" w:lineRule="exact"/>
        <w:ind w:firstLine="420" w:firstLineChars="200"/>
        <w:rPr>
          <w:rFonts w:hint="eastAsia"/>
        </w:rPr>
      </w:pPr>
      <w:r>
        <w:rPr>
          <w:rFonts w:hint="eastAsia"/>
        </w:rPr>
        <w:t>（5）根据需要，作好与第三方的协调工作；</w:t>
      </w:r>
    </w:p>
    <w:p>
      <w:pPr>
        <w:spacing w:line="380" w:lineRule="exact"/>
        <w:ind w:firstLine="420" w:firstLineChars="200"/>
        <w:rPr>
          <w:rFonts w:hint="eastAsia"/>
        </w:rPr>
      </w:pPr>
      <w:r>
        <w:rPr>
          <w:rFonts w:hint="eastAsia"/>
        </w:rPr>
        <w:t>（6）按本合同专用条款的约定支付代理报酬；</w:t>
      </w:r>
    </w:p>
    <w:p>
      <w:pPr>
        <w:spacing w:line="380" w:lineRule="exact"/>
        <w:ind w:firstLine="420" w:firstLineChars="200"/>
        <w:rPr>
          <w:rFonts w:hint="eastAsia"/>
        </w:rPr>
      </w:pPr>
      <w:r>
        <w:rPr>
          <w:rFonts w:hint="eastAsia"/>
        </w:rPr>
        <w:t>（7）依法应尽的其他义务，双方在本合同专用条款内约定。</w:t>
      </w:r>
    </w:p>
    <w:p>
      <w:pPr>
        <w:spacing w:line="380" w:lineRule="exact"/>
        <w:ind w:firstLine="420" w:firstLineChars="200"/>
        <w:rPr>
          <w:rFonts w:hint="eastAsia"/>
        </w:rPr>
      </w:pPr>
      <w:r>
        <w:rPr>
          <w:rFonts w:hint="eastAsia"/>
        </w:rPr>
        <w:t>4.3受托人在履行招标代理业务过程中，提出的超出招标代理范围的合理化建议，经委托人同意并取得经济效益，委托人应向受托人支付一定的经济奖励。</w:t>
      </w:r>
    </w:p>
    <w:p>
      <w:pPr>
        <w:spacing w:line="380" w:lineRule="exact"/>
        <w:ind w:firstLine="420" w:firstLineChars="200"/>
        <w:rPr>
          <w:rFonts w:hint="eastAsia"/>
        </w:rPr>
      </w:pPr>
      <w:r>
        <w:rPr>
          <w:rFonts w:hint="eastAsia"/>
        </w:rPr>
        <w:t>4.4委托人负有对受托人为本合同提供的技术服务进行知识产权保护的责任。</w:t>
      </w:r>
    </w:p>
    <w:p>
      <w:pPr>
        <w:spacing w:line="380" w:lineRule="exact"/>
        <w:ind w:firstLine="420" w:firstLineChars="200"/>
        <w:rPr>
          <w:rFonts w:hint="eastAsia"/>
        </w:rPr>
      </w:pPr>
      <w:r>
        <w:rPr>
          <w:rFonts w:hint="eastAsia"/>
        </w:rPr>
        <w:t>4.5委托人未能履行以上各项义务，给受托人造成损失的，应当赔偿受托人的有关损失。</w:t>
      </w:r>
    </w:p>
    <w:p>
      <w:pPr>
        <w:spacing w:line="380" w:lineRule="exact"/>
        <w:ind w:firstLine="420" w:firstLineChars="200"/>
        <w:rPr>
          <w:rFonts w:hint="eastAsia"/>
        </w:rPr>
      </w:pPr>
      <w:r>
        <w:rPr>
          <w:rFonts w:hint="eastAsia"/>
        </w:rPr>
        <w:t>5、受托人的义务</w:t>
      </w:r>
    </w:p>
    <w:p>
      <w:pPr>
        <w:spacing w:line="380" w:lineRule="exact"/>
        <w:ind w:firstLine="420" w:firstLineChars="200"/>
        <w:rPr>
          <w:rFonts w:hint="eastAsia"/>
        </w:rPr>
      </w:pPr>
      <w:r>
        <w:rPr>
          <w:rFonts w:hint="eastAsia"/>
        </w:rPr>
        <w:t>5.1受托人应根据本合同专用条款中约定的委托招标代理业务的工作范围和内容，选择有足够经验的专职技术经济人员担任招标代理项目负责人。招标代理项目负责人的姓名、身份证号在专用条款内写明。</w:t>
      </w:r>
    </w:p>
    <w:p>
      <w:pPr>
        <w:spacing w:line="380" w:lineRule="exact"/>
        <w:ind w:firstLine="420" w:firstLineChars="200"/>
        <w:rPr>
          <w:rFonts w:hint="eastAsia"/>
        </w:rPr>
      </w:pPr>
      <w:r>
        <w:rPr>
          <w:rFonts w:hint="eastAsia"/>
        </w:rPr>
        <w:t>5.2受托人按本合同专用条款约定的内容和时间完成下列工作：</w:t>
      </w:r>
    </w:p>
    <w:p>
      <w:pPr>
        <w:spacing w:line="380" w:lineRule="exact"/>
        <w:ind w:firstLine="420" w:firstLineChars="200"/>
        <w:rPr>
          <w:rFonts w:hint="eastAsia"/>
        </w:rPr>
      </w:pPr>
      <w:r>
        <w:rPr>
          <w:rFonts w:hint="eastAsia"/>
        </w:rPr>
        <w:t>（1）依法按照公开、公平、公正和诚实信用原则，组织招标工作，维护各方的合法权益；</w:t>
      </w:r>
    </w:p>
    <w:p>
      <w:pPr>
        <w:spacing w:line="380" w:lineRule="exact"/>
        <w:ind w:firstLine="420" w:firstLineChars="200"/>
        <w:rPr>
          <w:rFonts w:hint="eastAsia"/>
        </w:rPr>
      </w:pPr>
      <w:r>
        <w:rPr>
          <w:rFonts w:hint="eastAsia"/>
        </w:rPr>
        <w:t>（2）应用专业技术与技能为委托人提供完成招标工作相关的咨询服务；</w:t>
      </w:r>
    </w:p>
    <w:p>
      <w:pPr>
        <w:spacing w:line="380" w:lineRule="exact"/>
        <w:ind w:firstLine="420" w:firstLineChars="200"/>
        <w:rPr>
          <w:rFonts w:hint="eastAsia"/>
        </w:rPr>
      </w:pPr>
      <w:r>
        <w:rPr>
          <w:rFonts w:hint="eastAsia"/>
        </w:rPr>
        <w:t>（3）向委托人宣传有关工程招标的法律、行政法规和规章，解释合理的招标程序，以便得到委托人的支持和配合；</w:t>
      </w:r>
    </w:p>
    <w:p>
      <w:pPr>
        <w:spacing w:line="380" w:lineRule="exact"/>
        <w:ind w:firstLine="420" w:firstLineChars="200"/>
        <w:rPr>
          <w:rFonts w:hint="eastAsia"/>
        </w:rPr>
      </w:pPr>
      <w:r>
        <w:rPr>
          <w:rFonts w:hint="eastAsia"/>
        </w:rPr>
        <w:t>（4）依法应尽的其他义务，双方在本合同专用条款内约定。</w:t>
      </w:r>
    </w:p>
    <w:p>
      <w:pPr>
        <w:spacing w:line="380" w:lineRule="exact"/>
        <w:ind w:firstLine="420" w:firstLineChars="200"/>
        <w:rPr>
          <w:rFonts w:hint="eastAsia"/>
        </w:rPr>
      </w:pPr>
      <w:r>
        <w:rPr>
          <w:rFonts w:hint="eastAsia"/>
        </w:rPr>
        <w:t>5.3受托人应对招标工作中受托人所出具有关数据的计算、技术经济资料等的科学性和准确性负责。</w:t>
      </w:r>
    </w:p>
    <w:p>
      <w:pPr>
        <w:spacing w:line="380" w:lineRule="exact"/>
        <w:ind w:firstLine="420" w:firstLineChars="200"/>
        <w:rPr>
          <w:rFonts w:hint="eastAsia"/>
        </w:rPr>
      </w:pPr>
      <w:r>
        <w:rPr>
          <w:rFonts w:hint="eastAsia"/>
        </w:rPr>
        <w:t>5.4受托人不得接受与本合同工程建设项目中委托招标范围之内的相关的投标咨询业 务。</w:t>
      </w:r>
    </w:p>
    <w:p>
      <w:pPr>
        <w:spacing w:line="380" w:lineRule="exact"/>
        <w:ind w:firstLine="420" w:firstLineChars="200"/>
        <w:rPr>
          <w:rFonts w:hint="eastAsia"/>
        </w:rPr>
      </w:pPr>
      <w:r>
        <w:rPr>
          <w:rFonts w:hint="eastAsia"/>
        </w:rPr>
        <w:t>5.5受托人为本合同提供技术服务的知识产权应属受托人专有。任何第三方如果提出侵权指控，受托人须与第三方交涉并承担由此而引起的一切法律责任和费用。</w:t>
      </w:r>
    </w:p>
    <w:p>
      <w:pPr>
        <w:spacing w:line="380" w:lineRule="exact"/>
        <w:ind w:firstLine="420" w:firstLineChars="200"/>
        <w:rPr>
          <w:rFonts w:hint="eastAsia"/>
        </w:rPr>
      </w:pPr>
      <w:r>
        <w:rPr>
          <w:rFonts w:hint="eastAsia"/>
        </w:rPr>
        <w:t>5.6未经委托人同意，受托人不得分包或转让本合同的任何权利和义务。</w:t>
      </w:r>
    </w:p>
    <w:p>
      <w:pPr>
        <w:spacing w:line="380" w:lineRule="exact"/>
        <w:ind w:firstLine="420" w:firstLineChars="200"/>
        <w:rPr>
          <w:rFonts w:hint="eastAsia"/>
        </w:rPr>
      </w:pPr>
      <w:r>
        <w:rPr>
          <w:rFonts w:hint="eastAsia"/>
        </w:rPr>
        <w:t>5.7受托人不得接受所有投标人的礼品、宴请和任何其它好处，不得泄露投标、评标、定标过程中依法需要保密的内容。合同终止后，未经委托人同意，受托人不得泄漏与本合同工程相关的任何投标资料和情况。</w:t>
      </w:r>
    </w:p>
    <w:p>
      <w:pPr>
        <w:spacing w:line="380" w:lineRule="exact"/>
        <w:ind w:firstLine="420" w:firstLineChars="200"/>
        <w:rPr>
          <w:rFonts w:hint="eastAsia"/>
        </w:rPr>
      </w:pPr>
      <w:r>
        <w:rPr>
          <w:rFonts w:hint="eastAsia"/>
        </w:rPr>
        <w:t>5.8受托人未能履行以上各项义务，给委托人造成损失的，应当赔偿委托人的有关损失。</w:t>
      </w:r>
    </w:p>
    <w:p>
      <w:pPr>
        <w:spacing w:line="380" w:lineRule="exact"/>
        <w:ind w:firstLine="420" w:firstLineChars="200"/>
        <w:rPr>
          <w:rFonts w:hint="eastAsia"/>
        </w:rPr>
      </w:pPr>
      <w:r>
        <w:rPr>
          <w:rFonts w:hint="eastAsia"/>
        </w:rPr>
        <w:t>6、委托人的权利</w:t>
      </w:r>
    </w:p>
    <w:p>
      <w:pPr>
        <w:spacing w:line="380" w:lineRule="exact"/>
        <w:ind w:firstLine="420" w:firstLineChars="200"/>
        <w:rPr>
          <w:rFonts w:hint="eastAsia"/>
        </w:rPr>
      </w:pPr>
      <w:r>
        <w:rPr>
          <w:rFonts w:hint="eastAsia"/>
        </w:rPr>
        <w:t>6.1委托人拥有下列权利：</w:t>
      </w:r>
    </w:p>
    <w:p>
      <w:pPr>
        <w:spacing w:line="380" w:lineRule="exact"/>
        <w:ind w:firstLine="420" w:firstLineChars="200"/>
        <w:rPr>
          <w:rFonts w:hint="eastAsia"/>
        </w:rPr>
      </w:pPr>
      <w:r>
        <w:rPr>
          <w:rFonts w:hint="eastAsia"/>
        </w:rPr>
        <w:t>（1）按合同约定，接收招标代理成果；</w:t>
      </w:r>
    </w:p>
    <w:p>
      <w:pPr>
        <w:spacing w:line="380" w:lineRule="exact"/>
        <w:ind w:firstLine="420" w:firstLineChars="200"/>
        <w:rPr>
          <w:rFonts w:hint="eastAsia"/>
        </w:rPr>
      </w:pPr>
      <w:r>
        <w:rPr>
          <w:rFonts w:hint="eastAsia"/>
        </w:rPr>
        <w:t>（2）向受托人询问本合同工程招标工作进展情况和相关内容或提出不违反法律、行政 法规的建议；</w:t>
      </w:r>
    </w:p>
    <w:p>
      <w:pPr>
        <w:spacing w:line="380" w:lineRule="exact"/>
        <w:ind w:firstLine="420" w:firstLineChars="200"/>
        <w:rPr>
          <w:rFonts w:hint="eastAsia"/>
        </w:rPr>
      </w:pPr>
      <w:r>
        <w:rPr>
          <w:rFonts w:hint="eastAsia"/>
        </w:rPr>
        <w:t>（3）审查受托人为本合同工程编制的各种文件，并提出修正意见；</w:t>
      </w:r>
    </w:p>
    <w:p>
      <w:pPr>
        <w:spacing w:line="380" w:lineRule="exact"/>
        <w:ind w:firstLine="420" w:firstLineChars="200"/>
        <w:rPr>
          <w:rFonts w:hint="eastAsia"/>
        </w:rPr>
      </w:pPr>
      <w:r>
        <w:rPr>
          <w:rFonts w:hint="eastAsia"/>
        </w:rPr>
        <w:t>（4）要求受托人提交招标代理业务工作报告；</w:t>
      </w:r>
    </w:p>
    <w:p>
      <w:pPr>
        <w:spacing w:line="380" w:lineRule="exact"/>
        <w:ind w:firstLine="420" w:firstLineChars="200"/>
        <w:rPr>
          <w:rFonts w:hint="eastAsia"/>
        </w:rPr>
      </w:pPr>
      <w:r>
        <w:rPr>
          <w:rFonts w:hint="eastAsia"/>
        </w:rPr>
        <w:t>（5）与受托人协商，建议更换其不称职的招标代理从业人员；</w:t>
      </w:r>
    </w:p>
    <w:p>
      <w:pPr>
        <w:spacing w:line="380" w:lineRule="exact"/>
        <w:ind w:firstLine="420" w:firstLineChars="200"/>
        <w:rPr>
          <w:rFonts w:hint="eastAsia"/>
        </w:rPr>
      </w:pPr>
      <w:r>
        <w:rPr>
          <w:rFonts w:hint="eastAsia"/>
        </w:rPr>
        <w:t>（6）依法选择中标人；</w:t>
      </w:r>
    </w:p>
    <w:p>
      <w:pPr>
        <w:spacing w:line="380" w:lineRule="exact"/>
        <w:ind w:firstLine="420" w:firstLineChars="200"/>
        <w:rPr>
          <w:rFonts w:hint="eastAsia"/>
        </w:rPr>
      </w:pPr>
      <w:r>
        <w:rPr>
          <w:rFonts w:hint="eastAsia"/>
        </w:rPr>
        <w:t>（7）本合同履行期间，由于受托人不履行合同约定的内容，给委托人造成损失或影响招标工作正常进行的，委托人有权终止本合同，并依法向受托人追索经济赔偿，直至追究法律责任；</w:t>
      </w:r>
    </w:p>
    <w:p>
      <w:pPr>
        <w:spacing w:line="380" w:lineRule="exact"/>
        <w:ind w:firstLine="420" w:firstLineChars="200"/>
        <w:rPr>
          <w:rFonts w:hint="eastAsia"/>
        </w:rPr>
      </w:pPr>
      <w:r>
        <w:rPr>
          <w:rFonts w:hint="eastAsia"/>
        </w:rPr>
        <w:t>（8）依法享有的其他权利，双方在本合同专用条款内约定。</w:t>
      </w:r>
    </w:p>
    <w:p>
      <w:pPr>
        <w:spacing w:line="380" w:lineRule="exact"/>
        <w:ind w:firstLine="420" w:firstLineChars="200"/>
        <w:rPr>
          <w:rFonts w:hint="eastAsia"/>
        </w:rPr>
      </w:pPr>
      <w:r>
        <w:rPr>
          <w:rFonts w:hint="eastAsia"/>
        </w:rPr>
        <w:t>7、受托人的权利</w:t>
      </w:r>
    </w:p>
    <w:p>
      <w:pPr>
        <w:spacing w:line="380" w:lineRule="exact"/>
        <w:ind w:firstLine="420" w:firstLineChars="200"/>
        <w:rPr>
          <w:rFonts w:hint="eastAsia"/>
        </w:rPr>
      </w:pPr>
      <w:r>
        <w:rPr>
          <w:rFonts w:hint="eastAsia"/>
        </w:rPr>
        <w:t>7.1受托人拥有下列权利：</w:t>
      </w:r>
    </w:p>
    <w:p>
      <w:pPr>
        <w:spacing w:line="380" w:lineRule="exact"/>
        <w:ind w:firstLine="420" w:firstLineChars="200"/>
        <w:rPr>
          <w:rFonts w:hint="eastAsia"/>
        </w:rPr>
      </w:pPr>
      <w:r>
        <w:rPr>
          <w:rFonts w:hint="eastAsia"/>
        </w:rPr>
        <w:t>（1）按合同约定收取委托代理报酬；</w:t>
      </w:r>
    </w:p>
    <w:p>
      <w:pPr>
        <w:spacing w:line="380" w:lineRule="exact"/>
        <w:ind w:firstLine="420" w:firstLineChars="200"/>
        <w:rPr>
          <w:rFonts w:hint="eastAsia"/>
        </w:rPr>
      </w:pPr>
      <w:r>
        <w:rPr>
          <w:rFonts w:hint="eastAsia"/>
        </w:rPr>
        <w:t>（2）对招标过程中应由委托人做出的决定，受托人有权提出建议；</w:t>
      </w:r>
    </w:p>
    <w:p>
      <w:pPr>
        <w:spacing w:line="380" w:lineRule="exact"/>
        <w:ind w:firstLine="420" w:firstLineChars="200"/>
        <w:rPr>
          <w:rFonts w:hint="eastAsia"/>
        </w:rPr>
      </w:pPr>
      <w:r>
        <w:rPr>
          <w:rFonts w:hint="eastAsia"/>
        </w:rPr>
        <w:t>（3）当委托人提供的资料不足或不明确时，有权要求委托人补足资料或作出明确的答 复；</w:t>
      </w:r>
    </w:p>
    <w:p>
      <w:pPr>
        <w:spacing w:line="380" w:lineRule="exact"/>
        <w:ind w:firstLine="420" w:firstLineChars="200"/>
        <w:rPr>
          <w:rFonts w:hint="eastAsia"/>
        </w:rPr>
      </w:pPr>
      <w:r>
        <w:rPr>
          <w:rFonts w:hint="eastAsia"/>
        </w:rPr>
        <w:t>（4）拒绝委托人提出的违反法律、行政法规的要求，并向委托人作出解释；</w:t>
      </w:r>
    </w:p>
    <w:p>
      <w:pPr>
        <w:spacing w:line="380" w:lineRule="exact"/>
        <w:ind w:firstLine="420" w:firstLineChars="200"/>
        <w:rPr>
          <w:rFonts w:hint="eastAsia"/>
        </w:rPr>
      </w:pPr>
      <w:r>
        <w:rPr>
          <w:rFonts w:hint="eastAsia"/>
        </w:rPr>
        <w:t>（5）有权参加委托人组织的涉及招标工作的所有会议和活动；</w:t>
      </w:r>
    </w:p>
    <w:p>
      <w:pPr>
        <w:spacing w:line="380" w:lineRule="exact"/>
        <w:ind w:firstLine="420" w:firstLineChars="200"/>
        <w:rPr>
          <w:rFonts w:hint="eastAsia"/>
        </w:rPr>
      </w:pPr>
      <w:r>
        <w:rPr>
          <w:rFonts w:hint="eastAsia"/>
        </w:rPr>
        <w:t>（6）对于为本合同工程编制的所有文件拥有知识产权，委托人仅有使用或复制的权利；</w:t>
      </w:r>
    </w:p>
    <w:p>
      <w:pPr>
        <w:spacing w:line="380" w:lineRule="exact"/>
        <w:ind w:firstLine="420" w:firstLineChars="200"/>
        <w:rPr>
          <w:rFonts w:hint="eastAsia"/>
        </w:rPr>
      </w:pPr>
      <w:r>
        <w:rPr>
          <w:rFonts w:hint="eastAsia"/>
        </w:rPr>
        <w:t>（7）依法享有的其他权利，双方在本合同专用条款内约定。</w:t>
      </w:r>
    </w:p>
    <w:p>
      <w:pPr>
        <w:spacing w:line="380" w:lineRule="exact"/>
        <w:rPr>
          <w:rFonts w:hint="eastAsia"/>
          <w:b/>
          <w:bCs/>
        </w:rPr>
      </w:pPr>
      <w:r>
        <w:rPr>
          <w:rFonts w:hint="eastAsia"/>
          <w:b/>
          <w:bCs/>
        </w:rPr>
        <w:t>三、委托代理报酬与收取</w:t>
      </w:r>
    </w:p>
    <w:p>
      <w:pPr>
        <w:spacing w:line="380" w:lineRule="exact"/>
        <w:ind w:firstLine="420" w:firstLineChars="200"/>
        <w:rPr>
          <w:rFonts w:hint="eastAsia"/>
        </w:rPr>
      </w:pPr>
      <w:r>
        <w:rPr>
          <w:rFonts w:hint="eastAsia"/>
        </w:rPr>
        <w:t>8、委托代理报酬</w:t>
      </w:r>
    </w:p>
    <w:p>
      <w:pPr>
        <w:spacing w:line="380" w:lineRule="exact"/>
        <w:ind w:firstLine="420" w:firstLineChars="200"/>
        <w:rPr>
          <w:rFonts w:hint="eastAsia"/>
        </w:rPr>
      </w:pPr>
      <w:r>
        <w:rPr>
          <w:rFonts w:hint="eastAsia"/>
        </w:rPr>
        <w:t>8.1双方按照本合同约定的招标代理业务范围，在本合同专用条款内约定委托代理报酬的计算方法、金额、币种、汇率和支付方式、支付时间。</w:t>
      </w:r>
    </w:p>
    <w:p>
      <w:pPr>
        <w:spacing w:line="380" w:lineRule="exact"/>
        <w:ind w:firstLine="420" w:firstLineChars="200"/>
        <w:rPr>
          <w:rFonts w:hint="eastAsia"/>
        </w:rPr>
      </w:pPr>
      <w:r>
        <w:rPr>
          <w:rFonts w:hint="eastAsia"/>
        </w:rPr>
        <w:t>8.2受托人对所承接的招标代理业务需要出外考察的，其外出人员数量和费用，经委托人同意后，向委托人实报实销。</w:t>
      </w:r>
    </w:p>
    <w:p>
      <w:pPr>
        <w:spacing w:line="380" w:lineRule="exact"/>
        <w:ind w:firstLine="420" w:firstLineChars="200"/>
        <w:rPr>
          <w:rFonts w:hint="eastAsia"/>
        </w:rPr>
      </w:pPr>
      <w:r>
        <w:rPr>
          <w:rFonts w:hint="eastAsia"/>
        </w:rPr>
        <w:t>8.3在招标代理业务范围内所发生的费用（如：评标会务费、评标专家的差旅费、劳务费、公证费等），由委托人与受托人在补充条款中约定。</w:t>
      </w:r>
    </w:p>
    <w:p>
      <w:pPr>
        <w:spacing w:line="380" w:lineRule="exact"/>
        <w:ind w:firstLine="420" w:firstLineChars="200"/>
        <w:rPr>
          <w:rFonts w:hint="eastAsia"/>
        </w:rPr>
      </w:pPr>
      <w:r>
        <w:rPr>
          <w:rFonts w:hint="eastAsia"/>
        </w:rPr>
        <w:t>9、委托代理报酬的收取</w:t>
      </w:r>
    </w:p>
    <w:p>
      <w:pPr>
        <w:spacing w:line="380" w:lineRule="exact"/>
        <w:ind w:firstLine="420" w:firstLineChars="200"/>
        <w:rPr>
          <w:rFonts w:hint="eastAsia"/>
        </w:rPr>
      </w:pPr>
      <w:r>
        <w:rPr>
          <w:rFonts w:hint="eastAsia"/>
        </w:rPr>
        <w:t>9.1由中标人支付代理报酬的，在中标人与委托人签订承包合同 5 日内，将本合同约定的全部委托代理报酬一次性支付给受托人。</w:t>
      </w:r>
    </w:p>
    <w:p>
      <w:pPr>
        <w:spacing w:line="380" w:lineRule="exact"/>
        <w:ind w:firstLine="420" w:firstLineChars="200"/>
        <w:rPr>
          <w:rFonts w:hint="eastAsia"/>
        </w:rPr>
      </w:pPr>
      <w:r>
        <w:rPr>
          <w:rFonts w:hint="eastAsia"/>
        </w:rPr>
        <w:t>9.2受托人完成委托人委托的招标代理工作范围以外的工作，为附加服务项目，应收取的报酬由双方协商，签订补充协议。</w:t>
      </w:r>
    </w:p>
    <w:p>
      <w:pPr>
        <w:spacing w:line="380" w:lineRule="exact"/>
        <w:ind w:firstLine="420" w:firstLineChars="200"/>
        <w:rPr>
          <w:rFonts w:hint="eastAsia"/>
        </w:rPr>
      </w:pPr>
      <w:r>
        <w:rPr>
          <w:rFonts w:hint="eastAsia"/>
        </w:rPr>
        <w:t>9.3委托人在本合同专用条款约定的支付时间内，未能如期支付代理预付费用，自应支付之日起，按同期银行贷款利率，计算支付代理预付费用的利息。</w:t>
      </w:r>
    </w:p>
    <w:p>
      <w:pPr>
        <w:spacing w:line="380" w:lineRule="exact"/>
        <w:ind w:firstLine="420" w:firstLineChars="200"/>
        <w:rPr>
          <w:rFonts w:hint="eastAsia"/>
        </w:rPr>
      </w:pPr>
      <w:r>
        <w:rPr>
          <w:rFonts w:hint="eastAsia"/>
        </w:rPr>
        <w:t>9.4委托人在本合同专用条款约定的支付时间内，未能如期支付代理报酬，除应承担违约责任外，还应按同期银行贷款利率，计算支付应付代理报酬的利息。</w:t>
      </w:r>
    </w:p>
    <w:p>
      <w:pPr>
        <w:spacing w:line="380" w:lineRule="exact"/>
        <w:ind w:firstLine="420" w:firstLineChars="200"/>
        <w:rPr>
          <w:rFonts w:hint="eastAsia"/>
        </w:rPr>
      </w:pPr>
      <w:r>
        <w:rPr>
          <w:rFonts w:hint="eastAsia"/>
        </w:rPr>
        <w:t>9.5委托代理报酬应由委托人按本合同专用条款约定的支付方法和时间，直接向受托人支付；或受托人按照约定直接向中标人收取。</w:t>
      </w:r>
    </w:p>
    <w:p>
      <w:pPr>
        <w:spacing w:line="380" w:lineRule="exact"/>
        <w:rPr>
          <w:rFonts w:hint="eastAsia"/>
          <w:b/>
          <w:bCs/>
        </w:rPr>
      </w:pPr>
      <w:r>
        <w:rPr>
          <w:rFonts w:hint="eastAsia"/>
          <w:b/>
          <w:bCs/>
        </w:rPr>
        <w:t>四、违约、索赔和争议</w:t>
      </w:r>
    </w:p>
    <w:p>
      <w:pPr>
        <w:spacing w:line="380" w:lineRule="exact"/>
        <w:ind w:firstLine="420" w:firstLineChars="200"/>
        <w:rPr>
          <w:rFonts w:hint="eastAsia"/>
        </w:rPr>
      </w:pPr>
      <w:r>
        <w:rPr>
          <w:rFonts w:hint="eastAsia"/>
        </w:rPr>
        <w:t>10、违约</w:t>
      </w:r>
    </w:p>
    <w:p>
      <w:pPr>
        <w:spacing w:line="380" w:lineRule="exact"/>
        <w:ind w:firstLine="420" w:firstLineChars="200"/>
        <w:rPr>
          <w:rFonts w:hint="eastAsia"/>
        </w:rPr>
      </w:pPr>
      <w:r>
        <w:rPr>
          <w:rFonts w:hint="eastAsia"/>
        </w:rPr>
        <w:t>10.1委托人违约。当发生下列情况时：</w:t>
      </w:r>
    </w:p>
    <w:p>
      <w:pPr>
        <w:spacing w:line="380" w:lineRule="exact"/>
        <w:ind w:firstLine="420" w:firstLineChars="200"/>
        <w:rPr>
          <w:rFonts w:hint="eastAsia"/>
        </w:rPr>
      </w:pPr>
      <w:r>
        <w:rPr>
          <w:rFonts w:hint="eastAsia"/>
        </w:rPr>
        <w:t>（1）本合同通用条款第 4.2 -（3）款提到的委托人未按本合同专用条款的约定向委托人提供为保证招标工作顺利完成的条件，致使招标工作无法进行；</w:t>
      </w:r>
    </w:p>
    <w:p>
      <w:pPr>
        <w:spacing w:line="380" w:lineRule="exact"/>
        <w:ind w:firstLine="420" w:firstLineChars="200"/>
        <w:rPr>
          <w:rFonts w:hint="eastAsia"/>
        </w:rPr>
      </w:pPr>
      <w:r>
        <w:rPr>
          <w:rFonts w:hint="eastAsia"/>
        </w:rPr>
        <w:t>（2）本合同通用条款第 4.2 -（6）款提到的委托人未按本合同专用条款的约定向受托人支付委托代理报酬；</w:t>
      </w:r>
    </w:p>
    <w:p>
      <w:pPr>
        <w:spacing w:line="380" w:lineRule="exact"/>
        <w:ind w:firstLine="420" w:firstLineChars="200"/>
        <w:rPr>
          <w:rFonts w:hint="eastAsia"/>
        </w:rPr>
      </w:pPr>
      <w:r>
        <w:rPr>
          <w:rFonts w:hint="eastAsia"/>
        </w:rPr>
        <w:t>（3）委托人不履行合同义务或不按合同约定履行义务的其他情况。</w:t>
      </w:r>
    </w:p>
    <w:p>
      <w:pPr>
        <w:spacing w:line="380" w:lineRule="exact"/>
        <w:ind w:firstLine="420" w:firstLineChars="200"/>
        <w:rPr>
          <w:rFonts w:hint="eastAsia"/>
        </w:rPr>
      </w:pPr>
      <w:r>
        <w:rPr>
          <w:rFonts w:hint="eastAsia"/>
        </w:rPr>
        <w:t>委托人承担违约责任，赔偿因其违约给受托人造成的经济损失，双方在本合同专用条款内约定委托人赔偿受托人损失的计算方法或委托人应当支付违约金的数额或计算方法。</w:t>
      </w:r>
    </w:p>
    <w:p>
      <w:pPr>
        <w:spacing w:line="380" w:lineRule="exact"/>
        <w:ind w:firstLine="420" w:firstLineChars="200"/>
        <w:rPr>
          <w:rFonts w:hint="eastAsia"/>
        </w:rPr>
      </w:pPr>
      <w:r>
        <w:rPr>
          <w:rFonts w:hint="eastAsia"/>
        </w:rPr>
        <w:t>10.2受托人违约</w:t>
      </w:r>
      <w:r>
        <w:rPr>
          <w:rFonts w:hint="eastAsia"/>
          <w:lang w:eastAsia="zh-CN"/>
        </w:rPr>
        <w:t>。</w:t>
      </w:r>
      <w:r>
        <w:rPr>
          <w:rFonts w:hint="eastAsia"/>
        </w:rPr>
        <w:t>当发生下列情况时：</w:t>
      </w:r>
    </w:p>
    <w:p>
      <w:pPr>
        <w:spacing w:line="380" w:lineRule="exact"/>
        <w:ind w:firstLine="420" w:firstLineChars="200"/>
        <w:rPr>
          <w:rFonts w:hint="eastAsia"/>
        </w:rPr>
      </w:pPr>
      <w:r>
        <w:rPr>
          <w:rFonts w:hint="eastAsia"/>
        </w:rPr>
        <w:t>（1）本合同通用条款第5.2 -（2）款提到的受托人未按本合同专用条款的约定</w:t>
      </w:r>
      <w:r>
        <w:rPr>
          <w:rFonts w:hint="eastAsia"/>
          <w:lang w:eastAsia="zh-CN"/>
        </w:rPr>
        <w:t>，</w:t>
      </w:r>
      <w:r>
        <w:rPr>
          <w:rFonts w:hint="eastAsia"/>
        </w:rPr>
        <w:t>向委托人提供为完成招标工作的咨询服务；</w:t>
      </w:r>
    </w:p>
    <w:p>
      <w:pPr>
        <w:spacing w:line="380" w:lineRule="exact"/>
        <w:ind w:firstLine="420" w:firstLineChars="200"/>
        <w:rPr>
          <w:rFonts w:hint="eastAsia"/>
        </w:rPr>
      </w:pPr>
      <w:r>
        <w:rPr>
          <w:rFonts w:hint="eastAsia"/>
        </w:rPr>
        <w:t>（2）本合同通用条款第 5.4 款提到的受托人未按本合同专用条款的约定，接受了与本 合同工程建设项目有关的投标咨询业务；</w:t>
      </w:r>
    </w:p>
    <w:p>
      <w:pPr>
        <w:spacing w:line="380" w:lineRule="exact"/>
        <w:ind w:firstLine="420" w:firstLineChars="200"/>
        <w:rPr>
          <w:rFonts w:hint="eastAsia"/>
        </w:rPr>
      </w:pPr>
      <w:r>
        <w:rPr>
          <w:rFonts w:hint="eastAsia"/>
        </w:rPr>
        <w:t>（3）本合同通用条款第 5.7 款提到的受托人未按本合同专用条款的约定，泄露了与本 合同工程相关的任何招标资料和情况；</w:t>
      </w:r>
    </w:p>
    <w:p>
      <w:pPr>
        <w:spacing w:line="380" w:lineRule="exact"/>
        <w:ind w:firstLine="420" w:firstLineChars="200"/>
        <w:rPr>
          <w:rFonts w:hint="eastAsia"/>
        </w:rPr>
      </w:pPr>
      <w:r>
        <w:rPr>
          <w:rFonts w:hint="eastAsia"/>
        </w:rPr>
        <w:t>（4）受托人不履行合同义务或不按合同约定履行义务的其他情况。</w:t>
      </w:r>
    </w:p>
    <w:p>
      <w:pPr>
        <w:spacing w:line="380" w:lineRule="exact"/>
        <w:ind w:firstLine="420" w:firstLineChars="200"/>
        <w:rPr>
          <w:rFonts w:hint="eastAsia"/>
        </w:rPr>
      </w:pPr>
      <w:r>
        <w:rPr>
          <w:rFonts w:hint="eastAsia"/>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spacing w:line="380" w:lineRule="exact"/>
        <w:ind w:firstLine="420" w:firstLineChars="200"/>
        <w:rPr>
          <w:rFonts w:hint="eastAsia"/>
        </w:rPr>
      </w:pPr>
      <w:r>
        <w:rPr>
          <w:rFonts w:hint="eastAsia"/>
        </w:rPr>
        <w:t>10.3第三方违约。如果一方的违约被认定为是与第三方共同造成的，则应由合同双方中有违约的一方先行向另一方承担全部违约责任，再由承担违约责任的一方向第三方追索。</w:t>
      </w:r>
    </w:p>
    <w:p>
      <w:pPr>
        <w:spacing w:line="380" w:lineRule="exact"/>
        <w:ind w:firstLine="420" w:firstLineChars="200"/>
        <w:rPr>
          <w:rFonts w:hint="eastAsia"/>
        </w:rPr>
      </w:pPr>
      <w:r>
        <w:rPr>
          <w:rFonts w:hint="eastAsia"/>
        </w:rPr>
        <w:t>11、索赔</w:t>
      </w:r>
    </w:p>
    <w:p>
      <w:pPr>
        <w:spacing w:line="380" w:lineRule="exact"/>
        <w:ind w:firstLine="420" w:firstLineChars="200"/>
        <w:rPr>
          <w:rFonts w:hint="eastAsia"/>
        </w:rPr>
      </w:pPr>
      <w:r>
        <w:rPr>
          <w:rFonts w:hint="eastAsia"/>
        </w:rPr>
        <w:t>11.1当事人一方向另一方提出索赔时，要有正当的索赔理由，且有索赔事件发生时的有效证据。</w:t>
      </w:r>
    </w:p>
    <w:p>
      <w:pPr>
        <w:spacing w:line="380" w:lineRule="exact"/>
        <w:ind w:firstLine="420" w:firstLineChars="200"/>
        <w:rPr>
          <w:rFonts w:hint="eastAsia"/>
        </w:rPr>
      </w:pPr>
      <w:r>
        <w:rPr>
          <w:rFonts w:hint="eastAsia"/>
        </w:rPr>
        <w:t>11.2委托人未能按合同约定履行自己的各项义务，或者发生应由委托人承担责任的其 他情况，给受托人造成损失，受托人可按下列程序以书面形式向委托人索赔：</w:t>
      </w:r>
    </w:p>
    <w:p>
      <w:pPr>
        <w:spacing w:line="380" w:lineRule="exact"/>
        <w:ind w:firstLine="420" w:firstLineChars="200"/>
        <w:rPr>
          <w:rFonts w:hint="eastAsia"/>
        </w:rPr>
      </w:pPr>
      <w:r>
        <w:rPr>
          <w:rFonts w:hint="eastAsia"/>
        </w:rPr>
        <w:t>（1）索赔事件发生后 7 天内，向委托人发出索赔报告及有关资料；</w:t>
      </w:r>
    </w:p>
    <w:p>
      <w:pPr>
        <w:spacing w:line="380" w:lineRule="exact"/>
        <w:ind w:firstLine="420" w:firstLineChars="200"/>
        <w:rPr>
          <w:rFonts w:hint="eastAsia"/>
        </w:rPr>
      </w:pPr>
      <w:r>
        <w:rPr>
          <w:rFonts w:hint="eastAsia"/>
        </w:rPr>
        <w:t>（2）委托人收到受托人的索赔报告及有关资料后，于 7 天内给予答复，或要求受托人进一步补充索赔理由和证据；</w:t>
      </w:r>
    </w:p>
    <w:p>
      <w:pPr>
        <w:spacing w:line="380" w:lineRule="exact"/>
        <w:ind w:firstLine="420" w:firstLineChars="200"/>
        <w:rPr>
          <w:rFonts w:hint="eastAsia"/>
        </w:rPr>
      </w:pPr>
      <w:r>
        <w:rPr>
          <w:rFonts w:hint="eastAsia"/>
        </w:rPr>
        <w:t>（3）委托人在收到受托人送交的索赔报告和有关资料后 7 天内未予答复，或未对受托人作进一步要求，视为该项索赔已经认可。</w:t>
      </w:r>
    </w:p>
    <w:p>
      <w:pPr>
        <w:spacing w:line="380" w:lineRule="exact"/>
        <w:ind w:firstLine="420" w:firstLineChars="200"/>
        <w:rPr>
          <w:rFonts w:hint="eastAsia"/>
        </w:rPr>
      </w:pPr>
      <w:r>
        <w:rPr>
          <w:rFonts w:hint="eastAsia"/>
        </w:rPr>
        <w:t>11.3受托人未能按合同约定履行自己的各项义务，或者发生应由受托人承担责任的其他情况，给委托人造成经济损失，委托人可按11.2款确定的时限和程序向受托人提出索赔。</w:t>
      </w:r>
    </w:p>
    <w:p>
      <w:pPr>
        <w:spacing w:line="380" w:lineRule="exact"/>
        <w:ind w:firstLine="420" w:firstLineChars="200"/>
        <w:rPr>
          <w:rFonts w:hint="eastAsia"/>
        </w:rPr>
      </w:pPr>
      <w:r>
        <w:rPr>
          <w:rFonts w:hint="eastAsia"/>
        </w:rPr>
        <w:t>12、争议</w:t>
      </w:r>
    </w:p>
    <w:p>
      <w:pPr>
        <w:spacing w:line="380" w:lineRule="exact"/>
        <w:ind w:firstLine="420" w:firstLineChars="200"/>
        <w:rPr>
          <w:rFonts w:hint="eastAsia"/>
        </w:rPr>
      </w:pPr>
      <w:r>
        <w:rPr>
          <w:rFonts w:hint="eastAsia"/>
        </w:rPr>
        <w:t>12.1委托人和受托人履行合同时发生争议，可以和解或者向有关部门或机构申请调解。当事人不愿和解、调解或者和解、调解不成的，双方可以在本合同专用条款约定以下一种方式解决争议：</w:t>
      </w:r>
    </w:p>
    <w:p>
      <w:pPr>
        <w:spacing w:line="380" w:lineRule="exact"/>
        <w:ind w:firstLine="420" w:firstLineChars="200"/>
        <w:rPr>
          <w:rFonts w:hint="eastAsia"/>
        </w:rPr>
      </w:pPr>
      <w:r>
        <w:rPr>
          <w:rFonts w:hint="eastAsia"/>
        </w:rPr>
        <w:t>（1）双方达成仲裁协议，向约定的仲裁委员会申请仲裁；</w:t>
      </w:r>
    </w:p>
    <w:p>
      <w:pPr>
        <w:spacing w:line="380" w:lineRule="exact"/>
        <w:ind w:firstLine="420" w:firstLineChars="200"/>
        <w:rPr>
          <w:rFonts w:hint="eastAsia"/>
        </w:rPr>
      </w:pPr>
      <w:r>
        <w:rPr>
          <w:rFonts w:hint="eastAsia"/>
        </w:rPr>
        <w:t>（2）向有管辖权的人民法院起诉。</w:t>
      </w:r>
    </w:p>
    <w:p>
      <w:pPr>
        <w:spacing w:line="380" w:lineRule="exact"/>
        <w:rPr>
          <w:rFonts w:hint="eastAsia"/>
          <w:b/>
          <w:bCs/>
        </w:rPr>
      </w:pPr>
      <w:r>
        <w:rPr>
          <w:rFonts w:hint="eastAsia"/>
          <w:b/>
          <w:bCs/>
        </w:rPr>
        <w:t>五、合同变更、生效与终止</w:t>
      </w:r>
    </w:p>
    <w:p>
      <w:pPr>
        <w:spacing w:line="380" w:lineRule="exact"/>
        <w:ind w:firstLine="420" w:firstLineChars="200"/>
        <w:rPr>
          <w:rFonts w:hint="eastAsia"/>
        </w:rPr>
      </w:pPr>
      <w:r>
        <w:rPr>
          <w:rFonts w:hint="eastAsia"/>
        </w:rPr>
        <w:t>13、合同变更或解除</w:t>
      </w:r>
    </w:p>
    <w:p>
      <w:pPr>
        <w:spacing w:line="380" w:lineRule="exact"/>
        <w:ind w:firstLine="420" w:firstLineChars="200"/>
        <w:rPr>
          <w:rFonts w:hint="eastAsia"/>
        </w:rPr>
      </w:pPr>
      <w:r>
        <w:rPr>
          <w:rFonts w:hint="eastAsia"/>
        </w:rPr>
        <w:t>13.1本合同签订后，由于委托人原因，使得受托人不能持续履行招标代理业务时，委托人应及时通知受托人暂停招标代理业务。当需要恢复招标代理业务时，应当在正式恢复前7 天通知受托人。</w:t>
      </w:r>
    </w:p>
    <w:p>
      <w:pPr>
        <w:spacing w:line="380" w:lineRule="exact"/>
        <w:ind w:firstLine="420" w:firstLineChars="200"/>
        <w:rPr>
          <w:rFonts w:hint="eastAsia"/>
        </w:rPr>
      </w:pPr>
      <w:r>
        <w:rPr>
          <w:rFonts w:hint="eastAsia"/>
        </w:rPr>
        <w:t>若暂停时间超过六个月，当需要恢复招标代理业务时，委托人应支付重新启动该招标代理工作一定的补偿费用，具体计算方式经双方协商以补充协议确定。</w:t>
      </w:r>
    </w:p>
    <w:p>
      <w:pPr>
        <w:spacing w:line="380" w:lineRule="exact"/>
        <w:ind w:firstLine="420" w:firstLineChars="200"/>
        <w:rPr>
          <w:rFonts w:hint="eastAsia"/>
        </w:rPr>
      </w:pPr>
      <w:r>
        <w:rPr>
          <w:rFonts w:hint="eastAsia"/>
        </w:rPr>
        <w:t>13.2本合同签订后，如因法律、行政法规发生变化或由于任何后续新颁布的法律、行政法规导致服务所需的成本或时间发生改变，则本合同约定的服务报酬和服务期限由双方签订补充协议进行相应调整。</w:t>
      </w:r>
    </w:p>
    <w:p>
      <w:pPr>
        <w:spacing w:line="380" w:lineRule="exact"/>
        <w:ind w:firstLine="420" w:firstLineChars="200"/>
        <w:rPr>
          <w:rFonts w:hint="eastAsia"/>
        </w:rPr>
      </w:pPr>
      <w:r>
        <w:rPr>
          <w:rFonts w:hint="eastAsia"/>
        </w:rPr>
        <w:t>13.3本合同当事人一方要求变更或解除合同时，除法律、行政法规另有规定外，应与对方当事人协商一致并达成书面协议。未达成书面协议的，本合同依然有效。</w:t>
      </w:r>
    </w:p>
    <w:p>
      <w:pPr>
        <w:spacing w:line="380" w:lineRule="exact"/>
        <w:ind w:firstLine="420" w:firstLineChars="200"/>
        <w:rPr>
          <w:rFonts w:hint="eastAsia"/>
        </w:rPr>
      </w:pPr>
      <w:r>
        <w:rPr>
          <w:rFonts w:hint="eastAsia"/>
        </w:rPr>
        <w:t>13.4因解除合同使当事人一方遭受损失的，除依法可以免除责任外，应由责任方负责赔偿对方的损失，赔偿方法与金额由双方在协议书约定。</w:t>
      </w:r>
    </w:p>
    <w:p>
      <w:pPr>
        <w:spacing w:line="380" w:lineRule="exact"/>
        <w:ind w:firstLine="420" w:firstLineChars="200"/>
        <w:rPr>
          <w:rFonts w:hint="eastAsia"/>
        </w:rPr>
      </w:pPr>
      <w:r>
        <w:rPr>
          <w:rFonts w:hint="eastAsia"/>
        </w:rPr>
        <w:t>14、合同生效</w:t>
      </w:r>
    </w:p>
    <w:p>
      <w:pPr>
        <w:spacing w:line="380" w:lineRule="exact"/>
        <w:ind w:firstLine="420" w:firstLineChars="200"/>
        <w:rPr>
          <w:rFonts w:hint="eastAsia"/>
        </w:rPr>
      </w:pPr>
      <w:r>
        <w:rPr>
          <w:rFonts w:hint="eastAsia"/>
        </w:rPr>
        <w:t>14.1除生效条件双方在协议书中另有约定外，本合同自双方签字盖章之日起生效。</w:t>
      </w:r>
    </w:p>
    <w:p>
      <w:pPr>
        <w:spacing w:line="380" w:lineRule="exact"/>
        <w:ind w:firstLine="420" w:firstLineChars="200"/>
        <w:rPr>
          <w:rFonts w:hint="eastAsia"/>
        </w:rPr>
      </w:pPr>
      <w:r>
        <w:rPr>
          <w:rFonts w:hint="eastAsia"/>
        </w:rPr>
        <w:t>15、合同终止</w:t>
      </w:r>
    </w:p>
    <w:p>
      <w:pPr>
        <w:spacing w:line="380" w:lineRule="exact"/>
        <w:ind w:firstLine="420" w:firstLineChars="200"/>
        <w:rPr>
          <w:rFonts w:hint="eastAsia"/>
        </w:rPr>
      </w:pPr>
      <w:r>
        <w:rPr>
          <w:rFonts w:hint="eastAsia"/>
        </w:rPr>
        <w:t>15.1受托人完成委托人全部委托招标代理业务，且委托人或中标人支付了全部代理报 酬（含附加服务的报酬）后本合同终止。</w:t>
      </w:r>
    </w:p>
    <w:p>
      <w:pPr>
        <w:spacing w:line="380" w:lineRule="exact"/>
        <w:ind w:firstLine="420" w:firstLineChars="200"/>
        <w:rPr>
          <w:rFonts w:hint="eastAsia"/>
        </w:rPr>
      </w:pPr>
      <w:r>
        <w:rPr>
          <w:rFonts w:hint="eastAsia"/>
        </w:rPr>
        <w:t>15.2本合同终止并不影响各方应有的权利和应承担的义务。</w:t>
      </w:r>
    </w:p>
    <w:p>
      <w:pPr>
        <w:spacing w:line="380" w:lineRule="exact"/>
        <w:ind w:firstLine="420" w:firstLineChars="200"/>
        <w:rPr>
          <w:rFonts w:hint="eastAsia"/>
        </w:rPr>
      </w:pPr>
      <w:r>
        <w:rPr>
          <w:rFonts w:hint="eastAsia"/>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spacing w:line="380" w:lineRule="exact"/>
        <w:ind w:firstLine="420" w:firstLineChars="200"/>
        <w:rPr>
          <w:rFonts w:hint="eastAsia"/>
        </w:rPr>
      </w:pPr>
      <w:r>
        <w:rPr>
          <w:rFonts w:hint="eastAsia"/>
        </w:rPr>
        <w:t>15.4本合同的权利和义务终止后，委托人和受托人应当遵循诚实信用原则，履行通知、协助、保密等义务。</w:t>
      </w:r>
    </w:p>
    <w:p>
      <w:pPr>
        <w:spacing w:line="380" w:lineRule="exact"/>
        <w:rPr>
          <w:rFonts w:hint="eastAsia"/>
          <w:b/>
          <w:bCs/>
        </w:rPr>
      </w:pPr>
      <w:r>
        <w:rPr>
          <w:rFonts w:hint="eastAsia"/>
          <w:b/>
          <w:bCs/>
        </w:rPr>
        <w:t>六、其他</w:t>
      </w:r>
    </w:p>
    <w:p>
      <w:pPr>
        <w:spacing w:line="380" w:lineRule="exact"/>
        <w:ind w:firstLine="420" w:firstLineChars="200"/>
        <w:rPr>
          <w:rFonts w:hint="eastAsia"/>
        </w:rPr>
      </w:pPr>
      <w:r>
        <w:rPr>
          <w:rFonts w:hint="eastAsia"/>
        </w:rPr>
        <w:t>16、合同的份数</w:t>
      </w:r>
    </w:p>
    <w:p>
      <w:pPr>
        <w:spacing w:line="380" w:lineRule="exact"/>
        <w:ind w:firstLine="420" w:firstLineChars="200"/>
        <w:rPr>
          <w:rFonts w:hint="eastAsia"/>
        </w:rPr>
      </w:pPr>
      <w:r>
        <w:rPr>
          <w:rFonts w:hint="eastAsia"/>
        </w:rPr>
        <w:t>16.1本合同正本一式两份，委托人和受托人各执一份。副本根据双方需要在本合同专用条款内约定。</w:t>
      </w:r>
    </w:p>
    <w:p>
      <w:pPr>
        <w:numPr>
          <w:ilvl w:val="0"/>
          <w:numId w:val="2"/>
        </w:numPr>
        <w:spacing w:line="380" w:lineRule="exact"/>
        <w:ind w:firstLine="420" w:firstLineChars="200"/>
        <w:rPr>
          <w:rFonts w:hint="eastAsia"/>
        </w:rPr>
      </w:pPr>
      <w:r>
        <w:rPr>
          <w:rFonts w:hint="eastAsia"/>
        </w:rPr>
        <w:t>补充条款</w:t>
      </w:r>
    </w:p>
    <w:p>
      <w:pPr>
        <w:numPr>
          <w:ilvl w:val="0"/>
          <w:numId w:val="0"/>
        </w:numPr>
        <w:spacing w:line="380" w:lineRule="exact"/>
        <w:ind w:firstLine="420" w:firstLineChars="0"/>
        <w:rPr>
          <w:rFonts w:hint="eastAsia"/>
        </w:rPr>
      </w:pPr>
      <w:r>
        <w:rPr>
          <w:rFonts w:hint="eastAsia"/>
        </w:rPr>
        <w:t>双方根据有关法律、行政法规规定，结合本合同招标工程实际，经协商一致后，可对本合同通用条款未涉及的内容进行补充。</w:t>
      </w:r>
      <w:r>
        <w:rPr>
          <w:rFonts w:hint="eastAsia"/>
        </w:rPr>
        <w:br w:type="page"/>
      </w:r>
    </w:p>
    <w:p>
      <w:pPr>
        <w:spacing w:line="380" w:lineRule="exact"/>
        <w:jc w:val="cente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第二部分 专用条款</w:t>
      </w:r>
    </w:p>
    <w:p>
      <w:pPr>
        <w:spacing w:line="380" w:lineRule="exact"/>
        <w:jc w:val="left"/>
        <w:rPr>
          <w:rFonts w:hint="eastAsia"/>
          <w:b/>
          <w:bCs/>
          <w:lang w:val="en-US" w:eastAsia="zh-CN"/>
        </w:rPr>
      </w:pPr>
      <w:r>
        <w:rPr>
          <w:rFonts w:hint="eastAsia"/>
          <w:b/>
          <w:bCs/>
          <w:lang w:val="en-US" w:eastAsia="zh-CN"/>
        </w:rPr>
        <w:t>一、词语定义和适用法律</w:t>
      </w:r>
    </w:p>
    <w:p>
      <w:pPr>
        <w:spacing w:line="380" w:lineRule="exact"/>
        <w:ind w:firstLine="420" w:firstLineChars="200"/>
        <w:jc w:val="left"/>
        <w:rPr>
          <w:rFonts w:hint="eastAsia"/>
        </w:rPr>
      </w:pPr>
      <w:r>
        <w:rPr>
          <w:rFonts w:hint="eastAsia"/>
        </w:rPr>
        <w:t>1、合同文件及解释顺序</w:t>
      </w:r>
    </w:p>
    <w:p>
      <w:pPr>
        <w:spacing w:line="380" w:lineRule="exact"/>
        <w:ind w:firstLine="420" w:firstLineChars="200"/>
        <w:jc w:val="left"/>
        <w:rPr>
          <w:rFonts w:hint="eastAsia"/>
        </w:rPr>
      </w:pPr>
      <w:r>
        <w:rPr>
          <w:rFonts w:hint="eastAsia"/>
        </w:rPr>
        <w:t>1.1合同文件及解释顺序如下：</w:t>
      </w:r>
    </w:p>
    <w:p>
      <w:pPr>
        <w:spacing w:line="380" w:lineRule="exact"/>
        <w:ind w:firstLine="420" w:firstLineChars="200"/>
        <w:jc w:val="left"/>
        <w:rPr>
          <w:rFonts w:hint="eastAsia"/>
        </w:rPr>
      </w:pPr>
      <w:r>
        <w:rPr>
          <w:rFonts w:hint="eastAsia"/>
        </w:rPr>
        <w:t>(1)本合同协议书及各种合同附件(含评标期间和合同谈判过程中的澄清文件和补充资料)；</w:t>
      </w:r>
    </w:p>
    <w:p>
      <w:pPr>
        <w:spacing w:line="380" w:lineRule="exact"/>
        <w:ind w:firstLine="420" w:firstLineChars="200"/>
        <w:jc w:val="left"/>
        <w:rPr>
          <w:rFonts w:hint="eastAsia" w:eastAsia="宋体"/>
          <w:lang w:eastAsia="zh-CN"/>
        </w:rPr>
      </w:pPr>
      <w:r>
        <w:rPr>
          <w:rFonts w:hint="eastAsia"/>
        </w:rPr>
        <w:t>(2)中标通知书、招标文件及投标文件</w:t>
      </w:r>
      <w:r>
        <w:rPr>
          <w:rFonts w:hint="eastAsia"/>
          <w:lang w:eastAsia="zh-CN"/>
        </w:rPr>
        <w:t>；</w:t>
      </w:r>
    </w:p>
    <w:p>
      <w:pPr>
        <w:spacing w:line="380" w:lineRule="exact"/>
        <w:ind w:firstLine="420" w:firstLineChars="200"/>
        <w:jc w:val="left"/>
        <w:rPr>
          <w:rFonts w:hint="eastAsia"/>
        </w:rPr>
      </w:pPr>
      <w:r>
        <w:rPr>
          <w:rFonts w:hint="eastAsia"/>
        </w:rPr>
        <w:t>(3)本合同专用条款；</w:t>
      </w:r>
    </w:p>
    <w:p>
      <w:pPr>
        <w:spacing w:line="380" w:lineRule="exact"/>
        <w:ind w:firstLine="420" w:firstLineChars="200"/>
        <w:jc w:val="left"/>
        <w:rPr>
          <w:rFonts w:hint="eastAsia"/>
        </w:rPr>
      </w:pPr>
      <w:r>
        <w:rPr>
          <w:rFonts w:hint="eastAsia"/>
        </w:rPr>
        <w:t>(4)本合同通用条款。</w:t>
      </w:r>
    </w:p>
    <w:p>
      <w:pPr>
        <w:spacing w:line="380" w:lineRule="exact"/>
        <w:ind w:firstLine="420" w:firstLineChars="200"/>
        <w:jc w:val="left"/>
        <w:rPr>
          <w:rFonts w:hint="eastAsia"/>
        </w:rPr>
      </w:pPr>
      <w:r>
        <w:rPr>
          <w:rFonts w:hint="eastAsia"/>
        </w:rPr>
        <w:t>2、语言文字和适用法律</w:t>
      </w:r>
    </w:p>
    <w:p>
      <w:pPr>
        <w:spacing w:line="380" w:lineRule="exact"/>
        <w:ind w:firstLine="420" w:firstLineChars="200"/>
        <w:jc w:val="left"/>
        <w:rPr>
          <w:rFonts w:hint="eastAsia"/>
        </w:rPr>
      </w:pPr>
      <w:r>
        <w:rPr>
          <w:rFonts w:hint="eastAsia"/>
        </w:rPr>
        <w:t>2.1语言文字</w:t>
      </w:r>
    </w:p>
    <w:p>
      <w:pPr>
        <w:spacing w:line="380" w:lineRule="exact"/>
        <w:ind w:firstLine="420" w:firstLineChars="200"/>
        <w:jc w:val="left"/>
        <w:rPr>
          <w:rFonts w:hint="eastAsia" w:eastAsia="宋体"/>
          <w:lang w:eastAsia="zh-CN"/>
        </w:rPr>
      </w:pPr>
      <w:r>
        <w:rPr>
          <w:rFonts w:hint="eastAsia"/>
        </w:rPr>
        <w:t>本合同采用的文字为：</w:t>
      </w:r>
      <w:r>
        <w:rPr>
          <w:rFonts w:hint="eastAsia"/>
          <w:u w:val="single"/>
          <w:lang w:val="en-US" w:eastAsia="zh-CN"/>
        </w:rPr>
        <w:t>中文</w:t>
      </w:r>
    </w:p>
    <w:p>
      <w:pPr>
        <w:spacing w:line="380" w:lineRule="exact"/>
        <w:ind w:firstLine="420" w:firstLineChars="200"/>
        <w:jc w:val="left"/>
        <w:rPr>
          <w:rFonts w:hint="default" w:eastAsia="宋体"/>
          <w:lang w:val="en-US" w:eastAsia="zh-CN"/>
        </w:rPr>
      </w:pPr>
      <w:r>
        <w:rPr>
          <w:rFonts w:hint="eastAsia"/>
        </w:rPr>
        <w:t>2.2本合同需要明示的法律、行政法规</w:t>
      </w:r>
      <w:r>
        <w:rPr>
          <w:rFonts w:hint="eastAsia"/>
          <w:lang w:eastAsia="zh-CN"/>
        </w:rPr>
        <w:t>：</w:t>
      </w:r>
      <w:r>
        <w:rPr>
          <w:rFonts w:hint="eastAsia"/>
          <w:u w:val="single"/>
          <w:lang w:eastAsia="zh-CN"/>
        </w:rPr>
        <w:t>《</w:t>
      </w:r>
      <w:r>
        <w:rPr>
          <w:rFonts w:hint="eastAsia"/>
          <w:u w:val="single"/>
          <w:lang w:val="en-US" w:eastAsia="zh-CN"/>
        </w:rPr>
        <w:t>中华人民共和国民法典》</w:t>
      </w:r>
    </w:p>
    <w:p>
      <w:pPr>
        <w:spacing w:line="380" w:lineRule="exact"/>
        <w:jc w:val="left"/>
        <w:rPr>
          <w:rFonts w:hint="eastAsia"/>
          <w:b/>
          <w:bCs/>
        </w:rPr>
      </w:pPr>
      <w:r>
        <w:rPr>
          <w:rFonts w:hint="eastAsia"/>
          <w:b/>
          <w:bCs/>
        </w:rPr>
        <w:t>二、双方一般权利和义务</w:t>
      </w:r>
    </w:p>
    <w:p>
      <w:pPr>
        <w:spacing w:line="380" w:lineRule="exact"/>
        <w:ind w:firstLine="420" w:firstLineChars="200"/>
        <w:jc w:val="left"/>
        <w:rPr>
          <w:rFonts w:hint="eastAsia"/>
        </w:rPr>
      </w:pPr>
      <w:r>
        <w:rPr>
          <w:rFonts w:hint="eastAsia"/>
        </w:rPr>
        <w:t>3、委托人的义务</w:t>
      </w:r>
    </w:p>
    <w:p>
      <w:pPr>
        <w:spacing w:line="380" w:lineRule="exact"/>
        <w:ind w:firstLine="420" w:firstLineChars="200"/>
        <w:jc w:val="left"/>
        <w:rPr>
          <w:rFonts w:hint="eastAsia"/>
          <w:u w:val="single"/>
        </w:rPr>
      </w:pPr>
      <w:r>
        <w:rPr>
          <w:rFonts w:hint="eastAsia"/>
        </w:rPr>
        <w:t>3.1委托招标代理工作的具体范围和内容：</w:t>
      </w:r>
      <w:r>
        <w:rPr>
          <w:rFonts w:hint="eastAsia"/>
          <w:u w:val="single"/>
        </w:rPr>
        <w:t>招标代理须按照国家建设项目招投标管理的相关法律、法规、规章、规范性文件要 求，提供招标代理服务，主要服务内容包括(但不限于)：编制招标文件</w:t>
      </w:r>
      <w:r>
        <w:rPr>
          <w:rFonts w:hint="eastAsia"/>
          <w:u w:val="single"/>
          <w:lang w:eastAsia="zh-CN"/>
        </w:rPr>
        <w:t>，</w:t>
      </w:r>
      <w:r>
        <w:rPr>
          <w:rFonts w:hint="eastAsia"/>
          <w:u w:val="single"/>
        </w:rPr>
        <w:t>发布招标公告，发售招标文件，澄清投标人提出的有关招标的问题；接收投标文件；审查投标人资格，组织投标人踏勘现场并答疑,组织开标、评标并负责清标工作,根据评标结果编写评标 报告，公示评标结果；发放中标通知书；草拟合同；办理招标核准或备案；负责招标过程 所有资料的收集、整理、归档、移交等工作。</w:t>
      </w:r>
    </w:p>
    <w:p>
      <w:pPr>
        <w:spacing w:line="380" w:lineRule="exact"/>
        <w:ind w:firstLine="420" w:firstLineChars="200"/>
        <w:jc w:val="left"/>
        <w:rPr>
          <w:rFonts w:hint="eastAsia"/>
        </w:rPr>
      </w:pPr>
      <w:r>
        <w:rPr>
          <w:rFonts w:hint="eastAsia"/>
        </w:rPr>
        <w:t>3.2招标代理服务期</w:t>
      </w:r>
      <w:r>
        <w:rPr>
          <w:rFonts w:hint="eastAsia"/>
          <w:u w:val="single"/>
        </w:rPr>
        <w:t>：自合同签订之日起至2023年12月31日，但在截止之日前已开始招标的项目需完成约定的服务内容。</w:t>
      </w:r>
      <w:r>
        <w:rPr>
          <w:rFonts w:hint="eastAsia"/>
        </w:rPr>
        <w:t>服务期满后，在通过发展中心考核、中标单位承诺政策性增资以外不增加服务费用的前提下，经</w:t>
      </w:r>
      <w:r>
        <w:rPr>
          <w:rFonts w:hint="eastAsia"/>
          <w:lang w:eastAsia="zh-CN"/>
        </w:rPr>
        <w:t>发展</w:t>
      </w:r>
      <w:r>
        <w:rPr>
          <w:rFonts w:hint="eastAsia"/>
        </w:rPr>
        <w:t>中心招标采购工作领导小组批准后可与原中标单位续签1年合同。</w:t>
      </w:r>
    </w:p>
    <w:p>
      <w:pPr>
        <w:spacing w:line="380" w:lineRule="exact"/>
        <w:ind w:firstLine="420" w:firstLineChars="200"/>
        <w:jc w:val="left"/>
        <w:rPr>
          <w:rFonts w:hint="eastAsia"/>
        </w:rPr>
      </w:pPr>
      <w:r>
        <w:rPr>
          <w:rFonts w:hint="eastAsia"/>
        </w:rPr>
        <w:t>3.3委托人应按约定的时间和要求完成下列工作：</w:t>
      </w:r>
    </w:p>
    <w:p>
      <w:pPr>
        <w:spacing w:line="380" w:lineRule="exact"/>
        <w:ind w:firstLine="420" w:firstLineChars="200"/>
        <w:jc w:val="left"/>
        <w:rPr>
          <w:rFonts w:hint="eastAsia"/>
        </w:rPr>
      </w:pPr>
      <w:r>
        <w:rPr>
          <w:rFonts w:hint="eastAsia"/>
        </w:rPr>
        <w:t>(1)向受委托人提供本工程招标代理业务应具备的相关工作前期资料(如立项批准手 续、规划许可、报建证等)及资金落实情况资料的时间：编写招标文件之前。</w:t>
      </w:r>
    </w:p>
    <w:p>
      <w:pPr>
        <w:spacing w:line="380" w:lineRule="exact"/>
        <w:ind w:firstLine="420" w:firstLineChars="200"/>
        <w:jc w:val="left"/>
        <w:rPr>
          <w:rFonts w:hint="eastAsia"/>
        </w:rPr>
      </w:pPr>
      <w:r>
        <w:rPr>
          <w:rFonts w:hint="eastAsia"/>
        </w:rPr>
        <w:t>(2)向受委托人提供完全代理招标业务所需的全部资料的时间：发布招标公告或投标邀请前三天。</w:t>
      </w:r>
    </w:p>
    <w:p>
      <w:pPr>
        <w:spacing w:line="380" w:lineRule="exact"/>
        <w:ind w:firstLine="420" w:firstLineChars="200"/>
        <w:jc w:val="left"/>
        <w:rPr>
          <w:rFonts w:hint="eastAsia"/>
        </w:rPr>
      </w:pPr>
      <w:r>
        <w:rPr>
          <w:rFonts w:hint="eastAsia"/>
        </w:rPr>
        <w:t>(3)向受委托人提供保证招标工作顺利完成的条件：在约定的时间审查资审文件、招标文件、清单与标底(或限价)。</w:t>
      </w:r>
    </w:p>
    <w:p>
      <w:pPr>
        <w:spacing w:line="380" w:lineRule="exact"/>
        <w:ind w:firstLine="420" w:firstLineChars="200"/>
        <w:jc w:val="left"/>
        <w:rPr>
          <w:rFonts w:hint="eastAsia"/>
        </w:rPr>
      </w:pPr>
      <w:r>
        <w:rPr>
          <w:rFonts w:hint="eastAsia"/>
        </w:rPr>
        <w:t>(4)指定的与受委托人联系的人员</w:t>
      </w:r>
    </w:p>
    <w:p>
      <w:pPr>
        <w:spacing w:line="380" w:lineRule="exact"/>
        <w:ind w:firstLine="420" w:firstLineChars="200"/>
        <w:jc w:val="left"/>
        <w:rPr>
          <w:rFonts w:hint="eastAsia"/>
        </w:rPr>
      </w:pPr>
      <w:r>
        <w:rPr>
          <w:rFonts w:hint="eastAsia"/>
        </w:rPr>
        <w:t>姓名：</w:t>
      </w:r>
    </w:p>
    <w:p>
      <w:pPr>
        <w:spacing w:line="380" w:lineRule="exact"/>
        <w:ind w:firstLine="420" w:firstLineChars="200"/>
        <w:jc w:val="left"/>
        <w:rPr>
          <w:rFonts w:hint="eastAsia"/>
        </w:rPr>
      </w:pPr>
      <w:r>
        <w:rPr>
          <w:rFonts w:hint="eastAsia"/>
        </w:rPr>
        <w:t>职务：</w:t>
      </w:r>
    </w:p>
    <w:p>
      <w:pPr>
        <w:spacing w:line="380" w:lineRule="exact"/>
        <w:ind w:firstLine="420" w:firstLineChars="200"/>
        <w:jc w:val="left"/>
        <w:rPr>
          <w:rFonts w:hint="eastAsia"/>
        </w:rPr>
      </w:pPr>
      <w:r>
        <w:rPr>
          <w:rFonts w:hint="eastAsia"/>
        </w:rPr>
        <w:t>电话：</w:t>
      </w:r>
    </w:p>
    <w:p>
      <w:pPr>
        <w:spacing w:line="380" w:lineRule="exact"/>
        <w:ind w:firstLine="420" w:firstLineChars="200"/>
        <w:jc w:val="left"/>
        <w:rPr>
          <w:rFonts w:hint="eastAsia"/>
        </w:rPr>
      </w:pPr>
      <w:r>
        <w:rPr>
          <w:rFonts w:hint="eastAsia"/>
        </w:rPr>
        <w:t>(5)需要与第三方协调的工作：设计单位提供施工图。</w:t>
      </w:r>
    </w:p>
    <w:p>
      <w:pPr>
        <w:spacing w:line="380" w:lineRule="exact"/>
        <w:ind w:firstLine="420" w:firstLineChars="200"/>
        <w:jc w:val="left"/>
        <w:rPr>
          <w:rFonts w:hint="eastAsia"/>
        </w:rPr>
      </w:pPr>
      <w:r>
        <w:rPr>
          <w:rFonts w:hint="eastAsia"/>
        </w:rPr>
        <w:t>(6)应尽的其他义务：</w:t>
      </w:r>
    </w:p>
    <w:p>
      <w:pPr>
        <w:spacing w:line="380" w:lineRule="exact"/>
        <w:ind w:firstLine="420" w:firstLineChars="200"/>
        <w:jc w:val="left"/>
        <w:rPr>
          <w:rFonts w:hint="eastAsia"/>
        </w:rPr>
      </w:pPr>
      <w:r>
        <w:rPr>
          <w:rFonts w:hint="eastAsia"/>
        </w:rPr>
        <w:t>①为受委托人开展调查研究、搜集资料工作提供必要的帮助；并根据招标工作的要求，及时告知受托人招标工作计划，以确保受委托人咨询工作顺利开展；</w:t>
      </w:r>
    </w:p>
    <w:p>
      <w:pPr>
        <w:spacing w:line="380" w:lineRule="exact"/>
        <w:ind w:firstLine="420" w:firstLineChars="200"/>
        <w:jc w:val="left"/>
        <w:rPr>
          <w:rFonts w:hint="eastAsia"/>
        </w:rPr>
      </w:pPr>
      <w:r>
        <w:rPr>
          <w:rFonts w:hint="eastAsia"/>
        </w:rPr>
        <w:t>②与受委托人共同组织好现场考察、标前会、开评标会；</w:t>
      </w:r>
    </w:p>
    <w:p>
      <w:pPr>
        <w:spacing w:line="380" w:lineRule="exact"/>
        <w:ind w:firstLine="420" w:firstLineChars="200"/>
        <w:jc w:val="left"/>
        <w:rPr>
          <w:rFonts w:hint="eastAsia"/>
        </w:rPr>
      </w:pPr>
      <w:r>
        <w:rPr>
          <w:rFonts w:hint="eastAsia"/>
        </w:rPr>
        <w:t>③及时按合同要求向受委托人结算支付招标咨询服务费用。</w:t>
      </w:r>
    </w:p>
    <w:p>
      <w:pPr>
        <w:spacing w:line="380" w:lineRule="exact"/>
        <w:ind w:firstLine="420" w:firstLineChars="200"/>
        <w:jc w:val="left"/>
        <w:rPr>
          <w:rFonts w:hint="eastAsia"/>
        </w:rPr>
      </w:pPr>
      <w:r>
        <w:rPr>
          <w:rFonts w:hint="eastAsia"/>
        </w:rPr>
        <w:t>4、受委托人的义务</w:t>
      </w:r>
    </w:p>
    <w:p>
      <w:pPr>
        <w:spacing w:line="380" w:lineRule="exact"/>
        <w:ind w:firstLine="420" w:firstLineChars="200"/>
        <w:jc w:val="left"/>
        <w:rPr>
          <w:rFonts w:hint="default" w:eastAsia="宋体"/>
          <w:lang w:val="en-US" w:eastAsia="zh-CN"/>
        </w:rPr>
      </w:pPr>
      <w:r>
        <w:rPr>
          <w:rFonts w:hint="eastAsia"/>
        </w:rPr>
        <w:t>4.1招标代理项目负责人姓名：</w:t>
      </w:r>
      <w:r>
        <w:rPr>
          <w:rFonts w:hint="eastAsia"/>
          <w:u w:val="single"/>
          <w:lang w:val="en-US" w:eastAsia="zh-CN"/>
        </w:rPr>
        <w:t xml:space="preserve">            </w:t>
      </w:r>
      <w:r>
        <w:rPr>
          <w:rFonts w:hint="eastAsia"/>
        </w:rPr>
        <w:t>身份证号：</w:t>
      </w:r>
      <w:r>
        <w:rPr>
          <w:rFonts w:hint="eastAsia"/>
          <w:u w:val="single"/>
          <w:lang w:val="en-US" w:eastAsia="zh-CN"/>
        </w:rPr>
        <w:t xml:space="preserve">                </w:t>
      </w:r>
    </w:p>
    <w:p>
      <w:pPr>
        <w:spacing w:line="380" w:lineRule="exact"/>
        <w:ind w:firstLine="420" w:firstLineChars="200"/>
        <w:jc w:val="left"/>
        <w:rPr>
          <w:rFonts w:hint="eastAsia"/>
        </w:rPr>
      </w:pPr>
      <w:r>
        <w:rPr>
          <w:rFonts w:hint="eastAsia"/>
        </w:rPr>
        <w:t>4.2受委托人应按约定的时间和要求完全下列工作：</w:t>
      </w:r>
    </w:p>
    <w:p>
      <w:pPr>
        <w:spacing w:line="380" w:lineRule="exact"/>
        <w:ind w:firstLine="420" w:firstLineChars="200"/>
        <w:jc w:val="left"/>
        <w:rPr>
          <w:rFonts w:hint="eastAsia"/>
        </w:rPr>
      </w:pPr>
      <w:r>
        <w:rPr>
          <w:rFonts w:hint="eastAsia"/>
        </w:rPr>
        <w:t>(1)组织招标工作的内容和时间：每个项目的招标时间安排均应在符合相关招投法或管理条例规定的前提下满足委托人的要求。</w:t>
      </w:r>
    </w:p>
    <w:p>
      <w:pPr>
        <w:spacing w:line="380" w:lineRule="exact"/>
        <w:ind w:firstLine="420" w:firstLineChars="200"/>
        <w:jc w:val="left"/>
        <w:rPr>
          <w:rFonts w:hint="eastAsia"/>
        </w:rPr>
      </w:pPr>
      <w:r>
        <w:rPr>
          <w:rFonts w:hint="eastAsia"/>
        </w:rPr>
        <w:t>(2)为委托人提供的为完成招标工作的相关咨询服务：</w:t>
      </w:r>
    </w:p>
    <w:p>
      <w:pPr>
        <w:spacing w:line="380" w:lineRule="exact"/>
        <w:ind w:firstLine="420" w:firstLineChars="200"/>
        <w:jc w:val="left"/>
        <w:rPr>
          <w:rFonts w:hint="eastAsia"/>
        </w:rPr>
      </w:pPr>
      <w:r>
        <w:rPr>
          <w:rFonts w:hint="eastAsia"/>
        </w:rPr>
        <w:t>①应根据委托人委托的任务，成立由政治素质好、业务能力强、纪律严明的专业技术人员组成的工作小组，全面负责向委托人提供优质咨询服务；</w:t>
      </w:r>
    </w:p>
    <w:p>
      <w:pPr>
        <w:spacing w:line="380" w:lineRule="exact"/>
        <w:ind w:firstLine="420" w:firstLineChars="200"/>
        <w:jc w:val="left"/>
        <w:rPr>
          <w:rFonts w:hint="eastAsia"/>
        </w:rPr>
      </w:pPr>
      <w:r>
        <w:rPr>
          <w:rFonts w:hint="eastAsia"/>
        </w:rPr>
        <w:t>②负责与咨询有关的调查研究、搜集资料、文件编制、组织审查、修改、提交最终咨询成果文件、项目后服务等所有工作；</w:t>
      </w:r>
    </w:p>
    <w:p>
      <w:pPr>
        <w:spacing w:line="380" w:lineRule="exact"/>
        <w:ind w:firstLine="420" w:firstLineChars="200"/>
        <w:jc w:val="left"/>
        <w:rPr>
          <w:rFonts w:hint="eastAsia"/>
        </w:rPr>
      </w:pPr>
      <w:r>
        <w:rPr>
          <w:rFonts w:hint="eastAsia"/>
        </w:rPr>
        <w:t>③项目需由受托人编制工程量清单的，受托人应投入足够的人力、物力，保证清单编制的深度达到招标人满意的要求，避免计算错误、漏项或重复计量的情况，对于图纸中出现的前后不一致、细部核算与汇总表不一致的情况应在编制工程量清单过程中发现并报知委托人。</w:t>
      </w:r>
    </w:p>
    <w:p>
      <w:pPr>
        <w:spacing w:line="380" w:lineRule="exact"/>
        <w:ind w:firstLine="420" w:firstLineChars="200"/>
        <w:jc w:val="left"/>
        <w:rPr>
          <w:rFonts w:hint="eastAsia"/>
        </w:rPr>
      </w:pPr>
      <w:r>
        <w:rPr>
          <w:rFonts w:hint="eastAsia"/>
        </w:rPr>
        <w:t>(3)承担招标代理业务过程中，应由受委托人支付的费用：</w:t>
      </w:r>
    </w:p>
    <w:p>
      <w:pPr>
        <w:spacing w:line="380" w:lineRule="exact"/>
        <w:ind w:firstLine="420" w:firstLineChars="200"/>
        <w:jc w:val="left"/>
        <w:rPr>
          <w:rFonts w:hint="eastAsia"/>
        </w:rPr>
      </w:pPr>
      <w:r>
        <w:rPr>
          <w:rFonts w:hint="eastAsia"/>
        </w:rPr>
        <w:t>招标文件编制费、清单与标底编制费(若需)、清标费、文件出版费、投标、开标评标会务费、评标专家咨询费等。</w:t>
      </w:r>
    </w:p>
    <w:p>
      <w:pPr>
        <w:spacing w:line="380" w:lineRule="exact"/>
        <w:ind w:firstLine="420" w:firstLineChars="200"/>
        <w:jc w:val="left"/>
        <w:rPr>
          <w:rFonts w:hint="eastAsia"/>
        </w:rPr>
      </w:pPr>
      <w:r>
        <w:rPr>
          <w:rFonts w:hint="eastAsia"/>
        </w:rPr>
        <w:t>同一标段直到招标成功为止仅收取一次招标代理服务费。如果在招标过程中出现流标的情况，对当次招标受托人不收取招标代理费用。</w:t>
      </w:r>
    </w:p>
    <w:p>
      <w:pPr>
        <w:spacing w:line="380" w:lineRule="exact"/>
        <w:ind w:firstLine="420" w:firstLineChars="200"/>
        <w:jc w:val="left"/>
        <w:rPr>
          <w:rFonts w:hint="eastAsia"/>
        </w:rPr>
      </w:pPr>
      <w:r>
        <w:rPr>
          <w:rFonts w:hint="eastAsia"/>
        </w:rPr>
        <w:t>(4)应尽的其他义务：</w:t>
      </w:r>
    </w:p>
    <w:p>
      <w:pPr>
        <w:spacing w:line="380" w:lineRule="exact"/>
        <w:ind w:firstLine="420" w:firstLineChars="200"/>
        <w:jc w:val="left"/>
        <w:rPr>
          <w:rFonts w:hint="eastAsia"/>
        </w:rPr>
      </w:pPr>
      <w:r>
        <w:rPr>
          <w:rFonts w:hint="eastAsia"/>
        </w:rPr>
        <w:t>①应采取一切必要保密措施，确保参与的咨询人员严格遵守保密制度，严禁泄露一切与委托人咨询有关的信息，否则一经查实，委托人有权终止本协议，并追究受委托人经济、法律责任。</w:t>
      </w:r>
    </w:p>
    <w:p>
      <w:pPr>
        <w:spacing w:line="380" w:lineRule="exact"/>
        <w:ind w:firstLine="420" w:firstLineChars="200"/>
        <w:jc w:val="left"/>
        <w:rPr>
          <w:rFonts w:hint="eastAsia"/>
        </w:rPr>
      </w:pPr>
      <w:r>
        <w:rPr>
          <w:rFonts w:hint="eastAsia"/>
        </w:rPr>
        <w:t>②未经委托人许可，不得将本合同的任何部分转包或分包出去。</w:t>
      </w:r>
    </w:p>
    <w:p>
      <w:pPr>
        <w:spacing w:line="380" w:lineRule="exact"/>
        <w:ind w:firstLine="420" w:firstLineChars="200"/>
        <w:jc w:val="left"/>
        <w:rPr>
          <w:rFonts w:hint="eastAsia"/>
        </w:rPr>
      </w:pPr>
      <w:r>
        <w:rPr>
          <w:rFonts w:hint="eastAsia"/>
        </w:rPr>
        <w:t>③对咨询有关资料有义务长期保存(不短于5年)，并根据委托人需要随时提供免费查阅。</w:t>
      </w:r>
    </w:p>
    <w:p>
      <w:pPr>
        <w:spacing w:line="380" w:lineRule="exact"/>
        <w:ind w:firstLine="420" w:firstLineChars="200"/>
        <w:jc w:val="left"/>
        <w:rPr>
          <w:rFonts w:hint="eastAsia"/>
        </w:rPr>
      </w:pPr>
      <w:r>
        <w:rPr>
          <w:rFonts w:hint="eastAsia"/>
        </w:rPr>
        <w:t>(5)其他</w:t>
      </w:r>
    </w:p>
    <w:p>
      <w:pPr>
        <w:spacing w:line="380" w:lineRule="exact"/>
        <w:ind w:firstLine="420" w:firstLineChars="200"/>
        <w:jc w:val="left"/>
        <w:rPr>
          <w:rFonts w:hint="eastAsia"/>
        </w:rPr>
      </w:pPr>
      <w:r>
        <w:rPr>
          <w:rFonts w:hint="eastAsia"/>
        </w:rPr>
        <w:t>①严格按照委托方规定的时间、格式及内容要求提交咨询成果文件；</w:t>
      </w:r>
    </w:p>
    <w:p>
      <w:pPr>
        <w:spacing w:line="380" w:lineRule="exact"/>
        <w:ind w:firstLine="420" w:firstLineChars="200"/>
        <w:jc w:val="left"/>
        <w:rPr>
          <w:rFonts w:hint="eastAsia"/>
        </w:rPr>
      </w:pPr>
      <w:r>
        <w:rPr>
          <w:rFonts w:hint="eastAsia"/>
        </w:rPr>
        <w:t>②咨询结果必须准确；</w:t>
      </w:r>
    </w:p>
    <w:p>
      <w:pPr>
        <w:spacing w:line="380" w:lineRule="exact"/>
        <w:ind w:firstLine="420" w:firstLineChars="200"/>
        <w:jc w:val="left"/>
        <w:rPr>
          <w:rFonts w:hint="eastAsia"/>
        </w:rPr>
      </w:pPr>
      <w:r>
        <w:rPr>
          <w:rFonts w:hint="eastAsia"/>
        </w:rPr>
        <w:t>③不得向任何第三方泄露与委托方咨询有关的信息。</w:t>
      </w:r>
    </w:p>
    <w:p>
      <w:pPr>
        <w:spacing w:line="380" w:lineRule="exact"/>
        <w:ind w:firstLine="420" w:firstLineChars="200"/>
        <w:jc w:val="left"/>
        <w:rPr>
          <w:rFonts w:hint="eastAsia"/>
        </w:rPr>
      </w:pPr>
      <w:r>
        <w:rPr>
          <w:rFonts w:hint="eastAsia"/>
        </w:rPr>
        <w:t>5、委托人的权利</w:t>
      </w:r>
    </w:p>
    <w:p>
      <w:pPr>
        <w:spacing w:line="380" w:lineRule="exact"/>
        <w:ind w:firstLine="420" w:firstLineChars="200"/>
        <w:jc w:val="left"/>
        <w:rPr>
          <w:rFonts w:hint="eastAsia"/>
        </w:rPr>
      </w:pPr>
      <w:r>
        <w:rPr>
          <w:rFonts w:hint="eastAsia"/>
        </w:rPr>
        <w:t>5.1委托人拥有的权利：有权根据受委托人咨询工作的质量，安排和调整受委托人工作任务，甚至收回部分或全部工作任务，而无须说明任何原因。</w:t>
      </w:r>
    </w:p>
    <w:p>
      <w:pPr>
        <w:spacing w:line="380" w:lineRule="exact"/>
        <w:jc w:val="left"/>
        <w:rPr>
          <w:rFonts w:hint="eastAsia"/>
          <w:b/>
          <w:bCs/>
        </w:rPr>
      </w:pPr>
      <w:r>
        <w:rPr>
          <w:rFonts w:hint="eastAsia"/>
          <w:b/>
          <w:bCs/>
        </w:rPr>
        <w:t>三、委托代理报酬与收取</w:t>
      </w:r>
    </w:p>
    <w:p>
      <w:pPr>
        <w:spacing w:line="380" w:lineRule="exact"/>
        <w:ind w:firstLine="420" w:firstLineChars="200"/>
        <w:jc w:val="left"/>
        <w:rPr>
          <w:rFonts w:hint="eastAsia"/>
        </w:rPr>
      </w:pPr>
      <w:r>
        <w:rPr>
          <w:rFonts w:hint="eastAsia"/>
        </w:rPr>
        <w:t>6 、委托代理报酬：</w:t>
      </w:r>
    </w:p>
    <w:p>
      <w:pPr>
        <w:tabs>
          <w:tab w:val="left" w:pos="7455"/>
        </w:tabs>
        <w:adjustRightInd w:val="0"/>
        <w:snapToGrid w:val="0"/>
        <w:spacing w:line="360" w:lineRule="auto"/>
        <w:ind w:firstLine="420" w:firstLineChars="200"/>
        <w:rPr>
          <w:rFonts w:ascii="Garamond" w:hAnsi="Garamond" w:cs="宋体"/>
          <w:b/>
          <w:szCs w:val="21"/>
          <w:lang w:val="zh-CN"/>
        </w:rPr>
      </w:pPr>
      <w:r>
        <w:rPr>
          <w:rFonts w:hint="eastAsia"/>
        </w:rPr>
        <w:t>6.1招标代理服务费：</w:t>
      </w:r>
      <w:r>
        <w:rPr>
          <w:rFonts w:hint="eastAsia"/>
          <w:b/>
          <w:bCs/>
          <w:u w:val="single"/>
        </w:rPr>
        <w:t>招标代理服务费的收费标准按国家发展改革委《招标代理服务收费管理暂行办法》、《关于招标代理服务费有关问题的通知》以及《国家发改委关于降低部分建设项目收费标准规范收费行为等有关问题的通知》规定标准费用的</w:t>
      </w:r>
      <w:r>
        <w:rPr>
          <w:rFonts w:hint="eastAsia"/>
          <w:b/>
          <w:bCs/>
          <w:u w:val="single"/>
          <w:lang w:val="en-US" w:eastAsia="zh-CN"/>
        </w:rPr>
        <w:t>8</w:t>
      </w:r>
      <w:r>
        <w:rPr>
          <w:rFonts w:hint="eastAsia"/>
          <w:b/>
          <w:bCs/>
          <w:u w:val="single"/>
        </w:rPr>
        <w:t>0%进行计算</w:t>
      </w:r>
      <w:r>
        <w:rPr>
          <w:rFonts w:hint="eastAsia"/>
          <w:b/>
          <w:bCs/>
          <w:u w:val="single"/>
          <w:lang w:eastAsia="zh-CN"/>
        </w:rPr>
        <w:t>；</w:t>
      </w:r>
      <w:r>
        <w:rPr>
          <w:rFonts w:ascii="Garamond" w:hAnsi="Garamond" w:cs="宋体"/>
          <w:b/>
          <w:szCs w:val="21"/>
          <w:lang w:val="zh-CN"/>
        </w:rPr>
        <w:t>其中：</w:t>
      </w:r>
    </w:p>
    <w:p>
      <w:pPr>
        <w:tabs>
          <w:tab w:val="left" w:pos="7455"/>
        </w:tabs>
        <w:adjustRightInd w:val="0"/>
        <w:snapToGrid w:val="0"/>
        <w:spacing w:line="360" w:lineRule="auto"/>
        <w:ind w:firstLine="422" w:firstLineChars="200"/>
        <w:rPr>
          <w:rFonts w:hint="eastAsia"/>
          <w:b/>
          <w:bCs/>
          <w:u w:val="single"/>
        </w:rPr>
      </w:pPr>
      <w:r>
        <w:rPr>
          <w:rFonts w:hint="eastAsia"/>
          <w:b/>
          <w:bCs/>
          <w:u w:val="single"/>
          <w:lang w:val="en-US" w:eastAsia="zh-CN"/>
        </w:rPr>
        <w:t>工程施工类项目：单项合同价在100万元（含）及以上的，</w:t>
      </w:r>
      <w:r>
        <w:rPr>
          <w:rFonts w:hint="eastAsia"/>
          <w:b/>
          <w:bCs/>
          <w:u w:val="single"/>
        </w:rPr>
        <w:t xml:space="preserve">招标代理服务费保底价格为 </w:t>
      </w:r>
      <w:r>
        <w:rPr>
          <w:rFonts w:hint="eastAsia"/>
          <w:b/>
          <w:bCs/>
          <w:u w:val="single"/>
          <w:lang w:val="en-US" w:eastAsia="zh-CN"/>
        </w:rPr>
        <w:t>2</w:t>
      </w:r>
      <w:r>
        <w:rPr>
          <w:rFonts w:hint="eastAsia"/>
          <w:b/>
          <w:bCs/>
          <w:u w:val="single"/>
        </w:rPr>
        <w:t xml:space="preserve"> 万元；</w:t>
      </w:r>
      <w:r>
        <w:rPr>
          <w:rFonts w:hint="eastAsia"/>
          <w:b/>
          <w:bCs/>
          <w:u w:val="single"/>
          <w:lang w:val="en-US" w:eastAsia="zh-CN"/>
        </w:rPr>
        <w:t>单项合同价在10万元（含）至100万元</w:t>
      </w:r>
      <w:r>
        <w:rPr>
          <w:rFonts w:hint="eastAsia"/>
          <w:b/>
          <w:bCs/>
          <w:u w:val="single"/>
        </w:rPr>
        <w:t>（不含）</w:t>
      </w:r>
      <w:r>
        <w:rPr>
          <w:rFonts w:hint="eastAsia"/>
          <w:b/>
          <w:bCs/>
          <w:u w:val="single"/>
          <w:lang w:val="en-US" w:eastAsia="zh-CN"/>
        </w:rPr>
        <w:t>之间的，</w:t>
      </w:r>
      <w:r>
        <w:rPr>
          <w:rFonts w:hint="eastAsia"/>
          <w:b/>
          <w:bCs/>
          <w:u w:val="single"/>
        </w:rPr>
        <w:t>招标代理服务费保底价格为</w:t>
      </w:r>
      <w:r>
        <w:rPr>
          <w:rFonts w:hint="eastAsia"/>
          <w:b/>
          <w:bCs/>
          <w:u w:val="single"/>
          <w:lang w:val="en-US" w:eastAsia="zh-CN"/>
        </w:rPr>
        <w:t>1.5</w:t>
      </w:r>
      <w:r>
        <w:rPr>
          <w:rFonts w:hint="eastAsia"/>
          <w:b/>
          <w:bCs/>
          <w:u w:val="single"/>
        </w:rPr>
        <w:t>万元</w:t>
      </w:r>
      <w:r>
        <w:rPr>
          <w:rFonts w:hint="eastAsia"/>
          <w:b/>
          <w:bCs/>
          <w:u w:val="single"/>
          <w:lang w:eastAsia="zh-CN"/>
        </w:rPr>
        <w:t>；单项合同价在</w:t>
      </w:r>
      <w:r>
        <w:rPr>
          <w:rFonts w:hint="eastAsia"/>
          <w:b/>
          <w:bCs/>
          <w:u w:val="single"/>
          <w:lang w:val="en-US" w:eastAsia="zh-CN"/>
        </w:rPr>
        <w:t>5</w:t>
      </w:r>
      <w:r>
        <w:rPr>
          <w:rFonts w:hint="eastAsia"/>
          <w:b/>
          <w:bCs/>
          <w:u w:val="single"/>
        </w:rPr>
        <w:t>万元</w:t>
      </w:r>
      <w:r>
        <w:rPr>
          <w:rFonts w:hint="eastAsia"/>
          <w:b/>
          <w:bCs/>
          <w:u w:val="single"/>
          <w:lang w:eastAsia="zh-CN"/>
        </w:rPr>
        <w:t>（</w:t>
      </w:r>
      <w:r>
        <w:rPr>
          <w:rFonts w:hint="eastAsia"/>
          <w:b/>
          <w:bCs/>
          <w:u w:val="single"/>
          <w:lang w:val="en-US" w:eastAsia="zh-CN"/>
        </w:rPr>
        <w:t>含</w:t>
      </w:r>
      <w:r>
        <w:rPr>
          <w:rFonts w:hint="eastAsia"/>
          <w:b/>
          <w:bCs/>
          <w:u w:val="single"/>
          <w:lang w:eastAsia="zh-CN"/>
        </w:rPr>
        <w:t>）</w:t>
      </w:r>
      <w:r>
        <w:rPr>
          <w:rFonts w:hint="eastAsia"/>
          <w:b/>
          <w:bCs/>
          <w:u w:val="single"/>
          <w:lang w:val="en-US" w:eastAsia="zh-CN"/>
        </w:rPr>
        <w:t>至10万元</w:t>
      </w:r>
      <w:r>
        <w:rPr>
          <w:rFonts w:hint="eastAsia"/>
          <w:b/>
          <w:bCs/>
          <w:u w:val="single"/>
        </w:rPr>
        <w:t>（不含）</w:t>
      </w:r>
      <w:r>
        <w:rPr>
          <w:rFonts w:hint="eastAsia"/>
          <w:b/>
          <w:bCs/>
          <w:u w:val="single"/>
          <w:lang w:val="en-US" w:eastAsia="zh-CN"/>
        </w:rPr>
        <w:t>的，</w:t>
      </w:r>
      <w:r>
        <w:rPr>
          <w:rFonts w:hint="eastAsia"/>
          <w:b/>
          <w:bCs/>
          <w:u w:val="single"/>
        </w:rPr>
        <w:t>招标代理服务费保底价格为 0.</w:t>
      </w:r>
      <w:r>
        <w:rPr>
          <w:rFonts w:hint="eastAsia"/>
          <w:b/>
          <w:bCs/>
          <w:u w:val="single"/>
          <w:lang w:val="en-US" w:eastAsia="zh-CN"/>
        </w:rPr>
        <w:t>5</w:t>
      </w:r>
      <w:r>
        <w:rPr>
          <w:rFonts w:hint="eastAsia"/>
          <w:b/>
          <w:bCs/>
          <w:u w:val="single"/>
        </w:rPr>
        <w:t xml:space="preserve"> 万元；</w:t>
      </w:r>
      <w:r>
        <w:rPr>
          <w:rFonts w:hint="eastAsia"/>
          <w:b/>
          <w:bCs/>
          <w:u w:val="single"/>
          <w:lang w:eastAsia="zh-CN"/>
        </w:rPr>
        <w:t>单项合同价在</w:t>
      </w:r>
      <w:r>
        <w:rPr>
          <w:rFonts w:hint="eastAsia"/>
          <w:b/>
          <w:bCs/>
          <w:u w:val="single"/>
        </w:rPr>
        <w:t>5万元（不含）以下的</w:t>
      </w:r>
      <w:r>
        <w:rPr>
          <w:rFonts w:hint="eastAsia"/>
          <w:b/>
          <w:bCs/>
          <w:u w:val="single"/>
          <w:lang w:eastAsia="zh-CN"/>
        </w:rPr>
        <w:t>，</w:t>
      </w:r>
      <w:r>
        <w:rPr>
          <w:rFonts w:hint="eastAsia"/>
          <w:b/>
          <w:bCs/>
          <w:u w:val="single"/>
        </w:rPr>
        <w:t>招标代理费保底价为 0.3</w:t>
      </w:r>
      <w:r>
        <w:rPr>
          <w:rFonts w:hint="eastAsia"/>
          <w:b/>
          <w:bCs/>
          <w:u w:val="single"/>
          <w:lang w:val="en-US" w:eastAsia="zh-CN"/>
        </w:rPr>
        <w:t>5</w:t>
      </w:r>
      <w:r>
        <w:rPr>
          <w:rFonts w:hint="eastAsia"/>
          <w:b/>
          <w:bCs/>
          <w:u w:val="single"/>
        </w:rPr>
        <w:t xml:space="preserve"> 万元。</w:t>
      </w:r>
    </w:p>
    <w:p>
      <w:pPr>
        <w:tabs>
          <w:tab w:val="left" w:pos="7455"/>
        </w:tabs>
        <w:adjustRightInd w:val="0"/>
        <w:snapToGrid w:val="0"/>
        <w:spacing w:line="360" w:lineRule="auto"/>
        <w:ind w:firstLine="422" w:firstLineChars="200"/>
        <w:rPr>
          <w:rFonts w:hint="eastAsia" w:eastAsia="宋体"/>
          <w:b/>
          <w:bCs/>
          <w:u w:val="single"/>
          <w:lang w:val="en-US" w:eastAsia="zh-CN"/>
        </w:rPr>
      </w:pPr>
      <w:r>
        <w:rPr>
          <w:rFonts w:hint="eastAsia"/>
          <w:b/>
          <w:bCs/>
          <w:u w:val="single"/>
          <w:lang w:val="en-US" w:eastAsia="zh-CN"/>
        </w:rPr>
        <w:t>货物采购类项目：单项合同价在50万元（含）以上的，</w:t>
      </w:r>
      <w:r>
        <w:rPr>
          <w:rFonts w:hint="eastAsia"/>
          <w:b/>
          <w:bCs/>
          <w:u w:val="single"/>
        </w:rPr>
        <w:t>招标代理服务费保底价格为</w:t>
      </w:r>
      <w:r>
        <w:rPr>
          <w:rFonts w:hint="eastAsia"/>
          <w:b/>
          <w:bCs/>
          <w:u w:val="single"/>
          <w:lang w:val="en-US" w:eastAsia="zh-CN"/>
        </w:rPr>
        <w:t>1.5</w:t>
      </w:r>
      <w:r>
        <w:rPr>
          <w:rFonts w:hint="eastAsia"/>
          <w:b/>
          <w:bCs/>
          <w:u w:val="single"/>
        </w:rPr>
        <w:t>万元</w:t>
      </w:r>
      <w:r>
        <w:rPr>
          <w:rFonts w:hint="eastAsia"/>
          <w:b/>
          <w:bCs/>
          <w:u w:val="single"/>
          <w:lang w:eastAsia="zh-CN"/>
        </w:rPr>
        <w:t>；</w:t>
      </w:r>
      <w:r>
        <w:rPr>
          <w:rFonts w:hint="eastAsia"/>
          <w:b/>
          <w:bCs/>
          <w:u w:val="single"/>
          <w:lang w:val="en-US" w:eastAsia="zh-CN"/>
        </w:rPr>
        <w:t>单项合同价在20万元（含）至50万元（不含）之间的，</w:t>
      </w:r>
      <w:r>
        <w:rPr>
          <w:rFonts w:hint="eastAsia"/>
          <w:b/>
          <w:bCs/>
          <w:u w:val="single"/>
        </w:rPr>
        <w:t>招标代理服务费保底价格为</w:t>
      </w:r>
      <w:r>
        <w:rPr>
          <w:rFonts w:hint="eastAsia"/>
          <w:b/>
          <w:bCs/>
          <w:u w:val="single"/>
          <w:lang w:val="en-US" w:eastAsia="zh-CN"/>
        </w:rPr>
        <w:t>1.2</w:t>
      </w:r>
      <w:r>
        <w:rPr>
          <w:rFonts w:hint="eastAsia"/>
          <w:b/>
          <w:bCs/>
          <w:u w:val="single"/>
        </w:rPr>
        <w:t>万元</w:t>
      </w:r>
      <w:r>
        <w:rPr>
          <w:rFonts w:hint="eastAsia"/>
          <w:b/>
          <w:bCs/>
          <w:u w:val="single"/>
          <w:lang w:eastAsia="zh-CN"/>
        </w:rPr>
        <w:t>；单项合同价在</w:t>
      </w:r>
      <w:r>
        <w:rPr>
          <w:rFonts w:hint="eastAsia"/>
          <w:b/>
          <w:bCs/>
          <w:u w:val="single"/>
          <w:lang w:val="en-US" w:eastAsia="zh-CN"/>
        </w:rPr>
        <w:t>20</w:t>
      </w:r>
      <w:r>
        <w:rPr>
          <w:rFonts w:hint="eastAsia"/>
          <w:b/>
          <w:bCs/>
          <w:u w:val="single"/>
        </w:rPr>
        <w:t>万元（不含）以下的</w:t>
      </w:r>
      <w:r>
        <w:rPr>
          <w:rFonts w:hint="eastAsia"/>
          <w:b/>
          <w:bCs/>
          <w:u w:val="single"/>
          <w:lang w:eastAsia="zh-CN"/>
        </w:rPr>
        <w:t>，</w:t>
      </w:r>
      <w:r>
        <w:rPr>
          <w:rFonts w:hint="eastAsia"/>
          <w:b/>
          <w:bCs/>
          <w:u w:val="single"/>
        </w:rPr>
        <w:t>招标代理费保底价为 0.3</w:t>
      </w:r>
      <w:r>
        <w:rPr>
          <w:rFonts w:hint="eastAsia"/>
          <w:b/>
          <w:bCs/>
          <w:u w:val="single"/>
          <w:lang w:val="en-US" w:eastAsia="zh-CN"/>
        </w:rPr>
        <w:t>5</w:t>
      </w:r>
      <w:r>
        <w:rPr>
          <w:rFonts w:hint="eastAsia"/>
          <w:b/>
          <w:bCs/>
          <w:u w:val="single"/>
        </w:rPr>
        <w:t xml:space="preserve"> 万元。</w:t>
      </w:r>
    </w:p>
    <w:p>
      <w:pPr>
        <w:tabs>
          <w:tab w:val="left" w:pos="7455"/>
        </w:tabs>
        <w:adjustRightInd w:val="0"/>
        <w:snapToGrid w:val="0"/>
        <w:spacing w:line="360" w:lineRule="auto"/>
        <w:ind w:firstLine="422" w:firstLineChars="200"/>
        <w:rPr>
          <w:rFonts w:hint="eastAsia"/>
        </w:rPr>
      </w:pPr>
      <w:r>
        <w:rPr>
          <w:rFonts w:hint="eastAsia"/>
          <w:b/>
          <w:bCs/>
          <w:u w:val="single"/>
          <w:lang w:val="en-US" w:eastAsia="zh-CN"/>
        </w:rPr>
        <w:t>咨询服务类项目：单项合同价在30万元（含）以上的，</w:t>
      </w:r>
      <w:r>
        <w:rPr>
          <w:rFonts w:hint="eastAsia"/>
          <w:b/>
          <w:bCs/>
          <w:u w:val="single"/>
        </w:rPr>
        <w:t>招标代理服务费保底价格为</w:t>
      </w:r>
      <w:r>
        <w:rPr>
          <w:rFonts w:hint="eastAsia"/>
          <w:b/>
          <w:bCs/>
          <w:u w:val="single"/>
          <w:lang w:val="en-US" w:eastAsia="zh-CN"/>
        </w:rPr>
        <w:t>1.5</w:t>
      </w:r>
      <w:r>
        <w:rPr>
          <w:rFonts w:hint="eastAsia"/>
          <w:b/>
          <w:bCs/>
          <w:u w:val="single"/>
        </w:rPr>
        <w:t>万元</w:t>
      </w:r>
      <w:r>
        <w:rPr>
          <w:rFonts w:hint="eastAsia"/>
          <w:b/>
          <w:bCs/>
          <w:u w:val="single"/>
          <w:lang w:eastAsia="zh-CN"/>
        </w:rPr>
        <w:t>；单项合同价在</w:t>
      </w:r>
      <w:r>
        <w:rPr>
          <w:rFonts w:hint="eastAsia"/>
          <w:b/>
          <w:bCs/>
          <w:u w:val="single"/>
          <w:lang w:val="en-US" w:eastAsia="zh-CN"/>
        </w:rPr>
        <w:t>10万元（含）-至30万元（不含）之间的，</w:t>
      </w:r>
      <w:r>
        <w:rPr>
          <w:rFonts w:hint="eastAsia"/>
          <w:b/>
          <w:bCs/>
          <w:u w:val="single"/>
        </w:rPr>
        <w:t xml:space="preserve">招标代理服务费保底价格为 </w:t>
      </w:r>
      <w:r>
        <w:rPr>
          <w:rFonts w:hint="eastAsia"/>
          <w:b/>
          <w:bCs/>
          <w:u w:val="single"/>
          <w:lang w:val="en-US" w:eastAsia="zh-CN"/>
        </w:rPr>
        <w:t>1</w:t>
      </w:r>
      <w:r>
        <w:rPr>
          <w:rFonts w:hint="eastAsia"/>
          <w:b/>
          <w:bCs/>
          <w:u w:val="single"/>
        </w:rPr>
        <w:t>.</w:t>
      </w:r>
      <w:r>
        <w:rPr>
          <w:rFonts w:hint="eastAsia"/>
          <w:b/>
          <w:bCs/>
          <w:u w:val="single"/>
          <w:lang w:val="en-US" w:eastAsia="zh-CN"/>
        </w:rPr>
        <w:t>2</w:t>
      </w:r>
      <w:r>
        <w:rPr>
          <w:rFonts w:hint="eastAsia"/>
          <w:b/>
          <w:bCs/>
          <w:u w:val="single"/>
        </w:rPr>
        <w:t xml:space="preserve"> 万元；</w:t>
      </w:r>
      <w:r>
        <w:rPr>
          <w:rFonts w:hint="eastAsia"/>
          <w:b/>
          <w:bCs/>
          <w:u w:val="single"/>
          <w:lang w:eastAsia="zh-CN"/>
        </w:rPr>
        <w:t>单项合同价在</w:t>
      </w:r>
      <w:r>
        <w:rPr>
          <w:rFonts w:hint="eastAsia"/>
          <w:b/>
          <w:bCs/>
          <w:u w:val="single"/>
          <w:lang w:val="en-US" w:eastAsia="zh-CN"/>
        </w:rPr>
        <w:t>10</w:t>
      </w:r>
      <w:r>
        <w:rPr>
          <w:rFonts w:hint="eastAsia"/>
          <w:b/>
          <w:bCs/>
          <w:u w:val="single"/>
        </w:rPr>
        <w:t>万元（不含）以下的</w:t>
      </w:r>
      <w:r>
        <w:rPr>
          <w:rFonts w:hint="eastAsia"/>
          <w:b/>
          <w:bCs/>
          <w:u w:val="single"/>
          <w:lang w:eastAsia="zh-CN"/>
        </w:rPr>
        <w:t>，</w:t>
      </w:r>
      <w:r>
        <w:rPr>
          <w:rFonts w:hint="eastAsia"/>
          <w:b/>
          <w:bCs/>
          <w:u w:val="single"/>
        </w:rPr>
        <w:t>招标代理费服务费保底价为 0.3</w:t>
      </w:r>
      <w:r>
        <w:rPr>
          <w:rFonts w:hint="eastAsia"/>
          <w:b/>
          <w:bCs/>
          <w:u w:val="single"/>
          <w:lang w:val="en-US" w:eastAsia="zh-CN"/>
        </w:rPr>
        <w:t>5</w:t>
      </w:r>
      <w:r>
        <w:rPr>
          <w:rFonts w:hint="eastAsia"/>
          <w:b/>
          <w:bCs/>
          <w:u w:val="single"/>
        </w:rPr>
        <w:t xml:space="preserve"> 万元。</w:t>
      </w:r>
    </w:p>
    <w:p>
      <w:pPr>
        <w:spacing w:line="380" w:lineRule="exact"/>
        <w:ind w:firstLine="420" w:firstLineChars="200"/>
        <w:jc w:val="left"/>
        <w:rPr>
          <w:rFonts w:hint="eastAsia"/>
        </w:rPr>
      </w:pPr>
      <w:r>
        <w:rPr>
          <w:rFonts w:hint="eastAsia"/>
        </w:rPr>
        <w:t>代理报酬的计算方法：</w:t>
      </w:r>
      <w:r>
        <w:rPr>
          <w:rFonts w:hint="eastAsia"/>
          <w:u w:val="single"/>
        </w:rPr>
        <w:t>按上述标准计算。</w:t>
      </w:r>
    </w:p>
    <w:p>
      <w:pPr>
        <w:spacing w:line="380" w:lineRule="exact"/>
        <w:ind w:firstLine="420" w:firstLineChars="200"/>
        <w:jc w:val="left"/>
        <w:rPr>
          <w:rFonts w:hint="eastAsia" w:eastAsia="宋体"/>
          <w:lang w:eastAsia="zh-CN"/>
        </w:rPr>
      </w:pPr>
      <w:r>
        <w:rPr>
          <w:rFonts w:hint="eastAsia"/>
        </w:rPr>
        <w:t>代理报酬的币种：</w:t>
      </w:r>
      <w:r>
        <w:rPr>
          <w:rFonts w:hint="eastAsia"/>
          <w:u w:val="single"/>
        </w:rPr>
        <w:t>人民币</w:t>
      </w:r>
      <w:r>
        <w:rPr>
          <w:rFonts w:hint="eastAsia"/>
          <w:u w:val="single"/>
          <w:lang w:eastAsia="zh-CN"/>
        </w:rPr>
        <w:t>。</w:t>
      </w:r>
    </w:p>
    <w:p>
      <w:pPr>
        <w:spacing w:line="380" w:lineRule="exact"/>
        <w:ind w:firstLine="420" w:firstLineChars="200"/>
        <w:jc w:val="both"/>
        <w:rPr>
          <w:rFonts w:hint="eastAsia"/>
        </w:rPr>
      </w:pPr>
      <w:r>
        <w:rPr>
          <w:rFonts w:hint="eastAsia"/>
        </w:rPr>
        <w:t>代理报酬的支付</w:t>
      </w:r>
      <w:r>
        <w:rPr>
          <w:rFonts w:hint="eastAsia"/>
          <w:lang w:eastAsia="zh-CN"/>
        </w:rPr>
        <w:t>主要分两种情况</w:t>
      </w:r>
      <w:r>
        <w:rPr>
          <w:rFonts w:hint="eastAsia"/>
        </w:rPr>
        <w:t>：</w:t>
      </w:r>
      <w:r>
        <w:rPr>
          <w:rFonts w:hint="eastAsia"/>
          <w:u w:val="single"/>
          <w:lang w:eastAsia="zh-CN"/>
        </w:rPr>
        <w:t>（一）由</w:t>
      </w:r>
      <w:r>
        <w:rPr>
          <w:rFonts w:hint="eastAsia"/>
          <w:u w:val="single"/>
        </w:rPr>
        <w:t>招标代理在招标文件（或谈判邀请文件）中约定，由相应标段中标单位承担</w:t>
      </w:r>
      <w:r>
        <w:rPr>
          <w:rFonts w:hint="eastAsia"/>
          <w:u w:val="single"/>
          <w:lang w:eastAsia="zh-CN"/>
        </w:rPr>
        <w:t>，</w:t>
      </w:r>
      <w:r>
        <w:rPr>
          <w:rFonts w:hint="eastAsia"/>
          <w:u w:val="single"/>
        </w:rPr>
        <w:t>在合同签订后7日内一次性支付。</w:t>
      </w:r>
      <w:r>
        <w:rPr>
          <w:rFonts w:hint="eastAsia"/>
          <w:u w:val="single"/>
          <w:lang w:eastAsia="zh-CN"/>
        </w:rPr>
        <w:t>（二）部分零星项目由发展中心按上述标准，</w:t>
      </w:r>
      <w:r>
        <w:rPr>
          <w:rFonts w:hint="eastAsia"/>
          <w:u w:val="single"/>
          <w:lang w:val="en-US" w:eastAsia="zh-CN"/>
        </w:rPr>
        <w:t>根据</w:t>
      </w:r>
      <w:r>
        <w:rPr>
          <w:rFonts w:hint="eastAsia"/>
          <w:u w:val="single"/>
          <w:lang w:eastAsia="zh-CN"/>
        </w:rPr>
        <w:t>实际发生的项目数量结算，每年</w:t>
      </w:r>
      <w:r>
        <w:rPr>
          <w:rFonts w:hint="eastAsia"/>
          <w:u w:val="single"/>
          <w:lang w:val="en-US" w:eastAsia="zh-CN"/>
        </w:rPr>
        <w:t>5万元封顶。</w:t>
      </w:r>
    </w:p>
    <w:p>
      <w:pPr>
        <w:spacing w:line="380" w:lineRule="exact"/>
        <w:ind w:firstLine="420" w:firstLineChars="200"/>
        <w:jc w:val="left"/>
        <w:rPr>
          <w:rFonts w:hint="eastAsia" w:eastAsia="宋体"/>
          <w:u w:val="single"/>
          <w:lang w:val="en-US" w:eastAsia="zh-CN"/>
        </w:rPr>
      </w:pPr>
      <w:r>
        <w:rPr>
          <w:rFonts w:hint="eastAsia"/>
        </w:rPr>
        <w:t>6.2对所承接的招标代理费用包括：</w:t>
      </w:r>
      <w:r>
        <w:rPr>
          <w:rFonts w:hint="eastAsia"/>
          <w:u w:val="single"/>
          <w:lang w:eastAsia="zh-CN"/>
        </w:rPr>
        <w:t>整个招标代理过程所有的费用。主要服务内容（但不限于）：编制招标文件（包括编制资格预审文件、工程量清单和标底或限价），发布招标公告，发售招标文件，澄清投标人提出的有关招标的问题；接收投标文件；审查投标人资格，组织投标人踏勘现场并答疑，组织开标、评标（包括评标专家咨询费、评标工作餐费、会务费等）并负责清标工作，根据评标结果编写评标报告，公示评标结果；草拟合同；办理招标核准或备案；负责招标过程所有资料的收集、整理、归档、移交等工作，法律、法规规定的其他工作；其他招标文件审查及审查报告编制等。个别项目根据需要组织专家审查招标文件、标底所发生的费用、施工招标项目预算编制费用也包含在内。</w:t>
      </w:r>
    </w:p>
    <w:p>
      <w:pPr>
        <w:spacing w:line="380" w:lineRule="exact"/>
        <w:jc w:val="left"/>
        <w:rPr>
          <w:rFonts w:hint="eastAsia"/>
          <w:b/>
          <w:bCs/>
        </w:rPr>
      </w:pPr>
      <w:r>
        <w:rPr>
          <w:rFonts w:hint="eastAsia"/>
          <w:b/>
          <w:bCs/>
        </w:rPr>
        <w:t>四、违约、索赔和争议</w:t>
      </w:r>
    </w:p>
    <w:p>
      <w:pPr>
        <w:spacing w:line="380" w:lineRule="exact"/>
        <w:ind w:firstLine="420" w:firstLineChars="200"/>
        <w:jc w:val="left"/>
        <w:rPr>
          <w:rFonts w:hint="eastAsia"/>
        </w:rPr>
      </w:pPr>
      <w:r>
        <w:rPr>
          <w:rFonts w:hint="eastAsia"/>
        </w:rPr>
        <w:t>7、违约</w:t>
      </w:r>
    </w:p>
    <w:p>
      <w:pPr>
        <w:spacing w:line="380" w:lineRule="exact"/>
        <w:ind w:firstLine="420" w:firstLineChars="200"/>
        <w:jc w:val="left"/>
        <w:rPr>
          <w:rFonts w:hint="eastAsia"/>
        </w:rPr>
      </w:pPr>
      <w:r>
        <w:rPr>
          <w:rFonts w:hint="eastAsia"/>
        </w:rPr>
        <w:t>7.1本合同关于受委托人违约的具体责任：</w:t>
      </w:r>
    </w:p>
    <w:p>
      <w:pPr>
        <w:spacing w:line="380" w:lineRule="exact"/>
        <w:ind w:firstLine="420" w:firstLineChars="200"/>
        <w:jc w:val="left"/>
        <w:rPr>
          <w:rFonts w:hint="eastAsia"/>
        </w:rPr>
      </w:pPr>
      <w:r>
        <w:rPr>
          <w:rFonts w:hint="eastAsia"/>
        </w:rPr>
        <w:t>（1）受委托人未按照本合同通用条款第5.2</w:t>
      </w:r>
      <w:r>
        <w:rPr>
          <w:rFonts w:hint="eastAsia"/>
          <w:lang w:val="en-US" w:eastAsia="zh-CN"/>
        </w:rPr>
        <w:t>-</w:t>
      </w:r>
      <w:r>
        <w:rPr>
          <w:rFonts w:hint="eastAsia"/>
        </w:rPr>
        <w:t>（2）款的约定，向委托人提供为完成招标工作的咨询服务应承担的责任：应保证咨询成果质量，若经审查认定某个咨询项目成果不符合要求，委托人可不支付该项目的咨询费用，并终止合同。同时计入其履约考核，上报至交通行政监督部门。</w:t>
      </w:r>
    </w:p>
    <w:p>
      <w:pPr>
        <w:spacing w:line="380" w:lineRule="exact"/>
        <w:ind w:firstLine="420" w:firstLineChars="200"/>
        <w:jc w:val="left"/>
        <w:rPr>
          <w:rFonts w:hint="eastAsia"/>
        </w:rPr>
      </w:pPr>
      <w:r>
        <w:rPr>
          <w:rFonts w:hint="eastAsia"/>
        </w:rPr>
        <w:t>（2）受委托人违反本合同通用条款第5.7款的约定，泄露了与本合同工程有关的任何不应泄露的招标资料和情况应承担的违约责任：发生泄密等严重违约行为，委托人将不支付该项目咨询费用，并终止合同，且有权追究其法律责任。同时计入其履约考核，上报至交通行政监督部门。</w:t>
      </w:r>
    </w:p>
    <w:p>
      <w:pPr>
        <w:spacing w:line="380" w:lineRule="exact"/>
        <w:ind w:firstLine="420" w:firstLineChars="200"/>
        <w:jc w:val="left"/>
        <w:rPr>
          <w:rFonts w:hint="eastAsia"/>
        </w:rPr>
      </w:pPr>
      <w:r>
        <w:rPr>
          <w:rFonts w:hint="eastAsia"/>
        </w:rPr>
        <w:t>（3）受委托人完成工作质量或进度不能满足委托人要求的，委托人可终止合同，并拒绝支付一切损失补偿和按受托人投标时的承诺对其进行处罚。</w:t>
      </w:r>
    </w:p>
    <w:p>
      <w:pPr>
        <w:spacing w:line="380" w:lineRule="exact"/>
        <w:ind w:firstLine="420" w:firstLineChars="200"/>
        <w:jc w:val="left"/>
        <w:rPr>
          <w:rFonts w:hint="eastAsia"/>
        </w:rPr>
      </w:pPr>
      <w:r>
        <w:rPr>
          <w:rFonts w:hint="eastAsia"/>
        </w:rPr>
        <w:t>（4）受委托人未经委托人同意更换或调整投标文件中承诺投入人员配备的，委托人可视为对其代理服务不满，委托人可终止合同，并拒绝支付一切损失补偿和按受托人投标时的承诺对其进行处罚。</w:t>
      </w:r>
    </w:p>
    <w:p>
      <w:pPr>
        <w:spacing w:line="380" w:lineRule="exact"/>
        <w:ind w:firstLine="420" w:firstLineChars="200"/>
        <w:jc w:val="left"/>
        <w:rPr>
          <w:rFonts w:hint="eastAsia"/>
        </w:rPr>
      </w:pPr>
      <w:r>
        <w:rPr>
          <w:rFonts w:hint="eastAsia"/>
        </w:rPr>
        <w:t>8、争议</w:t>
      </w:r>
    </w:p>
    <w:p>
      <w:pPr>
        <w:spacing w:line="380" w:lineRule="exact"/>
        <w:ind w:firstLine="420" w:firstLineChars="200"/>
        <w:jc w:val="left"/>
        <w:rPr>
          <w:rFonts w:hint="eastAsia" w:eastAsia="宋体"/>
          <w:lang w:eastAsia="zh-CN"/>
        </w:rPr>
      </w:pPr>
      <w:r>
        <w:rPr>
          <w:rFonts w:hint="eastAsia"/>
        </w:rPr>
        <w:t>8.1双方约定，凡因执行本合同所发生的与本合同有关的一切争议，当和解或调解不成时，选择下列第</w:t>
      </w:r>
      <w:r>
        <w:rPr>
          <w:rFonts w:hint="eastAsia"/>
          <w:u w:val="single"/>
        </w:rPr>
        <w:t>（1）</w:t>
      </w:r>
      <w:r>
        <w:rPr>
          <w:rFonts w:hint="eastAsia"/>
        </w:rPr>
        <w:t>种方式解决</w:t>
      </w:r>
      <w:r>
        <w:rPr>
          <w:rFonts w:hint="eastAsia"/>
          <w:lang w:eastAsia="zh-CN"/>
        </w:rPr>
        <w:t>：</w:t>
      </w:r>
    </w:p>
    <w:p>
      <w:pPr>
        <w:spacing w:line="380" w:lineRule="exact"/>
        <w:ind w:firstLine="420" w:firstLineChars="200"/>
        <w:jc w:val="left"/>
        <w:rPr>
          <w:rFonts w:hint="eastAsia"/>
        </w:rPr>
      </w:pPr>
      <w:r>
        <w:rPr>
          <w:rFonts w:hint="eastAsia"/>
        </w:rPr>
        <w:t>（1）将争议提交南通仲裁委员会仲裁；</w:t>
      </w:r>
    </w:p>
    <w:p>
      <w:pPr>
        <w:spacing w:line="380" w:lineRule="exact"/>
        <w:ind w:firstLine="420" w:firstLineChars="200"/>
        <w:jc w:val="left"/>
        <w:rPr>
          <w:rFonts w:hint="eastAsia"/>
        </w:rPr>
      </w:pPr>
      <w:r>
        <w:rPr>
          <w:rFonts w:hint="eastAsia"/>
        </w:rPr>
        <w:t>（2）依法向南通人民法院提起诉讼。</w:t>
      </w:r>
    </w:p>
    <w:p>
      <w:pPr>
        <w:spacing w:line="380" w:lineRule="exact"/>
        <w:jc w:val="left"/>
        <w:rPr>
          <w:rFonts w:hint="eastAsia"/>
          <w:b/>
          <w:bCs/>
        </w:rPr>
      </w:pPr>
      <w:r>
        <w:rPr>
          <w:rFonts w:hint="eastAsia"/>
          <w:b/>
          <w:bCs/>
        </w:rPr>
        <w:t>五、其他</w:t>
      </w:r>
    </w:p>
    <w:p>
      <w:pPr>
        <w:spacing w:line="380" w:lineRule="exact"/>
        <w:ind w:firstLine="420" w:firstLineChars="200"/>
        <w:jc w:val="left"/>
        <w:rPr>
          <w:rFonts w:hint="eastAsia"/>
        </w:rPr>
      </w:pPr>
      <w:r>
        <w:rPr>
          <w:rFonts w:hint="eastAsia"/>
        </w:rPr>
        <w:t>9、合同份数：一式陆份，</w:t>
      </w:r>
      <w:r>
        <w:rPr>
          <w:rFonts w:hint="eastAsia"/>
          <w:lang w:val="en-US" w:eastAsia="zh-CN"/>
        </w:rPr>
        <w:t>双方各执叁</w:t>
      </w:r>
      <w:r>
        <w:rPr>
          <w:rFonts w:hint="eastAsia"/>
        </w:rPr>
        <w:t>份。</w:t>
      </w:r>
    </w:p>
    <w:p>
      <w:pPr>
        <w:rPr>
          <w:rFonts w:hint="eastAsia"/>
        </w:rPr>
      </w:pPr>
      <w:r>
        <w:rPr>
          <w:rFonts w:hint="eastAsia"/>
        </w:rPr>
        <w:br w:type="page"/>
      </w:r>
    </w:p>
    <w:p>
      <w:pPr>
        <w:spacing w:line="380" w:lineRule="exact"/>
        <w:jc w:val="cente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第三部分 合同格式</w:t>
      </w:r>
    </w:p>
    <w:p>
      <w:pPr>
        <w:spacing w:line="380" w:lineRule="exact"/>
        <w:jc w:val="center"/>
        <w:rPr>
          <w:rFonts w:hint="eastAsia" w:ascii="Times New Roman" w:hAnsi="Times New Roman" w:eastAsia="宋体" w:cs="Times New Roman"/>
          <w:b/>
          <w:bCs/>
          <w:kern w:val="2"/>
          <w:sz w:val="28"/>
          <w:szCs w:val="28"/>
          <w:lang w:val="en-US" w:eastAsia="zh-CN" w:bidi="ar-SA"/>
        </w:rPr>
      </w:pPr>
    </w:p>
    <w:p>
      <w:pPr>
        <w:spacing w:line="380" w:lineRule="exact"/>
        <w:jc w:val="cente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南通市交通公共事业发展中心202</w:t>
      </w:r>
      <w:r>
        <w:rPr>
          <w:rFonts w:hint="eastAsia" w:cs="Times New Roman"/>
          <w:b/>
          <w:bCs/>
          <w:kern w:val="2"/>
          <w:sz w:val="28"/>
          <w:szCs w:val="28"/>
          <w:lang w:val="en-US" w:eastAsia="zh-CN" w:bidi="ar-SA"/>
        </w:rPr>
        <w:t>3</w:t>
      </w:r>
      <w:r>
        <w:rPr>
          <w:rFonts w:hint="eastAsia" w:ascii="Times New Roman" w:hAnsi="Times New Roman" w:eastAsia="宋体" w:cs="Times New Roman"/>
          <w:b/>
          <w:bCs/>
          <w:kern w:val="2"/>
          <w:sz w:val="28"/>
          <w:szCs w:val="28"/>
          <w:lang w:val="en-US" w:eastAsia="zh-CN" w:bidi="ar-SA"/>
        </w:rPr>
        <w:t>年招标代理服务项目</w:t>
      </w:r>
    </w:p>
    <w:p>
      <w:pPr>
        <w:spacing w:line="380" w:lineRule="exact"/>
        <w:jc w:val="cente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委托合同协议书</w:t>
      </w:r>
    </w:p>
    <w:p>
      <w:pPr>
        <w:pStyle w:val="43"/>
        <w:rPr>
          <w:rFonts w:hint="eastAsia"/>
          <w:lang w:val="en-US" w:eastAsia="zh-CN"/>
        </w:rPr>
      </w:pPr>
    </w:p>
    <w:p>
      <w:pPr>
        <w:spacing w:line="380" w:lineRule="exact"/>
        <w:ind w:firstLine="420" w:firstLineChars="200"/>
        <w:jc w:val="left"/>
        <w:rPr>
          <w:rFonts w:hint="eastAsia"/>
        </w:rPr>
      </w:pPr>
      <w:r>
        <w:rPr>
          <w:rFonts w:hint="eastAsia"/>
        </w:rPr>
        <w:t>委托人（招标人）：</w:t>
      </w:r>
      <w:r>
        <w:rPr>
          <w:rFonts w:hint="eastAsia"/>
          <w:u w:val="single"/>
        </w:rPr>
        <w:t>南通市交通公共事业发展中心</w:t>
      </w:r>
    </w:p>
    <w:p>
      <w:pPr>
        <w:spacing w:line="380" w:lineRule="exact"/>
        <w:ind w:firstLine="420" w:firstLineChars="200"/>
        <w:jc w:val="left"/>
        <w:rPr>
          <w:rFonts w:hint="default" w:eastAsia="宋体"/>
          <w:lang w:val="en-US" w:eastAsia="zh-CN"/>
        </w:rPr>
      </w:pPr>
      <w:r>
        <w:rPr>
          <w:rFonts w:hint="eastAsia"/>
        </w:rPr>
        <w:t>受委托人（招标代理）：</w:t>
      </w:r>
      <w:r>
        <w:rPr>
          <w:rFonts w:hint="eastAsia"/>
          <w:u w:val="single"/>
          <w:lang w:val="en-US" w:eastAsia="zh-CN"/>
        </w:rPr>
        <w:t xml:space="preserve">                           </w:t>
      </w:r>
    </w:p>
    <w:p>
      <w:pPr>
        <w:spacing w:line="380" w:lineRule="exact"/>
        <w:ind w:firstLine="420" w:firstLineChars="200"/>
        <w:jc w:val="left"/>
        <w:rPr>
          <w:rFonts w:hint="eastAsia"/>
        </w:rPr>
      </w:pPr>
      <w:r>
        <w:rPr>
          <w:rFonts w:hint="eastAsia"/>
        </w:rPr>
        <w:t>依照《中华人民共和国</w:t>
      </w:r>
      <w:r>
        <w:rPr>
          <w:rFonts w:hint="eastAsia"/>
          <w:lang w:val="en-US" w:eastAsia="zh-CN"/>
        </w:rPr>
        <w:t>民法典</w:t>
      </w:r>
      <w:r>
        <w:rPr>
          <w:rFonts w:hint="eastAsia"/>
        </w:rPr>
        <w:t>》、 《中华人民共和国招标投标法》及国家的有关法律、行政法规，遵循平等、自愿、公平和诚实信用的原则，双方就</w:t>
      </w:r>
      <w:r>
        <w:rPr>
          <w:rFonts w:hint="eastAsia"/>
          <w:u w:val="single"/>
        </w:rPr>
        <w:t>南通市交通公共事业发展中心</w:t>
      </w:r>
      <w:r>
        <w:rPr>
          <w:rFonts w:hint="eastAsia"/>
          <w:u w:val="single"/>
          <w:lang w:val="en-US" w:eastAsia="zh-CN"/>
        </w:rPr>
        <w:t>2023年招标代理服务项目</w:t>
      </w:r>
      <w:r>
        <w:rPr>
          <w:rFonts w:hint="eastAsia"/>
        </w:rPr>
        <w:t>事项协商一致，订立本合同。</w:t>
      </w:r>
    </w:p>
    <w:p>
      <w:pPr>
        <w:spacing w:line="380" w:lineRule="exact"/>
        <w:ind w:firstLine="422" w:firstLineChars="200"/>
        <w:jc w:val="left"/>
        <w:rPr>
          <w:rFonts w:hint="eastAsia"/>
          <w:b/>
          <w:bCs/>
        </w:rPr>
      </w:pPr>
      <w:r>
        <w:rPr>
          <w:rFonts w:hint="eastAsia"/>
          <w:b/>
          <w:bCs/>
        </w:rPr>
        <w:t>一、项目概况</w:t>
      </w:r>
    </w:p>
    <w:p>
      <w:pPr>
        <w:spacing w:line="380" w:lineRule="exact"/>
        <w:ind w:firstLine="420" w:firstLineChars="200"/>
        <w:jc w:val="left"/>
        <w:rPr>
          <w:rFonts w:hint="eastAsia"/>
          <w:u w:val="single"/>
          <w:lang w:val="en-US" w:eastAsia="zh-CN"/>
        </w:rPr>
      </w:pPr>
      <w:r>
        <w:rPr>
          <w:rFonts w:hint="eastAsia"/>
          <w:u w:val="single"/>
        </w:rPr>
        <w:t>南通市交通公共事业发展中心</w:t>
      </w:r>
      <w:r>
        <w:rPr>
          <w:rFonts w:hint="eastAsia"/>
          <w:u w:val="single"/>
          <w:lang w:val="en-US" w:eastAsia="zh-CN"/>
        </w:rPr>
        <w:t>2023年招标代理服务项目</w:t>
      </w:r>
    </w:p>
    <w:p>
      <w:pPr>
        <w:numPr>
          <w:ilvl w:val="0"/>
          <w:numId w:val="3"/>
        </w:numPr>
        <w:spacing w:line="380" w:lineRule="exact"/>
        <w:ind w:firstLine="422" w:firstLineChars="200"/>
        <w:jc w:val="left"/>
        <w:rPr>
          <w:rFonts w:hint="eastAsia"/>
          <w:b/>
          <w:bCs/>
        </w:rPr>
      </w:pPr>
      <w:r>
        <w:rPr>
          <w:rFonts w:hint="eastAsia"/>
          <w:b/>
          <w:bCs/>
        </w:rPr>
        <w:t>合同内容</w:t>
      </w:r>
    </w:p>
    <w:p>
      <w:pPr>
        <w:spacing w:line="380" w:lineRule="exact"/>
        <w:ind w:firstLine="420" w:firstLineChars="200"/>
        <w:jc w:val="left"/>
        <w:rPr>
          <w:rFonts w:hint="eastAsia"/>
          <w:u w:val="single"/>
        </w:rPr>
      </w:pPr>
      <w:r>
        <w:rPr>
          <w:rFonts w:hint="eastAsia"/>
          <w:u w:val="single"/>
        </w:rPr>
        <w:t>招标代理须按照国家建设项目招投标管理的相关法律、法规、规章、规范性文件要求，提供招标代理服务，主要服务内容包括（但不限于）：编制招标文件</w:t>
      </w:r>
      <w:r>
        <w:rPr>
          <w:rFonts w:hint="eastAsia"/>
          <w:u w:val="single"/>
          <w:lang w:eastAsia="zh-CN"/>
        </w:rPr>
        <w:t>，</w:t>
      </w:r>
      <w:r>
        <w:rPr>
          <w:rFonts w:hint="eastAsia"/>
          <w:u w:val="single"/>
        </w:rPr>
        <w:t>发布招标公告，发售招标文件，澄清投标人提出的有关招标的问题；接收投标文件；审查投标人资格，组织投标人踏勘现场并答疑,组织开标、评标并负责清标工作,根据评标结果编写评标报告，公示评标结果；发放中标通知书；草拟合同；办理招标核准或备案；负责招标过程所有资料的收集、整理、归档、移交等工作。</w:t>
      </w:r>
    </w:p>
    <w:p>
      <w:pPr>
        <w:spacing w:line="380" w:lineRule="exact"/>
        <w:ind w:firstLine="420" w:firstLineChars="200"/>
        <w:jc w:val="left"/>
        <w:rPr>
          <w:rFonts w:hint="eastAsia"/>
          <w:u w:val="none"/>
        </w:rPr>
      </w:pPr>
      <w:r>
        <w:rPr>
          <w:rFonts w:hint="eastAsia"/>
          <w:u w:val="none"/>
        </w:rPr>
        <w:t>服务期限为</w:t>
      </w:r>
      <w:r>
        <w:rPr>
          <w:rFonts w:hint="eastAsia"/>
          <w:u w:val="none"/>
          <w:lang w:val="en-US" w:eastAsia="zh-CN"/>
        </w:rPr>
        <w:t>自合同签订之日起至</w:t>
      </w:r>
      <w:r>
        <w:rPr>
          <w:rFonts w:hint="eastAsia"/>
          <w:u w:val="none"/>
        </w:rPr>
        <w:t>2023年12月31日</w:t>
      </w:r>
      <w:r>
        <w:rPr>
          <w:rFonts w:hint="eastAsia"/>
          <w:u w:val="none"/>
          <w:lang w:eastAsia="zh-CN"/>
        </w:rPr>
        <w:t>，但在截止之日前已开始招标的项目需完成约定的服务内容</w:t>
      </w:r>
      <w:r>
        <w:rPr>
          <w:rFonts w:hint="eastAsia"/>
          <w:u w:val="none"/>
        </w:rPr>
        <w:t>，服务期满后，在通过发展中心考核、中标单位承诺政策性增资以外不增加服务费用的前提下，经发展中心招标采购工作领导小组批准后可与原中标单位续签1年合同。</w:t>
      </w:r>
    </w:p>
    <w:p>
      <w:pPr>
        <w:spacing w:line="380" w:lineRule="exact"/>
        <w:ind w:firstLine="420" w:firstLineChars="200"/>
        <w:jc w:val="left"/>
        <w:rPr>
          <w:rFonts w:hint="eastAsia"/>
          <w:u w:val="none"/>
        </w:rPr>
      </w:pPr>
      <w:r>
        <w:rPr>
          <w:rFonts w:hint="eastAsia"/>
          <w:u w:val="none"/>
        </w:rPr>
        <w:t>受委托人应按照南通市交通公共事业发展中心的需要和进度要求完成相关项目不同阶段的招标代理工作。</w:t>
      </w:r>
    </w:p>
    <w:p>
      <w:pPr>
        <w:spacing w:line="380" w:lineRule="exact"/>
        <w:ind w:firstLine="422" w:firstLineChars="200"/>
        <w:jc w:val="left"/>
        <w:rPr>
          <w:rFonts w:hint="eastAsia"/>
          <w:b/>
          <w:bCs/>
        </w:rPr>
      </w:pPr>
      <w:r>
        <w:rPr>
          <w:rFonts w:hint="eastAsia"/>
          <w:b/>
          <w:bCs/>
        </w:rPr>
        <w:t>三、组成本合同的文件：</w:t>
      </w:r>
    </w:p>
    <w:p>
      <w:pPr>
        <w:spacing w:line="380" w:lineRule="exact"/>
        <w:ind w:firstLine="420" w:firstLineChars="200"/>
        <w:jc w:val="left"/>
        <w:rPr>
          <w:rFonts w:hint="eastAsia"/>
        </w:rPr>
      </w:pPr>
      <w:r>
        <w:rPr>
          <w:rFonts w:hint="eastAsia"/>
        </w:rPr>
        <w:t>1、本合同协议书及各种合同附件（含评标期间和合同谈判过程中的澄清文件和补充资 料）；</w:t>
      </w:r>
    </w:p>
    <w:p>
      <w:pPr>
        <w:spacing w:line="380" w:lineRule="exact"/>
        <w:ind w:firstLine="420" w:firstLineChars="200"/>
        <w:jc w:val="left"/>
        <w:rPr>
          <w:rFonts w:hint="eastAsia"/>
        </w:rPr>
      </w:pPr>
      <w:r>
        <w:rPr>
          <w:rFonts w:hint="eastAsia"/>
        </w:rPr>
        <w:t>2、中标通知书、招标文件及投标文件；</w:t>
      </w:r>
    </w:p>
    <w:p>
      <w:pPr>
        <w:spacing w:line="380" w:lineRule="exact"/>
        <w:ind w:firstLine="420" w:firstLineChars="200"/>
        <w:jc w:val="left"/>
        <w:rPr>
          <w:rFonts w:hint="eastAsia"/>
        </w:rPr>
      </w:pPr>
      <w:r>
        <w:rPr>
          <w:rFonts w:hint="eastAsia"/>
        </w:rPr>
        <w:t>3、本合同专用条款；</w:t>
      </w:r>
    </w:p>
    <w:p>
      <w:pPr>
        <w:spacing w:line="380" w:lineRule="exact"/>
        <w:ind w:firstLine="420" w:firstLineChars="200"/>
        <w:jc w:val="left"/>
        <w:rPr>
          <w:rFonts w:hint="eastAsia"/>
        </w:rPr>
      </w:pPr>
      <w:r>
        <w:rPr>
          <w:rFonts w:hint="eastAsia"/>
        </w:rPr>
        <w:t>4、本合同通用条款。</w:t>
      </w:r>
    </w:p>
    <w:p>
      <w:pPr>
        <w:spacing w:line="380" w:lineRule="exact"/>
        <w:ind w:firstLine="422" w:firstLineChars="200"/>
        <w:jc w:val="left"/>
        <w:rPr>
          <w:rFonts w:hint="eastAsia"/>
          <w:b/>
          <w:bCs/>
        </w:rPr>
      </w:pPr>
      <w:r>
        <w:rPr>
          <w:rFonts w:hint="eastAsia"/>
          <w:b/>
          <w:bCs/>
        </w:rPr>
        <w:t>四、项目负责人：</w:t>
      </w:r>
      <w:r>
        <w:rPr>
          <w:rFonts w:hint="eastAsia"/>
          <w:b/>
          <w:bCs/>
          <w:u w:val="single"/>
          <w:lang w:val="en-US" w:eastAsia="zh-CN"/>
        </w:rPr>
        <w:t xml:space="preserve">              </w:t>
      </w:r>
      <w:r>
        <w:rPr>
          <w:rFonts w:hint="eastAsia"/>
          <w:b/>
          <w:bCs/>
          <w:lang w:val="en-US" w:eastAsia="zh-CN"/>
        </w:rPr>
        <w:t xml:space="preserve"> </w:t>
      </w:r>
      <w:r>
        <w:rPr>
          <w:rFonts w:hint="eastAsia"/>
          <w:b/>
          <w:bCs/>
        </w:rPr>
        <w:t>。</w:t>
      </w:r>
    </w:p>
    <w:p>
      <w:pPr>
        <w:spacing w:line="380" w:lineRule="exact"/>
        <w:ind w:firstLine="422" w:firstLineChars="200"/>
        <w:jc w:val="left"/>
        <w:rPr>
          <w:rFonts w:hint="eastAsia"/>
          <w:b/>
          <w:bCs/>
        </w:rPr>
      </w:pPr>
      <w:r>
        <w:rPr>
          <w:rFonts w:hint="eastAsia"/>
          <w:b/>
          <w:bCs/>
        </w:rPr>
        <w:t>五、合同价款</w:t>
      </w:r>
    </w:p>
    <w:p>
      <w:pPr>
        <w:tabs>
          <w:tab w:val="left" w:pos="7455"/>
        </w:tabs>
        <w:adjustRightInd w:val="0"/>
        <w:snapToGrid w:val="0"/>
        <w:spacing w:line="360" w:lineRule="auto"/>
        <w:ind w:firstLine="420" w:firstLineChars="200"/>
        <w:rPr>
          <w:rFonts w:ascii="Garamond" w:hAnsi="Garamond" w:cs="宋体"/>
          <w:b/>
          <w:szCs w:val="21"/>
          <w:lang w:val="zh-CN"/>
        </w:rPr>
      </w:pPr>
      <w:r>
        <w:rPr>
          <w:rFonts w:hint="eastAsia"/>
        </w:rPr>
        <w:t>招标代理服务费：</w:t>
      </w:r>
      <w:r>
        <w:rPr>
          <w:rFonts w:hint="eastAsia"/>
          <w:b/>
          <w:bCs/>
          <w:u w:val="single"/>
        </w:rPr>
        <w:t>招标代理服务费的收费标准按国家发展改革委《招标代理服务收费管理暂行办法》、《关于招标代理服务费有关问题的通知》以及《国家发改委关于降低部分建设项目收费标准规范收费行为等有关问题的通知》规定标准费用的</w:t>
      </w:r>
      <w:r>
        <w:rPr>
          <w:rFonts w:hint="eastAsia"/>
          <w:b/>
          <w:bCs/>
          <w:u w:val="single"/>
          <w:lang w:val="en-US" w:eastAsia="zh-CN"/>
        </w:rPr>
        <w:t>8</w:t>
      </w:r>
      <w:r>
        <w:rPr>
          <w:rFonts w:hint="eastAsia"/>
          <w:b/>
          <w:bCs/>
          <w:u w:val="single"/>
        </w:rPr>
        <w:t>0%进行计算</w:t>
      </w:r>
      <w:r>
        <w:rPr>
          <w:rFonts w:hint="eastAsia"/>
          <w:b/>
          <w:bCs/>
          <w:u w:val="single"/>
          <w:lang w:eastAsia="zh-CN"/>
        </w:rPr>
        <w:t>；</w:t>
      </w:r>
      <w:r>
        <w:rPr>
          <w:rFonts w:ascii="Garamond" w:hAnsi="Garamond" w:cs="宋体"/>
          <w:b/>
          <w:szCs w:val="21"/>
          <w:lang w:val="zh-CN"/>
        </w:rPr>
        <w:t>其中：</w:t>
      </w:r>
    </w:p>
    <w:p>
      <w:pPr>
        <w:tabs>
          <w:tab w:val="left" w:pos="7455"/>
        </w:tabs>
        <w:adjustRightInd w:val="0"/>
        <w:snapToGrid w:val="0"/>
        <w:spacing w:line="360" w:lineRule="auto"/>
        <w:ind w:firstLine="422" w:firstLineChars="200"/>
        <w:rPr>
          <w:rFonts w:hint="eastAsia"/>
          <w:b/>
          <w:bCs/>
          <w:u w:val="single"/>
        </w:rPr>
      </w:pPr>
      <w:r>
        <w:rPr>
          <w:rFonts w:hint="eastAsia"/>
          <w:b/>
          <w:bCs/>
          <w:u w:val="single"/>
          <w:lang w:val="en-US" w:eastAsia="zh-CN"/>
        </w:rPr>
        <w:t>工程施工类项目：单项合同价在100万元（含）及以上的，</w:t>
      </w:r>
      <w:r>
        <w:rPr>
          <w:rFonts w:hint="eastAsia"/>
          <w:b/>
          <w:bCs/>
          <w:u w:val="single"/>
        </w:rPr>
        <w:t xml:space="preserve">招标代理服务费保底价格为 </w:t>
      </w:r>
      <w:r>
        <w:rPr>
          <w:rFonts w:hint="eastAsia"/>
          <w:b/>
          <w:bCs/>
          <w:u w:val="single"/>
          <w:lang w:val="en-US" w:eastAsia="zh-CN"/>
        </w:rPr>
        <w:t>2</w:t>
      </w:r>
      <w:r>
        <w:rPr>
          <w:rFonts w:hint="eastAsia"/>
          <w:b/>
          <w:bCs/>
          <w:u w:val="single"/>
        </w:rPr>
        <w:t xml:space="preserve"> 万元；</w:t>
      </w:r>
      <w:r>
        <w:rPr>
          <w:rFonts w:hint="eastAsia"/>
          <w:b/>
          <w:bCs/>
          <w:u w:val="single"/>
          <w:lang w:val="en-US" w:eastAsia="zh-CN"/>
        </w:rPr>
        <w:t>单项合同价在10万元（含）至100万元</w:t>
      </w:r>
      <w:r>
        <w:rPr>
          <w:rFonts w:hint="eastAsia"/>
          <w:b/>
          <w:bCs/>
          <w:u w:val="single"/>
        </w:rPr>
        <w:t>（不含）</w:t>
      </w:r>
      <w:r>
        <w:rPr>
          <w:rFonts w:hint="eastAsia"/>
          <w:b/>
          <w:bCs/>
          <w:u w:val="single"/>
          <w:lang w:val="en-US" w:eastAsia="zh-CN"/>
        </w:rPr>
        <w:t>之间的，</w:t>
      </w:r>
      <w:r>
        <w:rPr>
          <w:rFonts w:hint="eastAsia"/>
          <w:b/>
          <w:bCs/>
          <w:u w:val="single"/>
        </w:rPr>
        <w:t>招标代理服务费保底价格为</w:t>
      </w:r>
      <w:r>
        <w:rPr>
          <w:rFonts w:hint="eastAsia"/>
          <w:b/>
          <w:bCs/>
          <w:u w:val="single"/>
          <w:lang w:val="en-US" w:eastAsia="zh-CN"/>
        </w:rPr>
        <w:t>1.5</w:t>
      </w:r>
      <w:r>
        <w:rPr>
          <w:rFonts w:hint="eastAsia"/>
          <w:b/>
          <w:bCs/>
          <w:u w:val="single"/>
        </w:rPr>
        <w:t>万元</w:t>
      </w:r>
      <w:r>
        <w:rPr>
          <w:rFonts w:hint="eastAsia"/>
          <w:b/>
          <w:bCs/>
          <w:u w:val="single"/>
          <w:lang w:eastAsia="zh-CN"/>
        </w:rPr>
        <w:t>；单项合同价在</w:t>
      </w:r>
      <w:r>
        <w:rPr>
          <w:rFonts w:hint="eastAsia"/>
          <w:b/>
          <w:bCs/>
          <w:u w:val="single"/>
          <w:lang w:val="en-US" w:eastAsia="zh-CN"/>
        </w:rPr>
        <w:t>5</w:t>
      </w:r>
      <w:r>
        <w:rPr>
          <w:rFonts w:hint="eastAsia"/>
          <w:b/>
          <w:bCs/>
          <w:u w:val="single"/>
        </w:rPr>
        <w:t>万元</w:t>
      </w:r>
      <w:r>
        <w:rPr>
          <w:rFonts w:hint="eastAsia"/>
          <w:b/>
          <w:bCs/>
          <w:u w:val="single"/>
          <w:lang w:eastAsia="zh-CN"/>
        </w:rPr>
        <w:t>（</w:t>
      </w:r>
      <w:r>
        <w:rPr>
          <w:rFonts w:hint="eastAsia"/>
          <w:b/>
          <w:bCs/>
          <w:u w:val="single"/>
          <w:lang w:val="en-US" w:eastAsia="zh-CN"/>
        </w:rPr>
        <w:t>含</w:t>
      </w:r>
      <w:r>
        <w:rPr>
          <w:rFonts w:hint="eastAsia"/>
          <w:b/>
          <w:bCs/>
          <w:u w:val="single"/>
          <w:lang w:eastAsia="zh-CN"/>
        </w:rPr>
        <w:t>）</w:t>
      </w:r>
      <w:r>
        <w:rPr>
          <w:rFonts w:hint="eastAsia"/>
          <w:b/>
          <w:bCs/>
          <w:u w:val="single"/>
          <w:lang w:val="en-US" w:eastAsia="zh-CN"/>
        </w:rPr>
        <w:t>至10万元</w:t>
      </w:r>
      <w:r>
        <w:rPr>
          <w:rFonts w:hint="eastAsia"/>
          <w:b/>
          <w:bCs/>
          <w:u w:val="single"/>
        </w:rPr>
        <w:t>（不含）</w:t>
      </w:r>
      <w:r>
        <w:rPr>
          <w:rFonts w:hint="eastAsia"/>
          <w:b/>
          <w:bCs/>
          <w:u w:val="single"/>
          <w:lang w:val="en-US" w:eastAsia="zh-CN"/>
        </w:rPr>
        <w:t>的，</w:t>
      </w:r>
      <w:r>
        <w:rPr>
          <w:rFonts w:hint="eastAsia"/>
          <w:b/>
          <w:bCs/>
          <w:u w:val="single"/>
        </w:rPr>
        <w:t>招标代理服务费保底价格为 0.</w:t>
      </w:r>
      <w:r>
        <w:rPr>
          <w:rFonts w:hint="eastAsia"/>
          <w:b/>
          <w:bCs/>
          <w:u w:val="single"/>
          <w:lang w:val="en-US" w:eastAsia="zh-CN"/>
        </w:rPr>
        <w:t>5</w:t>
      </w:r>
      <w:r>
        <w:rPr>
          <w:rFonts w:hint="eastAsia"/>
          <w:b/>
          <w:bCs/>
          <w:u w:val="single"/>
        </w:rPr>
        <w:t xml:space="preserve"> 万元；</w:t>
      </w:r>
      <w:r>
        <w:rPr>
          <w:rFonts w:hint="eastAsia"/>
          <w:b/>
          <w:bCs/>
          <w:u w:val="single"/>
          <w:lang w:eastAsia="zh-CN"/>
        </w:rPr>
        <w:t>单项合同价在</w:t>
      </w:r>
      <w:r>
        <w:rPr>
          <w:rFonts w:hint="eastAsia"/>
          <w:b/>
          <w:bCs/>
          <w:u w:val="single"/>
        </w:rPr>
        <w:t>5万元（不含）以下的</w:t>
      </w:r>
      <w:r>
        <w:rPr>
          <w:rFonts w:hint="eastAsia"/>
          <w:b/>
          <w:bCs/>
          <w:u w:val="single"/>
          <w:lang w:eastAsia="zh-CN"/>
        </w:rPr>
        <w:t>，</w:t>
      </w:r>
      <w:r>
        <w:rPr>
          <w:rFonts w:hint="eastAsia"/>
          <w:b/>
          <w:bCs/>
          <w:u w:val="single"/>
        </w:rPr>
        <w:t>招标代理费保底价为 0.3</w:t>
      </w:r>
      <w:r>
        <w:rPr>
          <w:rFonts w:hint="eastAsia"/>
          <w:b/>
          <w:bCs/>
          <w:u w:val="single"/>
          <w:lang w:val="en-US" w:eastAsia="zh-CN"/>
        </w:rPr>
        <w:t>5</w:t>
      </w:r>
      <w:r>
        <w:rPr>
          <w:rFonts w:hint="eastAsia"/>
          <w:b/>
          <w:bCs/>
          <w:u w:val="single"/>
        </w:rPr>
        <w:t xml:space="preserve"> 万元。</w:t>
      </w:r>
    </w:p>
    <w:p>
      <w:pPr>
        <w:tabs>
          <w:tab w:val="left" w:pos="7455"/>
        </w:tabs>
        <w:adjustRightInd w:val="0"/>
        <w:snapToGrid w:val="0"/>
        <w:spacing w:line="360" w:lineRule="auto"/>
        <w:ind w:firstLine="422" w:firstLineChars="200"/>
        <w:rPr>
          <w:rFonts w:hint="eastAsia" w:eastAsia="宋体"/>
          <w:b/>
          <w:bCs/>
          <w:u w:val="single"/>
          <w:lang w:val="en-US" w:eastAsia="zh-CN"/>
        </w:rPr>
      </w:pPr>
      <w:r>
        <w:rPr>
          <w:rFonts w:hint="eastAsia"/>
          <w:b/>
          <w:bCs/>
          <w:u w:val="single"/>
          <w:lang w:val="en-US" w:eastAsia="zh-CN"/>
        </w:rPr>
        <w:t>货物采购类项目：单项合同价在50万元（含）以上的，</w:t>
      </w:r>
      <w:r>
        <w:rPr>
          <w:rFonts w:hint="eastAsia"/>
          <w:b/>
          <w:bCs/>
          <w:u w:val="single"/>
        </w:rPr>
        <w:t>招标代理服务费保底价格为</w:t>
      </w:r>
      <w:r>
        <w:rPr>
          <w:rFonts w:hint="eastAsia"/>
          <w:b/>
          <w:bCs/>
          <w:u w:val="single"/>
          <w:lang w:val="en-US" w:eastAsia="zh-CN"/>
        </w:rPr>
        <w:t>1.5</w:t>
      </w:r>
      <w:r>
        <w:rPr>
          <w:rFonts w:hint="eastAsia"/>
          <w:b/>
          <w:bCs/>
          <w:u w:val="single"/>
        </w:rPr>
        <w:t>万元</w:t>
      </w:r>
      <w:r>
        <w:rPr>
          <w:rFonts w:hint="eastAsia"/>
          <w:b/>
          <w:bCs/>
          <w:u w:val="single"/>
          <w:lang w:eastAsia="zh-CN"/>
        </w:rPr>
        <w:t>；</w:t>
      </w:r>
      <w:r>
        <w:rPr>
          <w:rFonts w:hint="eastAsia"/>
          <w:b/>
          <w:bCs/>
          <w:u w:val="single"/>
          <w:lang w:val="en-US" w:eastAsia="zh-CN"/>
        </w:rPr>
        <w:t>单项合同价在20万元（含）至50万元（不含）之间的，</w:t>
      </w:r>
      <w:r>
        <w:rPr>
          <w:rFonts w:hint="eastAsia"/>
          <w:b/>
          <w:bCs/>
          <w:u w:val="single"/>
        </w:rPr>
        <w:t>招标代理服务费保底价格为</w:t>
      </w:r>
      <w:r>
        <w:rPr>
          <w:rFonts w:hint="eastAsia"/>
          <w:b/>
          <w:bCs/>
          <w:u w:val="single"/>
          <w:lang w:val="en-US" w:eastAsia="zh-CN"/>
        </w:rPr>
        <w:t>1.2</w:t>
      </w:r>
      <w:r>
        <w:rPr>
          <w:rFonts w:hint="eastAsia"/>
          <w:b/>
          <w:bCs/>
          <w:u w:val="single"/>
        </w:rPr>
        <w:t>万元</w:t>
      </w:r>
      <w:r>
        <w:rPr>
          <w:rFonts w:hint="eastAsia"/>
          <w:b/>
          <w:bCs/>
          <w:u w:val="single"/>
          <w:lang w:eastAsia="zh-CN"/>
        </w:rPr>
        <w:t>；单项合同价在</w:t>
      </w:r>
      <w:r>
        <w:rPr>
          <w:rFonts w:hint="eastAsia"/>
          <w:b/>
          <w:bCs/>
          <w:u w:val="single"/>
          <w:lang w:val="en-US" w:eastAsia="zh-CN"/>
        </w:rPr>
        <w:t>20</w:t>
      </w:r>
      <w:r>
        <w:rPr>
          <w:rFonts w:hint="eastAsia"/>
          <w:b/>
          <w:bCs/>
          <w:u w:val="single"/>
        </w:rPr>
        <w:t>万元（不含）以下的</w:t>
      </w:r>
      <w:r>
        <w:rPr>
          <w:rFonts w:hint="eastAsia"/>
          <w:b/>
          <w:bCs/>
          <w:u w:val="single"/>
          <w:lang w:eastAsia="zh-CN"/>
        </w:rPr>
        <w:t>，</w:t>
      </w:r>
      <w:r>
        <w:rPr>
          <w:rFonts w:hint="eastAsia"/>
          <w:b/>
          <w:bCs/>
          <w:u w:val="single"/>
        </w:rPr>
        <w:t>招标代理费保底价为 0.3</w:t>
      </w:r>
      <w:r>
        <w:rPr>
          <w:rFonts w:hint="eastAsia"/>
          <w:b/>
          <w:bCs/>
          <w:u w:val="single"/>
          <w:lang w:val="en-US" w:eastAsia="zh-CN"/>
        </w:rPr>
        <w:t>5</w:t>
      </w:r>
      <w:r>
        <w:rPr>
          <w:rFonts w:hint="eastAsia"/>
          <w:b/>
          <w:bCs/>
          <w:u w:val="single"/>
        </w:rPr>
        <w:t xml:space="preserve"> 万元。</w:t>
      </w:r>
    </w:p>
    <w:p>
      <w:pPr>
        <w:tabs>
          <w:tab w:val="left" w:pos="7455"/>
        </w:tabs>
        <w:adjustRightInd w:val="0"/>
        <w:snapToGrid w:val="0"/>
        <w:spacing w:line="360" w:lineRule="auto"/>
        <w:ind w:firstLine="422" w:firstLineChars="200"/>
        <w:rPr>
          <w:rFonts w:hint="eastAsia"/>
        </w:rPr>
      </w:pPr>
      <w:r>
        <w:rPr>
          <w:rFonts w:hint="eastAsia"/>
          <w:b/>
          <w:bCs/>
          <w:u w:val="single"/>
          <w:lang w:val="en-US" w:eastAsia="zh-CN"/>
        </w:rPr>
        <w:t>咨询服务类项目：单项合同价在30万元（含）以上的，</w:t>
      </w:r>
      <w:r>
        <w:rPr>
          <w:rFonts w:hint="eastAsia"/>
          <w:b/>
          <w:bCs/>
          <w:u w:val="single"/>
        </w:rPr>
        <w:t>招标代理服务费保底价格为</w:t>
      </w:r>
      <w:r>
        <w:rPr>
          <w:rFonts w:hint="eastAsia"/>
          <w:b/>
          <w:bCs/>
          <w:u w:val="single"/>
          <w:lang w:val="en-US" w:eastAsia="zh-CN"/>
        </w:rPr>
        <w:t>1.5</w:t>
      </w:r>
      <w:r>
        <w:rPr>
          <w:rFonts w:hint="eastAsia"/>
          <w:b/>
          <w:bCs/>
          <w:u w:val="single"/>
        </w:rPr>
        <w:t>万元</w:t>
      </w:r>
      <w:r>
        <w:rPr>
          <w:rFonts w:hint="eastAsia"/>
          <w:b/>
          <w:bCs/>
          <w:u w:val="single"/>
          <w:lang w:eastAsia="zh-CN"/>
        </w:rPr>
        <w:t>；单项合同价在</w:t>
      </w:r>
      <w:r>
        <w:rPr>
          <w:rFonts w:hint="eastAsia"/>
          <w:b/>
          <w:bCs/>
          <w:u w:val="single"/>
          <w:lang w:val="en-US" w:eastAsia="zh-CN"/>
        </w:rPr>
        <w:t>10万元（含）-至30万元（不含）之间的，</w:t>
      </w:r>
      <w:r>
        <w:rPr>
          <w:rFonts w:hint="eastAsia"/>
          <w:b/>
          <w:bCs/>
          <w:u w:val="single"/>
        </w:rPr>
        <w:t xml:space="preserve">招标代理服务费保底价格为 </w:t>
      </w:r>
      <w:r>
        <w:rPr>
          <w:rFonts w:hint="eastAsia"/>
          <w:b/>
          <w:bCs/>
          <w:u w:val="single"/>
          <w:lang w:val="en-US" w:eastAsia="zh-CN"/>
        </w:rPr>
        <w:t>1</w:t>
      </w:r>
      <w:r>
        <w:rPr>
          <w:rFonts w:hint="eastAsia"/>
          <w:b/>
          <w:bCs/>
          <w:u w:val="single"/>
        </w:rPr>
        <w:t>.</w:t>
      </w:r>
      <w:r>
        <w:rPr>
          <w:rFonts w:hint="eastAsia"/>
          <w:b/>
          <w:bCs/>
          <w:u w:val="single"/>
          <w:lang w:val="en-US" w:eastAsia="zh-CN"/>
        </w:rPr>
        <w:t>2</w:t>
      </w:r>
      <w:r>
        <w:rPr>
          <w:rFonts w:hint="eastAsia"/>
          <w:b/>
          <w:bCs/>
          <w:u w:val="single"/>
        </w:rPr>
        <w:t xml:space="preserve"> 万元；</w:t>
      </w:r>
      <w:r>
        <w:rPr>
          <w:rFonts w:hint="eastAsia"/>
          <w:b/>
          <w:bCs/>
          <w:u w:val="single"/>
          <w:lang w:eastAsia="zh-CN"/>
        </w:rPr>
        <w:t>单项合同价在</w:t>
      </w:r>
      <w:r>
        <w:rPr>
          <w:rFonts w:hint="eastAsia"/>
          <w:b/>
          <w:bCs/>
          <w:u w:val="single"/>
          <w:lang w:val="en-US" w:eastAsia="zh-CN"/>
        </w:rPr>
        <w:t>10</w:t>
      </w:r>
      <w:r>
        <w:rPr>
          <w:rFonts w:hint="eastAsia"/>
          <w:b/>
          <w:bCs/>
          <w:u w:val="single"/>
        </w:rPr>
        <w:t>万元（不含）以下的</w:t>
      </w:r>
      <w:r>
        <w:rPr>
          <w:rFonts w:hint="eastAsia"/>
          <w:b/>
          <w:bCs/>
          <w:u w:val="single"/>
          <w:lang w:eastAsia="zh-CN"/>
        </w:rPr>
        <w:t>，</w:t>
      </w:r>
      <w:r>
        <w:rPr>
          <w:rFonts w:hint="eastAsia"/>
          <w:b/>
          <w:bCs/>
          <w:u w:val="single"/>
        </w:rPr>
        <w:t>招标代理费服务费保底价为 0.3</w:t>
      </w:r>
      <w:r>
        <w:rPr>
          <w:rFonts w:hint="eastAsia"/>
          <w:b/>
          <w:bCs/>
          <w:u w:val="single"/>
          <w:lang w:val="en-US" w:eastAsia="zh-CN"/>
        </w:rPr>
        <w:t>5</w:t>
      </w:r>
      <w:r>
        <w:rPr>
          <w:rFonts w:hint="eastAsia"/>
          <w:b/>
          <w:bCs/>
          <w:u w:val="single"/>
        </w:rPr>
        <w:t xml:space="preserve"> 万元。</w:t>
      </w:r>
    </w:p>
    <w:p>
      <w:pPr>
        <w:spacing w:line="380" w:lineRule="exact"/>
        <w:ind w:firstLine="420" w:firstLineChars="200"/>
        <w:jc w:val="left"/>
        <w:rPr>
          <w:rFonts w:hint="eastAsia"/>
        </w:rPr>
      </w:pPr>
      <w:r>
        <w:rPr>
          <w:rFonts w:hint="eastAsia"/>
        </w:rPr>
        <w:t>代理报酬的计算方法：</w:t>
      </w:r>
      <w:r>
        <w:rPr>
          <w:rFonts w:hint="eastAsia"/>
          <w:u w:val="single"/>
        </w:rPr>
        <w:t>按上述标准计算。</w:t>
      </w:r>
    </w:p>
    <w:p>
      <w:pPr>
        <w:spacing w:line="380" w:lineRule="exact"/>
        <w:ind w:firstLine="420" w:firstLineChars="200"/>
        <w:jc w:val="left"/>
        <w:rPr>
          <w:rFonts w:hint="eastAsia" w:eastAsia="宋体"/>
          <w:lang w:eastAsia="zh-CN"/>
        </w:rPr>
      </w:pPr>
      <w:r>
        <w:rPr>
          <w:rFonts w:hint="eastAsia"/>
        </w:rPr>
        <w:t>代理报酬的币种：</w:t>
      </w:r>
      <w:r>
        <w:rPr>
          <w:rFonts w:hint="eastAsia"/>
          <w:u w:val="single"/>
        </w:rPr>
        <w:t>人民币</w:t>
      </w:r>
      <w:r>
        <w:rPr>
          <w:rFonts w:hint="eastAsia"/>
          <w:u w:val="single"/>
          <w:lang w:eastAsia="zh-CN"/>
        </w:rPr>
        <w:t>。</w:t>
      </w:r>
    </w:p>
    <w:p>
      <w:pPr>
        <w:spacing w:line="380" w:lineRule="exact"/>
        <w:ind w:firstLine="420" w:firstLineChars="200"/>
        <w:jc w:val="both"/>
        <w:rPr>
          <w:rFonts w:hint="eastAsia"/>
        </w:rPr>
      </w:pPr>
      <w:r>
        <w:rPr>
          <w:rFonts w:hint="eastAsia"/>
        </w:rPr>
        <w:t>代理报酬的支付</w:t>
      </w:r>
      <w:r>
        <w:rPr>
          <w:rFonts w:hint="eastAsia"/>
          <w:lang w:eastAsia="zh-CN"/>
        </w:rPr>
        <w:t>主要分两种情况</w:t>
      </w:r>
      <w:r>
        <w:rPr>
          <w:rFonts w:hint="eastAsia"/>
        </w:rPr>
        <w:t>：</w:t>
      </w:r>
      <w:r>
        <w:rPr>
          <w:rFonts w:hint="eastAsia"/>
          <w:u w:val="single"/>
          <w:lang w:eastAsia="zh-CN"/>
        </w:rPr>
        <w:t>（一）由</w:t>
      </w:r>
      <w:r>
        <w:rPr>
          <w:rFonts w:hint="eastAsia"/>
          <w:u w:val="single"/>
        </w:rPr>
        <w:t>招标代理在招标文件（或谈判邀请文件）中约定，由相应标段中标单位承担</w:t>
      </w:r>
      <w:r>
        <w:rPr>
          <w:rFonts w:hint="eastAsia"/>
          <w:u w:val="single"/>
          <w:lang w:eastAsia="zh-CN"/>
        </w:rPr>
        <w:t>，</w:t>
      </w:r>
      <w:r>
        <w:rPr>
          <w:rFonts w:hint="eastAsia"/>
          <w:u w:val="single"/>
        </w:rPr>
        <w:t>在合同签订后7日内一次性支付。</w:t>
      </w:r>
      <w:r>
        <w:rPr>
          <w:rFonts w:hint="eastAsia"/>
          <w:u w:val="single"/>
          <w:lang w:eastAsia="zh-CN"/>
        </w:rPr>
        <w:t>（二）部分零星项目由发展中心按上述标准，</w:t>
      </w:r>
      <w:r>
        <w:rPr>
          <w:rFonts w:hint="eastAsia"/>
          <w:u w:val="single"/>
          <w:lang w:val="en-US" w:eastAsia="zh-CN"/>
        </w:rPr>
        <w:t>根据</w:t>
      </w:r>
      <w:r>
        <w:rPr>
          <w:rFonts w:hint="eastAsia"/>
          <w:u w:val="single"/>
          <w:lang w:eastAsia="zh-CN"/>
        </w:rPr>
        <w:t>实际发生的项目数量结算，每年</w:t>
      </w:r>
      <w:r>
        <w:rPr>
          <w:rFonts w:hint="eastAsia"/>
          <w:u w:val="single"/>
          <w:lang w:val="en-US" w:eastAsia="zh-CN"/>
        </w:rPr>
        <w:t>5万元封顶。</w:t>
      </w:r>
    </w:p>
    <w:p>
      <w:pPr>
        <w:spacing w:line="380" w:lineRule="exact"/>
        <w:ind w:firstLine="420" w:firstLineChars="200"/>
        <w:jc w:val="left"/>
        <w:rPr>
          <w:rFonts w:hint="default" w:eastAsia="宋体"/>
          <w:lang w:val="en-US" w:eastAsia="zh-CN"/>
        </w:rPr>
      </w:pPr>
      <w:r>
        <w:rPr>
          <w:rFonts w:hint="eastAsia"/>
        </w:rPr>
        <w:t>对所承接的招标代理费用包括：</w:t>
      </w:r>
      <w:r>
        <w:rPr>
          <w:rFonts w:hint="eastAsia"/>
          <w:u w:val="single"/>
          <w:lang w:eastAsia="zh-CN"/>
        </w:rPr>
        <w:t>整个招标代理过程所有的费用。主要服务内容（但不限于）：编制招标文件（包括编制资格预审文件、工程量清单和标底或限价），发布招标公告，发售招标文件，澄清投标人提出的有关招标的问题；接收投标文件；审查投标人资格，组织投标人踏勘现场并答疑，组织开标、评标</w:t>
      </w:r>
      <w:r>
        <w:rPr>
          <w:rFonts w:hint="eastAsia"/>
          <w:u w:val="single"/>
        </w:rPr>
        <w:t>（包括评标专家咨询费、评标工作餐费、会务费等）</w:t>
      </w:r>
      <w:r>
        <w:rPr>
          <w:rFonts w:hint="eastAsia"/>
          <w:u w:val="single"/>
          <w:lang w:eastAsia="zh-CN"/>
        </w:rPr>
        <w:t>并负责清标工作，根据评标结果编写评标报告，公示评标结果；草拟合同；办理招标核准或备案；负责招标过程所有资料的收集、整理、归档、移交等工作，法律、法规规定的其他工作；其他招标文件审查及审查报告编制等。个别项目根据需要组织专家审查招标文件、标底所发生的费用、施工招标项目预算编制费用也包含在内。</w:t>
      </w:r>
    </w:p>
    <w:p>
      <w:pPr>
        <w:spacing w:line="380" w:lineRule="exact"/>
        <w:ind w:firstLine="420" w:firstLineChars="200"/>
        <w:jc w:val="left"/>
        <w:rPr>
          <w:rFonts w:hint="eastAsia"/>
        </w:rPr>
      </w:pPr>
      <w:r>
        <w:rPr>
          <w:rFonts w:hint="eastAsia"/>
        </w:rPr>
        <w:t>六、本协议书中的有关词语定义与本合同第一部分《通用条款》中分别赋予它们的定义相同。</w:t>
      </w:r>
    </w:p>
    <w:p>
      <w:pPr>
        <w:spacing w:line="380" w:lineRule="exact"/>
        <w:ind w:firstLine="420" w:firstLineChars="200"/>
        <w:jc w:val="left"/>
        <w:rPr>
          <w:rFonts w:hint="eastAsia"/>
        </w:rPr>
      </w:pPr>
      <w:r>
        <w:rPr>
          <w:rFonts w:hint="eastAsia"/>
        </w:rPr>
        <w:t>七、受委托人向委托人承诺，按照本合同的约定，承担本合同专用条款中约定范围内的代理业务。</w:t>
      </w:r>
    </w:p>
    <w:p>
      <w:pPr>
        <w:spacing w:line="380" w:lineRule="exact"/>
        <w:ind w:firstLine="420" w:firstLineChars="200"/>
        <w:jc w:val="left"/>
        <w:rPr>
          <w:rFonts w:hint="eastAsia"/>
        </w:rPr>
      </w:pPr>
      <w:r>
        <w:rPr>
          <w:rFonts w:hint="eastAsia"/>
        </w:rPr>
        <w:t>八、委托人向受委托人承诺，按照本合同的约定，确保代理报酬的支付。</w:t>
      </w:r>
    </w:p>
    <w:p>
      <w:pPr>
        <w:spacing w:line="380" w:lineRule="exact"/>
        <w:ind w:firstLine="420" w:firstLineChars="200"/>
        <w:jc w:val="left"/>
        <w:rPr>
          <w:rFonts w:hint="eastAsia"/>
        </w:rPr>
      </w:pPr>
      <w:r>
        <w:rPr>
          <w:rFonts w:hint="eastAsia"/>
        </w:rPr>
        <w:t>九、本合同经双方签字盖章后生效。</w:t>
      </w:r>
    </w:p>
    <w:p>
      <w:pPr>
        <w:spacing w:line="380" w:lineRule="exact"/>
        <w:ind w:firstLine="420" w:firstLineChars="200"/>
        <w:jc w:val="left"/>
        <w:rPr>
          <w:rFonts w:hint="eastAsia"/>
        </w:rPr>
      </w:pPr>
      <w:r>
        <w:rPr>
          <w:rFonts w:hint="eastAsia"/>
        </w:rPr>
        <w:t>十、合同未尽事宜，双方另行签订补充协议。补充协议是合同的组成部分。</w:t>
      </w:r>
    </w:p>
    <w:p>
      <w:pPr>
        <w:spacing w:line="380" w:lineRule="exact"/>
        <w:ind w:firstLine="420" w:firstLineChars="200"/>
        <w:jc w:val="left"/>
        <w:rPr>
          <w:rFonts w:hint="eastAsia"/>
        </w:rPr>
      </w:pPr>
      <w:r>
        <w:rPr>
          <w:rFonts w:hint="eastAsia"/>
        </w:rPr>
        <w:t>十一、本合同一式陆份，合同双方各执叁份。</w:t>
      </w:r>
    </w:p>
    <w:p>
      <w:pPr>
        <w:pStyle w:val="43"/>
        <w:rPr>
          <w:rFonts w:hint="eastAsia"/>
        </w:rPr>
      </w:pPr>
    </w:p>
    <w:p>
      <w:pPr>
        <w:spacing w:line="380" w:lineRule="exact"/>
        <w:ind w:firstLine="420" w:firstLineChars="200"/>
        <w:jc w:val="left"/>
        <w:rPr>
          <w:rFonts w:hint="eastAsia"/>
        </w:rPr>
      </w:pPr>
      <w:r>
        <w:rPr>
          <w:rFonts w:hint="eastAsia"/>
        </w:rPr>
        <w:t>委托人（盖章）：南通市交通公共事业发展中心</w:t>
      </w:r>
    </w:p>
    <w:p>
      <w:pPr>
        <w:spacing w:line="380" w:lineRule="exact"/>
        <w:ind w:firstLine="420" w:firstLineChars="200"/>
        <w:jc w:val="left"/>
        <w:rPr>
          <w:rFonts w:hint="eastAsia"/>
        </w:rPr>
      </w:pPr>
      <w:r>
        <w:rPr>
          <w:rFonts w:hint="eastAsia"/>
        </w:rPr>
        <w:t>法定代表人或其授权代理人（签字或盖章）：</w:t>
      </w:r>
    </w:p>
    <w:p>
      <w:pPr>
        <w:spacing w:line="380" w:lineRule="exact"/>
        <w:ind w:firstLine="420" w:firstLineChars="200"/>
        <w:jc w:val="left"/>
        <w:rPr>
          <w:rFonts w:hint="eastAsia"/>
        </w:rPr>
      </w:pPr>
      <w:r>
        <w:rPr>
          <w:rFonts w:hint="eastAsia"/>
        </w:rPr>
        <w:t>单位地址：</w:t>
      </w:r>
    </w:p>
    <w:p>
      <w:pPr>
        <w:spacing w:line="380" w:lineRule="exact"/>
        <w:ind w:firstLine="420" w:firstLineChars="200"/>
        <w:jc w:val="left"/>
        <w:rPr>
          <w:rFonts w:hint="eastAsia"/>
        </w:rPr>
      </w:pPr>
      <w:r>
        <w:rPr>
          <w:rFonts w:hint="eastAsia"/>
        </w:rPr>
        <w:t>邮政编码：</w:t>
      </w:r>
    </w:p>
    <w:p>
      <w:pPr>
        <w:spacing w:line="380" w:lineRule="exact"/>
        <w:ind w:firstLine="420" w:firstLineChars="200"/>
        <w:jc w:val="left"/>
        <w:rPr>
          <w:rFonts w:hint="eastAsia"/>
        </w:rPr>
      </w:pPr>
      <w:r>
        <w:rPr>
          <w:rFonts w:hint="eastAsia"/>
        </w:rPr>
        <w:t>联系电话：</w:t>
      </w:r>
    </w:p>
    <w:p>
      <w:pPr>
        <w:spacing w:line="380" w:lineRule="exact"/>
        <w:ind w:firstLine="420" w:firstLineChars="200"/>
        <w:jc w:val="left"/>
        <w:rPr>
          <w:rFonts w:hint="eastAsia"/>
        </w:rPr>
      </w:pPr>
      <w:r>
        <w:rPr>
          <w:rFonts w:hint="eastAsia"/>
        </w:rPr>
        <w:t>传真：</w:t>
      </w:r>
    </w:p>
    <w:p>
      <w:pPr>
        <w:spacing w:line="380" w:lineRule="exact"/>
        <w:ind w:firstLine="420" w:firstLineChars="200"/>
        <w:jc w:val="left"/>
        <w:rPr>
          <w:rFonts w:hint="eastAsia"/>
        </w:rPr>
      </w:pPr>
      <w:r>
        <w:rPr>
          <w:rFonts w:hint="eastAsia"/>
        </w:rPr>
        <w:t>电子信箱：</w:t>
      </w:r>
    </w:p>
    <w:p>
      <w:pPr>
        <w:pStyle w:val="43"/>
        <w:rPr>
          <w:rFonts w:hint="eastAsia"/>
        </w:rPr>
      </w:pPr>
    </w:p>
    <w:p>
      <w:pPr>
        <w:spacing w:line="380" w:lineRule="exact"/>
        <w:ind w:firstLine="420" w:firstLineChars="200"/>
        <w:jc w:val="left"/>
        <w:rPr>
          <w:rFonts w:hint="eastAsia"/>
        </w:rPr>
      </w:pPr>
      <w:r>
        <w:rPr>
          <w:rFonts w:hint="eastAsia"/>
          <w:lang w:val="en-US" w:eastAsia="zh-CN"/>
        </w:rPr>
        <w:t>受</w:t>
      </w:r>
      <w:r>
        <w:rPr>
          <w:rFonts w:hint="eastAsia"/>
        </w:rPr>
        <w:t>托人（盖章）：</w:t>
      </w:r>
    </w:p>
    <w:p>
      <w:pPr>
        <w:spacing w:line="380" w:lineRule="exact"/>
        <w:ind w:firstLine="420" w:firstLineChars="200"/>
        <w:jc w:val="left"/>
        <w:rPr>
          <w:rFonts w:hint="eastAsia"/>
        </w:rPr>
      </w:pPr>
      <w:r>
        <w:rPr>
          <w:rFonts w:hint="eastAsia"/>
        </w:rPr>
        <w:t>法定代表人或其授权代理人（签字或盖章）：</w:t>
      </w:r>
    </w:p>
    <w:p>
      <w:pPr>
        <w:spacing w:line="380" w:lineRule="exact"/>
        <w:ind w:firstLine="420" w:firstLineChars="200"/>
        <w:jc w:val="left"/>
        <w:rPr>
          <w:rFonts w:hint="eastAsia"/>
        </w:rPr>
      </w:pPr>
      <w:r>
        <w:rPr>
          <w:rFonts w:hint="eastAsia"/>
        </w:rPr>
        <w:t>单位地址：</w:t>
      </w:r>
    </w:p>
    <w:p>
      <w:pPr>
        <w:spacing w:line="380" w:lineRule="exact"/>
        <w:ind w:firstLine="420" w:firstLineChars="200"/>
        <w:jc w:val="left"/>
        <w:rPr>
          <w:rFonts w:hint="eastAsia"/>
        </w:rPr>
      </w:pPr>
      <w:r>
        <w:rPr>
          <w:rFonts w:hint="eastAsia"/>
        </w:rPr>
        <w:t>邮政编码：</w:t>
      </w:r>
    </w:p>
    <w:p>
      <w:pPr>
        <w:spacing w:line="380" w:lineRule="exact"/>
        <w:ind w:firstLine="420" w:firstLineChars="200"/>
        <w:jc w:val="left"/>
        <w:rPr>
          <w:rFonts w:hint="eastAsia"/>
        </w:rPr>
      </w:pPr>
      <w:r>
        <w:rPr>
          <w:rFonts w:hint="eastAsia"/>
        </w:rPr>
        <w:t>联系电话：</w:t>
      </w:r>
    </w:p>
    <w:p>
      <w:pPr>
        <w:spacing w:line="380" w:lineRule="exact"/>
        <w:ind w:firstLine="420" w:firstLineChars="200"/>
        <w:jc w:val="left"/>
        <w:rPr>
          <w:rFonts w:hint="eastAsia"/>
        </w:rPr>
      </w:pPr>
      <w:r>
        <w:rPr>
          <w:rFonts w:hint="eastAsia"/>
        </w:rPr>
        <w:t>传真：</w:t>
      </w:r>
    </w:p>
    <w:p>
      <w:pPr>
        <w:spacing w:line="380" w:lineRule="exact"/>
        <w:ind w:firstLine="420" w:firstLineChars="200"/>
        <w:jc w:val="left"/>
        <w:rPr>
          <w:rFonts w:hint="eastAsia"/>
        </w:rPr>
      </w:pPr>
      <w:r>
        <w:rPr>
          <w:rFonts w:hint="eastAsia"/>
        </w:rPr>
        <w:t>电子信箱：</w:t>
      </w:r>
    </w:p>
    <w:p>
      <w:r>
        <w:br w:type="page"/>
      </w:r>
    </w:p>
    <w:p>
      <w:pPr>
        <w:spacing w:line="380" w:lineRule="exact"/>
        <w:ind w:firstLine="562" w:firstLineChars="200"/>
        <w:jc w:val="center"/>
        <w:rPr>
          <w:rFonts w:hint="eastAsia" w:ascii="Times New Roman" w:hAnsi="Times New Roman" w:eastAsia="宋体" w:cs="Times New Roman"/>
          <w:b/>
          <w:bCs/>
          <w:kern w:val="2"/>
          <w:sz w:val="28"/>
          <w:szCs w:val="28"/>
          <w:lang w:val="en-US" w:eastAsia="zh-CN" w:bidi="ar-SA"/>
        </w:rPr>
      </w:pPr>
    </w:p>
    <w:p>
      <w:pPr>
        <w:spacing w:line="380" w:lineRule="exact"/>
        <w:ind w:firstLine="562" w:firstLineChars="200"/>
        <w:jc w:val="cente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南通市交通公共事业发展中心202</w:t>
      </w:r>
      <w:r>
        <w:rPr>
          <w:rFonts w:hint="eastAsia" w:cs="Times New Roman"/>
          <w:b/>
          <w:bCs/>
          <w:kern w:val="2"/>
          <w:sz w:val="28"/>
          <w:szCs w:val="28"/>
          <w:lang w:val="en-US" w:eastAsia="zh-CN" w:bidi="ar-SA"/>
        </w:rPr>
        <w:t>3</w:t>
      </w:r>
      <w:r>
        <w:rPr>
          <w:rFonts w:hint="eastAsia" w:ascii="Times New Roman" w:hAnsi="Times New Roman" w:eastAsia="宋体" w:cs="Times New Roman"/>
          <w:b/>
          <w:bCs/>
          <w:kern w:val="2"/>
          <w:sz w:val="28"/>
          <w:szCs w:val="28"/>
          <w:lang w:val="en-US" w:eastAsia="zh-CN" w:bidi="ar-SA"/>
        </w:rPr>
        <w:t>年招标代理服务项目</w:t>
      </w:r>
    </w:p>
    <w:p>
      <w:pPr>
        <w:spacing w:line="380" w:lineRule="exact"/>
        <w:ind w:firstLine="562" w:firstLineChars="200"/>
        <w:jc w:val="cente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廉政合同协议书</w:t>
      </w:r>
    </w:p>
    <w:p>
      <w:pPr>
        <w:pStyle w:val="43"/>
        <w:rPr>
          <w:rFonts w:hint="eastAsia"/>
          <w:lang w:val="en-US" w:eastAsia="zh-CN"/>
        </w:rPr>
      </w:pPr>
    </w:p>
    <w:p>
      <w:pPr>
        <w:spacing w:line="380" w:lineRule="exact"/>
        <w:ind w:firstLine="420" w:firstLineChars="200"/>
        <w:jc w:val="left"/>
        <w:rPr>
          <w:rFonts w:hint="eastAsia"/>
        </w:rPr>
      </w:pPr>
      <w:r>
        <w:rPr>
          <w:rFonts w:hint="eastAsia"/>
        </w:rPr>
        <w:t>根据交通运输部《关于在交通基础设施建设中加强廉政建设的若干意见》以及有关工程建设、廉政建设的规定。为做好工程建设中的党风廉政建设，保证工程建设高效优质，保证建设资金的安全和有效使用以及投资效益，委托人南通市交通公共</w:t>
      </w:r>
      <w:r>
        <w:rPr>
          <w:rFonts w:hint="eastAsia"/>
          <w:lang w:eastAsia="zh-CN"/>
        </w:rPr>
        <w:t>事业发展</w:t>
      </w:r>
      <w:r>
        <w:rPr>
          <w:rFonts w:hint="eastAsia"/>
        </w:rPr>
        <w:t>中心(以下简称“甲方”)与招标代理服务单位(以下简称“乙方”)，特订立如下合同。</w:t>
      </w:r>
    </w:p>
    <w:p>
      <w:pPr>
        <w:spacing w:line="380" w:lineRule="exact"/>
        <w:ind w:firstLine="420" w:firstLineChars="200"/>
        <w:jc w:val="left"/>
        <w:rPr>
          <w:rFonts w:hint="eastAsia"/>
        </w:rPr>
      </w:pPr>
      <w:r>
        <w:rPr>
          <w:rFonts w:hint="eastAsia"/>
        </w:rPr>
        <w:t>1、甲乙双方的权利和义务</w:t>
      </w:r>
    </w:p>
    <w:p>
      <w:pPr>
        <w:spacing w:line="380" w:lineRule="exact"/>
        <w:ind w:firstLine="420" w:firstLineChars="200"/>
        <w:jc w:val="left"/>
        <w:rPr>
          <w:rFonts w:hint="eastAsia"/>
        </w:rPr>
      </w:pPr>
      <w:r>
        <w:rPr>
          <w:rFonts w:hint="eastAsia"/>
        </w:rPr>
        <w:t>(1)严格遵守党的政策规定和国家有关法律法规及交通部的有关规定。</w:t>
      </w:r>
    </w:p>
    <w:p>
      <w:pPr>
        <w:spacing w:line="380" w:lineRule="exact"/>
        <w:ind w:firstLine="420" w:firstLineChars="200"/>
        <w:jc w:val="left"/>
        <w:rPr>
          <w:rFonts w:hint="eastAsia"/>
        </w:rPr>
      </w:pPr>
      <w:r>
        <w:rPr>
          <w:rFonts w:hint="eastAsia"/>
        </w:rPr>
        <w:t>(2)严格执行</w:t>
      </w:r>
      <w:r>
        <w:rPr>
          <w:rFonts w:hint="eastAsia"/>
          <w:lang w:val="en-US" w:eastAsia="zh-CN"/>
        </w:rPr>
        <w:t>南通市交通公共事业发展中心2023年招标代理服务项目</w:t>
      </w:r>
      <w:r>
        <w:rPr>
          <w:rFonts w:hint="eastAsia"/>
        </w:rPr>
        <w:t>委托合同，自觉按合同办事。</w:t>
      </w:r>
    </w:p>
    <w:p>
      <w:pPr>
        <w:spacing w:line="380" w:lineRule="exact"/>
        <w:ind w:firstLine="420" w:firstLineChars="200"/>
        <w:jc w:val="left"/>
        <w:rPr>
          <w:rFonts w:hint="eastAsia"/>
        </w:rPr>
      </w:pPr>
      <w:r>
        <w:rPr>
          <w:rFonts w:hint="eastAsia"/>
        </w:rPr>
        <w:t>(3)双方的业务活动坚持公开、公正、诚信、透明的原则</w:t>
      </w:r>
      <w:r>
        <w:rPr>
          <w:rFonts w:hint="eastAsia"/>
          <w:lang w:eastAsia="zh-CN"/>
        </w:rPr>
        <w:t>（</w:t>
      </w:r>
      <w:r>
        <w:rPr>
          <w:rFonts w:hint="eastAsia"/>
        </w:rPr>
        <w:t>法律认定的商业秘密和合同文件另有规定除外</w:t>
      </w:r>
      <w:r>
        <w:rPr>
          <w:rFonts w:hint="eastAsia"/>
          <w:lang w:eastAsia="zh-CN"/>
        </w:rPr>
        <w:t>）</w:t>
      </w:r>
      <w:r>
        <w:rPr>
          <w:rFonts w:hint="eastAsia"/>
        </w:rPr>
        <w:t>，不得损害国家和集体利益，违反工程建设管理规章制度。</w:t>
      </w:r>
    </w:p>
    <w:p>
      <w:pPr>
        <w:spacing w:line="380" w:lineRule="exact"/>
        <w:ind w:firstLine="420" w:firstLineChars="200"/>
        <w:jc w:val="left"/>
        <w:rPr>
          <w:rFonts w:hint="eastAsia"/>
        </w:rPr>
      </w:pPr>
      <w:r>
        <w:rPr>
          <w:rFonts w:hint="eastAsia"/>
        </w:rPr>
        <w:t>(4)建立健全廉政制度，开展廉政教育，设立廉政告示牌，公布举报电话，监督并认真查处违法违纪行为。</w:t>
      </w:r>
    </w:p>
    <w:p>
      <w:pPr>
        <w:spacing w:line="380" w:lineRule="exact"/>
        <w:ind w:firstLine="420" w:firstLineChars="200"/>
        <w:jc w:val="left"/>
        <w:rPr>
          <w:rFonts w:hint="eastAsia"/>
        </w:rPr>
      </w:pPr>
      <w:r>
        <w:rPr>
          <w:rFonts w:hint="eastAsia"/>
        </w:rPr>
        <w:t>(5)发现对方在业务活动中有违反廉政规定的行为，有及时提醒对方纠正的权利和义务。</w:t>
      </w:r>
    </w:p>
    <w:p>
      <w:pPr>
        <w:spacing w:line="380" w:lineRule="exact"/>
        <w:ind w:firstLine="420" w:firstLineChars="200"/>
        <w:jc w:val="left"/>
        <w:rPr>
          <w:rFonts w:hint="eastAsia"/>
        </w:rPr>
      </w:pPr>
      <w:r>
        <w:rPr>
          <w:rFonts w:hint="eastAsia"/>
        </w:rPr>
        <w:t>(6)发现对方严重违反本合同义务条款的行为，有向其上级有关部门举报、建议给予处理并要求告知处理结果的权利。</w:t>
      </w:r>
    </w:p>
    <w:p>
      <w:pPr>
        <w:spacing w:line="380" w:lineRule="exact"/>
        <w:ind w:firstLine="420" w:firstLineChars="200"/>
        <w:jc w:val="left"/>
        <w:rPr>
          <w:rFonts w:hint="eastAsia"/>
        </w:rPr>
      </w:pPr>
      <w:r>
        <w:rPr>
          <w:rFonts w:hint="eastAsia"/>
        </w:rPr>
        <w:t>2、甲方的义务</w:t>
      </w:r>
    </w:p>
    <w:p>
      <w:pPr>
        <w:spacing w:line="380" w:lineRule="exact"/>
        <w:ind w:firstLine="420" w:firstLineChars="200"/>
        <w:jc w:val="left"/>
        <w:rPr>
          <w:rFonts w:hint="eastAsia"/>
        </w:rPr>
      </w:pPr>
      <w:r>
        <w:rPr>
          <w:rFonts w:hint="eastAsia"/>
          <w:lang w:eastAsia="zh-CN"/>
        </w:rPr>
        <w:t>（</w:t>
      </w:r>
      <w:r>
        <w:rPr>
          <w:rFonts w:hint="eastAsia"/>
          <w:lang w:val="en-US" w:eastAsia="zh-CN"/>
        </w:rPr>
        <w:t>1</w:t>
      </w:r>
      <w:r>
        <w:rPr>
          <w:rFonts w:hint="eastAsia"/>
          <w:lang w:eastAsia="zh-CN"/>
        </w:rPr>
        <w:t>）</w:t>
      </w:r>
      <w:r>
        <w:rPr>
          <w:rFonts w:hint="eastAsia"/>
        </w:rPr>
        <w:t>甲方及其工作人员不得索要或接受乙方的礼金、有价证券和贵重物品，不得在乙方报销任何应由甲方或甲方工作人员个人支付的费用等。</w:t>
      </w:r>
    </w:p>
    <w:p>
      <w:pPr>
        <w:spacing w:line="380" w:lineRule="exact"/>
        <w:ind w:firstLine="420" w:firstLineChars="200"/>
        <w:jc w:val="left"/>
        <w:rPr>
          <w:rFonts w:hint="eastAsia"/>
        </w:rPr>
      </w:pPr>
      <w:r>
        <w:rPr>
          <w:rFonts w:hint="eastAsia"/>
          <w:lang w:eastAsia="zh-CN"/>
        </w:rPr>
        <w:t>（</w:t>
      </w:r>
      <w:r>
        <w:rPr>
          <w:rFonts w:hint="eastAsia"/>
          <w:lang w:val="en-US" w:eastAsia="zh-CN"/>
        </w:rPr>
        <w:t>2</w:t>
      </w:r>
      <w:r>
        <w:rPr>
          <w:rFonts w:hint="eastAsia"/>
          <w:lang w:eastAsia="zh-CN"/>
        </w:rPr>
        <w:t>）</w:t>
      </w:r>
      <w:r>
        <w:rPr>
          <w:rFonts w:hint="eastAsia"/>
        </w:rPr>
        <w:t>甲方工作人员不得参加乙方安排的超标准宴请和娱乐活动；不得接受乙方提供的通讯工具、交通工具和高档办公用品等。</w:t>
      </w:r>
    </w:p>
    <w:p>
      <w:pPr>
        <w:spacing w:line="380" w:lineRule="exact"/>
        <w:ind w:firstLine="420" w:firstLineChars="200"/>
        <w:jc w:val="left"/>
        <w:rPr>
          <w:rFonts w:hint="eastAsia"/>
        </w:rPr>
      </w:pPr>
      <w:r>
        <w:rPr>
          <w:rFonts w:hint="eastAsia"/>
        </w:rPr>
        <w:t>（3）甲方及其工作人员不得要求或者接受乙方为其住房装修、婚丧嫁娶活动、配偶子女的工作安排以及出国出境、旅游等提供方便等。</w:t>
      </w:r>
    </w:p>
    <w:p>
      <w:pPr>
        <w:spacing w:line="380" w:lineRule="exact"/>
        <w:ind w:firstLine="420" w:firstLineChars="200"/>
        <w:jc w:val="left"/>
        <w:rPr>
          <w:rFonts w:hint="eastAsia"/>
        </w:rPr>
      </w:pPr>
      <w:r>
        <w:rPr>
          <w:rFonts w:hint="eastAsia"/>
        </w:rPr>
        <w:t>（4）甲方及其工作人员及其配偶、子女不得从事与甲方工程有关的材料设备供应、工程分包、劳务等经济活动等。</w:t>
      </w:r>
    </w:p>
    <w:p>
      <w:pPr>
        <w:spacing w:line="380" w:lineRule="exact"/>
        <w:ind w:firstLine="420" w:firstLineChars="200"/>
        <w:jc w:val="left"/>
        <w:rPr>
          <w:rFonts w:hint="eastAsia"/>
        </w:rPr>
      </w:pPr>
      <w:r>
        <w:rPr>
          <w:rFonts w:hint="eastAsia"/>
        </w:rPr>
        <w:t>（5）甲方及其工作人员不得以任何理由向乙方推荐分包单位或推销材料，不得要求乙方购买合同规定外的材料和设备。</w:t>
      </w:r>
    </w:p>
    <w:p>
      <w:pPr>
        <w:spacing w:line="380" w:lineRule="exact"/>
        <w:ind w:firstLine="420" w:firstLineChars="200"/>
        <w:jc w:val="left"/>
        <w:rPr>
          <w:rFonts w:hint="eastAsia"/>
        </w:rPr>
      </w:pPr>
      <w:r>
        <w:rPr>
          <w:rFonts w:hint="eastAsia"/>
        </w:rPr>
        <w:t>（6）甲方工作人员要秉公办事，不准营私舞弊，不准利用职权从事各种个人有偿中介活 动和安排个人施工队伍。</w:t>
      </w:r>
    </w:p>
    <w:p>
      <w:pPr>
        <w:spacing w:line="380" w:lineRule="exact"/>
        <w:ind w:firstLine="420" w:firstLineChars="200"/>
        <w:jc w:val="left"/>
        <w:rPr>
          <w:rFonts w:hint="eastAsia"/>
        </w:rPr>
      </w:pPr>
      <w:r>
        <w:rPr>
          <w:rFonts w:hint="eastAsia"/>
        </w:rPr>
        <w:t>3、乙方义务</w:t>
      </w:r>
    </w:p>
    <w:p>
      <w:pPr>
        <w:spacing w:line="380" w:lineRule="exact"/>
        <w:ind w:firstLine="420" w:firstLineChars="200"/>
        <w:jc w:val="left"/>
        <w:rPr>
          <w:rFonts w:hint="eastAsia"/>
        </w:rPr>
      </w:pPr>
      <w:r>
        <w:rPr>
          <w:rFonts w:hint="eastAsia"/>
        </w:rPr>
        <w:t>（1）乙方不得以任何理由向甲方及其工作人员行贿或馈赠礼金、有价证券、贵重礼品。</w:t>
      </w:r>
    </w:p>
    <w:p>
      <w:pPr>
        <w:spacing w:line="380" w:lineRule="exact"/>
        <w:ind w:firstLine="420" w:firstLineChars="200"/>
        <w:jc w:val="left"/>
        <w:rPr>
          <w:rFonts w:hint="eastAsia"/>
        </w:rPr>
      </w:pPr>
      <w:r>
        <w:rPr>
          <w:rFonts w:hint="eastAsia"/>
        </w:rPr>
        <w:t>（2）乙方不得以任何名义为甲方及其工作人员报销应由甲方单位或个人支付的任何费用。</w:t>
      </w:r>
    </w:p>
    <w:p>
      <w:pPr>
        <w:spacing w:line="380" w:lineRule="exact"/>
        <w:ind w:firstLine="420" w:firstLineChars="200"/>
        <w:jc w:val="left"/>
        <w:rPr>
          <w:rFonts w:hint="eastAsia"/>
        </w:rPr>
      </w:pPr>
      <w:r>
        <w:rPr>
          <w:rFonts w:hint="eastAsia"/>
        </w:rPr>
        <w:t>（3）乙方不得以任何理由安排甲方工作人员参加超标准宴请及娱乐活动。</w:t>
      </w:r>
    </w:p>
    <w:p>
      <w:pPr>
        <w:spacing w:line="380" w:lineRule="exact"/>
        <w:ind w:firstLine="420" w:firstLineChars="200"/>
        <w:jc w:val="left"/>
        <w:rPr>
          <w:rFonts w:hint="eastAsia"/>
        </w:rPr>
      </w:pPr>
      <w:r>
        <w:rPr>
          <w:rFonts w:hint="eastAsia"/>
        </w:rPr>
        <w:t>（4）乙方不得为甲方单位和个人购置或提供通讯工具、交通工具和高档办公用品等。</w:t>
      </w:r>
    </w:p>
    <w:p>
      <w:pPr>
        <w:spacing w:line="380" w:lineRule="exact"/>
        <w:ind w:firstLine="420" w:firstLineChars="200"/>
        <w:jc w:val="left"/>
        <w:rPr>
          <w:rFonts w:hint="eastAsia"/>
        </w:rPr>
      </w:pPr>
      <w:r>
        <w:rPr>
          <w:rFonts w:hint="eastAsia"/>
        </w:rPr>
        <w:t>4、违约责任</w:t>
      </w:r>
    </w:p>
    <w:p>
      <w:pPr>
        <w:spacing w:line="380" w:lineRule="exact"/>
        <w:ind w:firstLine="420" w:firstLineChars="200"/>
        <w:jc w:val="left"/>
        <w:rPr>
          <w:rFonts w:hint="eastAsia"/>
        </w:rPr>
      </w:pPr>
      <w:r>
        <w:rPr>
          <w:rFonts w:hint="eastAsia"/>
        </w:rPr>
        <w:t>（1）甲方及其工作人员违反本一、二条，按管理权限，依据有关规定给予党纪、政纪或组织处理；涉嫌犯罪的，移交司法机关追究刑事责任；给乙方单位造成经济损失的，应予以赔偿。</w:t>
      </w:r>
    </w:p>
    <w:p>
      <w:pPr>
        <w:spacing w:line="380" w:lineRule="exact"/>
        <w:ind w:firstLine="420" w:firstLineChars="200"/>
        <w:jc w:val="left"/>
        <w:rPr>
          <w:rFonts w:hint="eastAsia"/>
        </w:rPr>
      </w:pPr>
      <w:r>
        <w:rPr>
          <w:rFonts w:hint="eastAsia"/>
        </w:rPr>
        <w:t>（2）乙方及其工作人员违反本合同第一、三条，按管理权限，依据有关规定给予党纪、政纪或组织处理；给甲方单位造成经济损失的，应予以赔偿；情节严重的，甲方建议交通建设主管部门给予乙方一至三年内不得进入其主管的交通工程建设市场的处罚。</w:t>
      </w:r>
    </w:p>
    <w:p>
      <w:pPr>
        <w:spacing w:line="380" w:lineRule="exact"/>
        <w:ind w:firstLine="420" w:firstLineChars="200"/>
        <w:jc w:val="left"/>
        <w:rPr>
          <w:rFonts w:hint="eastAsia"/>
        </w:rPr>
      </w:pPr>
      <w:r>
        <w:rPr>
          <w:rFonts w:hint="eastAsia"/>
        </w:rPr>
        <w:t>5、双方约定：本合同由双方或双方上级单位的纪检监察机关对本合同执行情况进行检查，提出在本合同规定范围内的裁定意见。</w:t>
      </w:r>
    </w:p>
    <w:p>
      <w:pPr>
        <w:spacing w:line="380" w:lineRule="exact"/>
        <w:ind w:firstLine="420" w:firstLineChars="200"/>
        <w:jc w:val="left"/>
        <w:rPr>
          <w:rFonts w:hint="eastAsia"/>
        </w:rPr>
      </w:pPr>
      <w:r>
        <w:rPr>
          <w:rFonts w:hint="eastAsia"/>
        </w:rPr>
        <w:t>6、本合同有效期为甲乙双方签字盖章后起至该项目合同内容完成后止。</w:t>
      </w:r>
    </w:p>
    <w:p>
      <w:pPr>
        <w:spacing w:line="380" w:lineRule="exact"/>
        <w:ind w:firstLine="420" w:firstLineChars="200"/>
        <w:jc w:val="left"/>
        <w:rPr>
          <w:rFonts w:hint="eastAsia"/>
        </w:rPr>
      </w:pPr>
      <w:r>
        <w:rPr>
          <w:rFonts w:hint="eastAsia"/>
        </w:rPr>
        <w:t>7、本合同作为</w:t>
      </w:r>
      <w:r>
        <w:rPr>
          <w:rFonts w:hint="eastAsia"/>
          <w:lang w:eastAsia="zh-CN"/>
        </w:rPr>
        <w:t>南通市交通公共事业发展中心</w:t>
      </w:r>
      <w:r>
        <w:rPr>
          <w:rFonts w:hint="eastAsia"/>
          <w:lang w:val="en-US" w:eastAsia="zh-CN"/>
        </w:rPr>
        <w:t>2023年</w:t>
      </w:r>
      <w:r>
        <w:rPr>
          <w:rFonts w:hint="eastAsia"/>
        </w:rPr>
        <w:t>招标代理委托合同协议书的附件，与合同协议书具有同等的法律效力，经合同双方签署立即生效。</w:t>
      </w:r>
    </w:p>
    <w:p>
      <w:pPr>
        <w:spacing w:line="380" w:lineRule="exact"/>
        <w:ind w:firstLine="420" w:firstLineChars="200"/>
        <w:jc w:val="left"/>
        <w:rPr>
          <w:rFonts w:hint="eastAsia"/>
        </w:rPr>
      </w:pPr>
      <w:r>
        <w:rPr>
          <w:rFonts w:hint="eastAsia"/>
        </w:rPr>
        <w:t>8、本合同一式陆份，由甲乙双方各执叁份。</w:t>
      </w:r>
    </w:p>
    <w:p>
      <w:pPr>
        <w:pStyle w:val="43"/>
        <w:rPr>
          <w:rFonts w:hint="eastAsia"/>
        </w:rPr>
      </w:pPr>
    </w:p>
    <w:p>
      <w:pPr>
        <w:spacing w:line="380" w:lineRule="exact"/>
        <w:ind w:firstLine="420" w:firstLineChars="200"/>
        <w:jc w:val="left"/>
        <w:rPr>
          <w:rFonts w:hint="eastAsia"/>
        </w:rPr>
      </w:pPr>
      <w:r>
        <w:rPr>
          <w:rFonts w:hint="eastAsia"/>
          <w:lang w:val="en-US" w:eastAsia="zh-CN"/>
        </w:rPr>
        <w:t>甲方</w:t>
      </w:r>
      <w:r>
        <w:rPr>
          <w:rFonts w:hint="eastAsia"/>
        </w:rPr>
        <w:t>（盖章）：南通市交通公共事业发展中心</w:t>
      </w:r>
    </w:p>
    <w:p>
      <w:pPr>
        <w:spacing w:line="380" w:lineRule="exact"/>
        <w:ind w:firstLine="420" w:firstLineChars="200"/>
        <w:jc w:val="left"/>
        <w:rPr>
          <w:rFonts w:hint="eastAsia"/>
        </w:rPr>
      </w:pPr>
      <w:r>
        <w:rPr>
          <w:rFonts w:hint="eastAsia"/>
        </w:rPr>
        <w:t>法定代表人或其授权代理人（签字或盖章）：</w:t>
      </w:r>
    </w:p>
    <w:p>
      <w:pPr>
        <w:pStyle w:val="43"/>
        <w:rPr>
          <w:rFonts w:hint="eastAsia"/>
        </w:rPr>
      </w:pPr>
    </w:p>
    <w:p>
      <w:pPr>
        <w:spacing w:line="380" w:lineRule="exact"/>
        <w:ind w:firstLine="420" w:firstLineChars="200"/>
        <w:jc w:val="left"/>
        <w:rPr>
          <w:rFonts w:hint="eastAsia"/>
        </w:rPr>
      </w:pPr>
      <w:r>
        <w:rPr>
          <w:rFonts w:hint="eastAsia"/>
          <w:lang w:val="en-US" w:eastAsia="zh-CN"/>
        </w:rPr>
        <w:t>乙方</w:t>
      </w:r>
      <w:r>
        <w:rPr>
          <w:rFonts w:hint="eastAsia"/>
        </w:rPr>
        <w:t>（盖章）：</w:t>
      </w:r>
    </w:p>
    <w:p>
      <w:pPr>
        <w:spacing w:line="380" w:lineRule="exact"/>
        <w:ind w:firstLine="420" w:firstLineChars="200"/>
        <w:jc w:val="left"/>
        <w:rPr>
          <w:rFonts w:hint="eastAsia"/>
        </w:rPr>
      </w:pPr>
      <w:r>
        <w:rPr>
          <w:rFonts w:hint="eastAsia"/>
        </w:rPr>
        <w:t>法定代表人或其授权代理人（签字或盖章）：</w:t>
      </w:r>
    </w:p>
    <w:p>
      <w:pPr>
        <w:pStyle w:val="43"/>
        <w:rPr>
          <w:rFonts w:hint="eastAsia"/>
        </w:rPr>
      </w:pPr>
    </w:p>
    <w:p>
      <w:pPr>
        <w:pStyle w:val="43"/>
        <w:rPr>
          <w:rFonts w:hint="eastAsia"/>
        </w:rPr>
      </w:pPr>
    </w:p>
    <w:p>
      <w:pPr>
        <w:pStyle w:val="43"/>
        <w:rPr>
          <w:rFonts w:hint="eastAsia"/>
        </w:rPr>
      </w:pPr>
    </w:p>
    <w:p>
      <w:pPr>
        <w:rPr>
          <w:sz w:val="32"/>
          <w:szCs w:val="32"/>
        </w:rPr>
      </w:pPr>
      <w:r>
        <w:rPr>
          <w:sz w:val="32"/>
          <w:szCs w:val="32"/>
        </w:rPr>
        <w:br w:type="page"/>
      </w:r>
    </w:p>
    <w:p>
      <w:pPr>
        <w:pStyle w:val="107"/>
        <w:outlineLvl w:val="0"/>
        <w:rPr>
          <w:rFonts w:hint="eastAsia"/>
        </w:rPr>
      </w:pPr>
      <w:bookmarkStart w:id="91" w:name="_Toc13234"/>
      <w:r>
        <w:rPr>
          <w:rFonts w:hint="eastAsia"/>
        </w:rPr>
        <w:t>第五章</w:t>
      </w:r>
      <w:r>
        <w:rPr>
          <w:rFonts w:hint="eastAsia"/>
          <w:lang w:val="en-US" w:eastAsia="zh-CN"/>
        </w:rPr>
        <w:t xml:space="preserve"> </w:t>
      </w:r>
      <w:r>
        <w:rPr>
          <w:rFonts w:hint="eastAsia"/>
        </w:rPr>
        <w:t>投标文件格式</w:t>
      </w:r>
      <w:bookmarkEnd w:id="91"/>
    </w:p>
    <w:p>
      <w:pPr>
        <w:snapToGrid w:val="0"/>
        <w:spacing w:line="360" w:lineRule="auto"/>
        <w:ind w:firstLine="420" w:firstLineChars="200"/>
        <w:jc w:val="left"/>
        <w:rPr>
          <w:rFonts w:hint="eastAsia" w:asciiTheme="minorEastAsia" w:hAnsiTheme="minorEastAsia" w:eastAsiaTheme="minorEastAsia"/>
          <w:szCs w:val="21"/>
          <w:lang w:val="en-US" w:eastAsia="zh-CN"/>
        </w:rPr>
      </w:pPr>
    </w:p>
    <w:p>
      <w:pPr>
        <w:snapToGrid w:val="0"/>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注：未提供格式的，由投标人自拟。</w:t>
      </w:r>
    </w:p>
    <w:p>
      <w:pPr>
        <w:pStyle w:val="43"/>
        <w:rPr>
          <w:rFonts w:hint="default"/>
          <w:lang w:val="en-US" w:eastAsia="zh-CN"/>
        </w:rPr>
      </w:pPr>
    </w:p>
    <w:p>
      <w:pPr>
        <w:widowControl/>
        <w:spacing w:line="360" w:lineRule="auto"/>
        <w:jc w:val="center"/>
        <w:outlineLvl w:val="0"/>
        <w:rPr>
          <w:rFonts w:asciiTheme="minorEastAsia" w:hAnsiTheme="minorEastAsia" w:eastAsiaTheme="minorEastAsia"/>
          <w:kern w:val="0"/>
          <w:szCs w:val="21"/>
        </w:rPr>
      </w:pPr>
      <w:bookmarkStart w:id="92" w:name="_Toc29687"/>
      <w:r>
        <w:rPr>
          <w:rFonts w:hint="eastAsia" w:asciiTheme="minorEastAsia" w:hAnsiTheme="minorEastAsia" w:eastAsiaTheme="minorEastAsia"/>
          <w:kern w:val="0"/>
          <w:szCs w:val="21"/>
        </w:rPr>
        <w:t>一、投标函</w:t>
      </w:r>
      <w:bookmarkEnd w:id="92"/>
    </w:p>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u w:val="single"/>
        </w:rPr>
        <w:t xml:space="preserve">     （招标人）        </w:t>
      </w:r>
      <w:r>
        <w:rPr>
          <w:rFonts w:hint="eastAsia" w:asciiTheme="minorEastAsia" w:hAnsiTheme="minorEastAsia" w:eastAsiaTheme="minorEastAsia"/>
          <w:szCs w:val="21"/>
        </w:rPr>
        <w:t xml:space="preserve"> ：</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（一）根据已收到的招标项目招标代理的招标文件，我单位经研究招标文件和有关资料后，我单位愿意以代理费系数 K</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并按</w:t>
      </w:r>
      <w:r>
        <w:rPr>
          <w:rFonts w:hint="eastAsia" w:asciiTheme="minorEastAsia" w:hAnsiTheme="minorEastAsia" w:eastAsiaTheme="minorEastAsia"/>
          <w:szCs w:val="21"/>
        </w:rPr>
        <w:t xml:space="preserve">招标文件的要求承担招标代理服务工作。 </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（二）我单位将严格按照国家法律、法规以及建设行政主管部门的有关规定和招标文件要求，认真履行义务，确保工程建设顺利进展。 </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（三）贵单位的招标文件、中标通知书和本投标文件将构成约束我们双方的合同。 </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（四）我方指派</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为本项目的负责人。 </w:t>
      </w:r>
    </w:p>
    <w:p>
      <w:pPr>
        <w:snapToGrid w:val="0"/>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五</w:t>
      </w:r>
      <w:r>
        <w:rPr>
          <w:rFonts w:hint="eastAsia" w:asciiTheme="minorEastAsia" w:hAnsiTheme="minorEastAsia" w:eastAsiaTheme="minorEastAsia"/>
          <w:szCs w:val="21"/>
        </w:rPr>
        <w:t>）我方同意在从规定的递交投标文件截止之日起90</w:t>
      </w:r>
      <w:r>
        <w:rPr>
          <w:rFonts w:hint="eastAsia" w:asciiTheme="minorEastAsia" w:hAnsiTheme="minorEastAsia" w:eastAsiaTheme="minorEastAsia"/>
          <w:szCs w:val="21"/>
          <w:lang w:val="en-US" w:eastAsia="zh-CN"/>
        </w:rPr>
        <w:t>天</w:t>
      </w:r>
      <w:r>
        <w:rPr>
          <w:rFonts w:hint="eastAsia" w:asciiTheme="minorEastAsia" w:hAnsiTheme="minorEastAsia" w:eastAsiaTheme="minorEastAsia"/>
          <w:szCs w:val="21"/>
        </w:rPr>
        <w:t>内投标文件始终有效。该期限期满之前，本投标对我方将始终有约束力，并可随时被接受。</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六</w:t>
      </w:r>
      <w:r>
        <w:rPr>
          <w:rFonts w:hint="eastAsia" w:asciiTheme="minorEastAsia" w:hAnsiTheme="minorEastAsia" w:eastAsiaTheme="minorEastAsia"/>
          <w:szCs w:val="21"/>
        </w:rPr>
        <w:t>）如果我方中标，我方理解招标人有权调整部分项目的招标代理单位，对此无任何质疑。</w:t>
      </w:r>
    </w:p>
    <w:p>
      <w:pPr>
        <w:snapToGrid w:val="0"/>
        <w:spacing w:line="360" w:lineRule="auto"/>
        <w:ind w:firstLine="420" w:firstLineChars="200"/>
        <w:jc w:val="left"/>
        <w:rPr>
          <w:rFonts w:asciiTheme="minorEastAsia" w:hAnsiTheme="minorEastAsia" w:eastAsiaTheme="minorEastAsia"/>
          <w:szCs w:val="21"/>
        </w:rPr>
      </w:pPr>
    </w:p>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投标单位：（盖章）</w:t>
      </w:r>
    </w:p>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地址：                    </w:t>
      </w:r>
    </w:p>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固定电话：</w:t>
      </w:r>
    </w:p>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法定代表人或授权委托人：（签字） </w:t>
      </w:r>
    </w:p>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日期：      年     月     日</w:t>
      </w:r>
    </w:p>
    <w:p>
      <w:pPr>
        <w:widowControl/>
        <w:spacing w:line="360" w:lineRule="auto"/>
        <w:jc w:val="center"/>
        <w:outlineLvl w:val="0"/>
        <w:rPr>
          <w:rFonts w:hint="eastAsia" w:ascii="宋体" w:hAnsi="宋体"/>
          <w:color w:val="auto"/>
          <w:sz w:val="21"/>
          <w:szCs w:val="21"/>
          <w:highlight w:val="none"/>
          <w:lang w:val="en-US" w:eastAsia="zh-CN"/>
        </w:rPr>
      </w:pPr>
      <w:r>
        <w:rPr>
          <w:rFonts w:asciiTheme="minorEastAsia" w:hAnsiTheme="minorEastAsia" w:eastAsiaTheme="minorEastAsia"/>
          <w:szCs w:val="21"/>
        </w:rPr>
        <w:br w:type="page"/>
      </w:r>
      <w:bookmarkStart w:id="93" w:name="_Toc17836"/>
      <w:r>
        <w:rPr>
          <w:rFonts w:asciiTheme="minorEastAsia" w:hAnsiTheme="minorEastAsia" w:eastAsiaTheme="minorEastAsia"/>
          <w:szCs w:val="21"/>
        </w:rPr>
        <w:br w:type="page"/>
      </w:r>
      <w:r>
        <w:rPr>
          <w:rFonts w:hint="eastAsia" w:ascii="宋体" w:hAnsi="宋体"/>
          <w:color w:val="auto"/>
          <w:sz w:val="21"/>
          <w:szCs w:val="21"/>
          <w:highlight w:val="none"/>
        </w:rPr>
        <w:t>二、</w:t>
      </w:r>
      <w:r>
        <w:rPr>
          <w:rFonts w:hint="eastAsia" w:ascii="宋体" w:hAnsi="宋体"/>
          <w:color w:val="auto"/>
          <w:sz w:val="21"/>
          <w:szCs w:val="21"/>
          <w:highlight w:val="none"/>
          <w:lang w:val="en-US" w:eastAsia="zh-CN"/>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1"/>
          <w:szCs w:val="21"/>
          <w:highlight w:val="non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1"/>
          <w:szCs w:val="21"/>
          <w:highlight w:val="none"/>
        </w:rPr>
      </w:pPr>
      <w:r>
        <w:rPr>
          <w:rFonts w:hint="eastAsia" w:ascii="宋体" w:hAnsi="宋体"/>
          <w:color w:val="auto"/>
          <w:sz w:val="21"/>
          <w:szCs w:val="21"/>
          <w:highlight w:val="none"/>
        </w:rPr>
        <w:t>成立时间：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1"/>
          <w:szCs w:val="21"/>
          <w:highlight w:val="none"/>
          <w:u w:val="single"/>
        </w:rPr>
      </w:pPr>
      <w:r>
        <w:rPr>
          <w:rFonts w:hint="eastAsia" w:ascii="宋体" w:hAnsi="宋体"/>
          <w:color w:val="auto"/>
          <w:sz w:val="21"/>
          <w:szCs w:val="21"/>
          <w:highlight w:val="none"/>
        </w:rPr>
        <w:t>姓名：</w:t>
      </w:r>
      <w:r>
        <w:rPr>
          <w:rFonts w:hint="eastAsia" w:ascii="宋体" w:hAnsi="宋体"/>
          <w:color w:val="auto"/>
          <w:sz w:val="21"/>
          <w:szCs w:val="21"/>
          <w:highlight w:val="none"/>
          <w:u w:val="single"/>
        </w:rPr>
        <w:t xml:space="preserve">         </w:t>
      </w:r>
      <w:r>
        <w:rPr>
          <w:rFonts w:hint="eastAsia" w:ascii="宋体" w:hAnsi="宋体"/>
          <w:b/>
          <w:color w:val="auto"/>
          <w:sz w:val="21"/>
          <w:szCs w:val="21"/>
          <w:highlight w:val="none"/>
        </w:rPr>
        <w:t>（</w:t>
      </w:r>
      <w:r>
        <w:rPr>
          <w:rFonts w:hint="eastAsia" w:ascii="宋体" w:hAnsi="宋体" w:cs="宋体"/>
          <w:b/>
          <w:color w:val="auto"/>
          <w:sz w:val="21"/>
          <w:szCs w:val="21"/>
          <w:highlight w:val="none"/>
        </w:rPr>
        <w:t>法定代表人签名或签章</w:t>
      </w:r>
      <w:r>
        <w:rPr>
          <w:rFonts w:hint="eastAsia" w:ascii="宋体" w:hAnsi="宋体"/>
          <w:b/>
          <w:color w:val="auto"/>
          <w:sz w:val="21"/>
          <w:szCs w:val="21"/>
          <w:highlight w:val="none"/>
        </w:rPr>
        <w:t>）</w:t>
      </w:r>
      <w:r>
        <w:rPr>
          <w:rFonts w:hint="eastAsia" w:ascii="宋体" w:hAnsi="宋体"/>
          <w:color w:val="auto"/>
          <w:sz w:val="21"/>
          <w:szCs w:val="21"/>
          <w:highlight w:val="none"/>
        </w:rPr>
        <w:t xml:space="preserve">  性别：</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ascii="宋体" w:hAnsi="宋体"/>
          <w:color w:val="auto"/>
          <w:sz w:val="21"/>
          <w:szCs w:val="21"/>
          <w:highlight w:val="none"/>
        </w:rPr>
      </w:pPr>
      <w:r>
        <w:rPr>
          <w:rFonts w:hint="eastAsia" w:ascii="宋体" w:hAnsi="宋体"/>
          <w:color w:val="auto"/>
          <w:sz w:val="21"/>
          <w:szCs w:val="21"/>
          <w:highlight w:val="none"/>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4725" w:firstLineChars="2250"/>
        <w:jc w:val="left"/>
        <w:textAlignment w:val="auto"/>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left"/>
        <w:textAlignment w:val="auto"/>
        <w:rPr>
          <w:rFonts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rPr>
        <w:t xml:space="preserve">                </w:t>
      </w:r>
      <w:r>
        <w:rPr>
          <w:rFonts w:hint="eastAsia" w:ascii="宋体" w:hAnsi="宋体"/>
          <w:b/>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725" w:firstLineChars="2250"/>
        <w:jc w:val="left"/>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日</w:t>
      </w:r>
    </w:p>
    <w:p>
      <w:pPr>
        <w:pStyle w:val="43"/>
        <w:rPr>
          <w:rFonts w:hint="default"/>
          <w:lang w:val="en-US" w:eastAsia="zh-CN"/>
        </w:rPr>
      </w:pPr>
    </w:p>
    <w:p>
      <w:pPr>
        <w:rPr>
          <w:rFonts w:asciiTheme="minorEastAsia" w:hAnsiTheme="minorEastAsia" w:eastAsiaTheme="minorEastAsia"/>
          <w:szCs w:val="21"/>
        </w:rPr>
      </w:pPr>
    </w:p>
    <w:p>
      <w:pPr>
        <w:numPr>
          <w:ilvl w:val="0"/>
          <w:numId w:val="0"/>
        </w:numPr>
        <w:spacing w:line="360" w:lineRule="auto"/>
        <w:ind w:leftChars="0"/>
        <w:rPr>
          <w:rFonts w:ascii="宋体" w:hAnsi="宋体"/>
          <w:color w:val="auto"/>
          <w:sz w:val="21"/>
          <w:szCs w:val="21"/>
          <w:highlight w:val="none"/>
        </w:rPr>
      </w:pPr>
      <w:r>
        <w:rPr>
          <w:rFonts w:hint="eastAsia" w:ascii="宋体" w:hAnsi="宋体"/>
          <w:b/>
          <w:color w:val="auto"/>
          <w:sz w:val="21"/>
          <w:szCs w:val="21"/>
          <w:highlight w:val="none"/>
          <w:lang w:val="en-US" w:eastAsia="zh-CN"/>
        </w:rPr>
        <w:t>注：</w:t>
      </w:r>
      <w:r>
        <w:rPr>
          <w:rFonts w:hint="eastAsia" w:ascii="宋体" w:hAnsi="宋体"/>
          <w:b/>
          <w:color w:val="auto"/>
          <w:sz w:val="21"/>
          <w:szCs w:val="21"/>
          <w:highlight w:val="none"/>
        </w:rPr>
        <w:t>如果由投标人的法定代表人签署投标文件</w:t>
      </w:r>
      <w:r>
        <w:rPr>
          <w:rFonts w:hint="eastAsia" w:ascii="宋体" w:hAnsi="宋体"/>
          <w:b/>
          <w:color w:val="auto"/>
          <w:sz w:val="21"/>
          <w:szCs w:val="21"/>
          <w:highlight w:val="none"/>
          <w:lang w:val="en-US" w:eastAsia="zh-CN"/>
        </w:rPr>
        <w:t>的</w:t>
      </w:r>
      <w:r>
        <w:rPr>
          <w:rFonts w:hint="eastAsia" w:ascii="宋体" w:hAnsi="宋体"/>
          <w:b/>
          <w:color w:val="auto"/>
          <w:sz w:val="21"/>
          <w:szCs w:val="21"/>
          <w:highlight w:val="none"/>
        </w:rPr>
        <w:t>，需提交法定代表人身份证明。</w:t>
      </w:r>
    </w:p>
    <w:p>
      <w:pPr>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br w:type="page"/>
      </w:r>
    </w:p>
    <w:p>
      <w:pPr>
        <w:rPr>
          <w:rFonts w:asciiTheme="minorEastAsia" w:hAnsiTheme="minorEastAsia" w:eastAsiaTheme="minorEastAsia"/>
          <w:szCs w:val="21"/>
        </w:rPr>
      </w:pPr>
    </w:p>
    <w:p>
      <w:pPr>
        <w:widowControl/>
        <w:spacing w:line="360" w:lineRule="auto"/>
        <w:jc w:val="center"/>
        <w:outlineLvl w:val="0"/>
        <w:rPr>
          <w:rFonts w:asciiTheme="minorEastAsia" w:hAnsiTheme="minorEastAsia" w:eastAsiaTheme="minorEastAsia"/>
          <w:kern w:val="0"/>
          <w:szCs w:val="21"/>
        </w:rPr>
      </w:pPr>
      <w:r>
        <w:rPr>
          <w:rFonts w:hint="eastAsia" w:asciiTheme="minorEastAsia" w:hAnsiTheme="minorEastAsia" w:eastAsiaTheme="minorEastAsia"/>
          <w:kern w:val="0"/>
          <w:szCs w:val="21"/>
          <w:lang w:eastAsia="zh-CN"/>
        </w:rPr>
        <w:t>三</w:t>
      </w:r>
      <w:r>
        <w:rPr>
          <w:rFonts w:hint="eastAsia" w:asciiTheme="minorEastAsia" w:hAnsiTheme="minorEastAsia" w:eastAsiaTheme="minorEastAsia"/>
          <w:kern w:val="0"/>
          <w:szCs w:val="21"/>
        </w:rPr>
        <w:t>、授权委托书</w:t>
      </w:r>
      <w:bookmarkEnd w:id="93"/>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u w:val="single"/>
        </w:rPr>
      </w:pPr>
      <w:r>
        <w:rPr>
          <w:rFonts w:hint="eastAsia" w:asciiTheme="minorEastAsia" w:hAnsiTheme="minorEastAsia" w:eastAsiaTheme="minorEastAsia"/>
          <w:szCs w:val="21"/>
          <w:u w:val="single"/>
        </w:rPr>
        <w:t xml:space="preserve">（招标人）： </w:t>
      </w: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本授权委托书声明：我</w:t>
      </w:r>
      <w:r>
        <w:rPr>
          <w:rFonts w:hint="eastAsia" w:asciiTheme="minorEastAsia" w:hAnsiTheme="minorEastAsia" w:eastAsiaTheme="minorEastAsia"/>
          <w:szCs w:val="21"/>
          <w:u w:val="single"/>
        </w:rPr>
        <w:t xml:space="preserve">  （姓名）   </w:t>
      </w:r>
      <w:r>
        <w:rPr>
          <w:rFonts w:hint="eastAsia" w:asciiTheme="minorEastAsia" w:hAnsiTheme="minorEastAsia" w:eastAsiaTheme="minorEastAsia"/>
          <w:szCs w:val="21"/>
        </w:rPr>
        <w:t xml:space="preserve">系 </w:t>
      </w:r>
      <w:r>
        <w:rPr>
          <w:rFonts w:hint="eastAsia" w:asciiTheme="minorEastAsia" w:hAnsiTheme="minorEastAsia" w:eastAsiaTheme="minorEastAsia"/>
          <w:szCs w:val="21"/>
          <w:u w:val="single"/>
        </w:rPr>
        <w:t xml:space="preserve">        （投标单位名称）     </w:t>
      </w:r>
      <w:r>
        <w:rPr>
          <w:rFonts w:hint="eastAsia" w:asciiTheme="minorEastAsia" w:hAnsiTheme="minorEastAsia" w:eastAsiaTheme="minorEastAsia"/>
          <w:szCs w:val="21"/>
        </w:rPr>
        <w:t xml:space="preserve"> 的法定代表人，现授权委托</w:t>
      </w:r>
      <w:r>
        <w:rPr>
          <w:rFonts w:hint="eastAsia" w:asciiTheme="minorEastAsia" w:hAnsiTheme="minorEastAsia" w:eastAsiaTheme="minorEastAsia"/>
          <w:szCs w:val="21"/>
          <w:u w:val="single"/>
        </w:rPr>
        <w:t xml:space="preserve">          （单位名称）      </w:t>
      </w:r>
      <w:r>
        <w:rPr>
          <w:rFonts w:hint="eastAsia" w:asciiTheme="minorEastAsia" w:hAnsiTheme="minorEastAsia" w:eastAsiaTheme="minorEastAsia"/>
          <w:szCs w:val="21"/>
        </w:rPr>
        <w:t xml:space="preserve">的 </w:t>
      </w:r>
      <w:r>
        <w:rPr>
          <w:rFonts w:hint="eastAsia" w:asciiTheme="minorEastAsia" w:hAnsiTheme="minorEastAsia" w:eastAsiaTheme="minorEastAsia"/>
          <w:szCs w:val="21"/>
          <w:u w:val="single"/>
        </w:rPr>
        <w:t xml:space="preserve">    （姓名）     </w:t>
      </w:r>
      <w:r>
        <w:rPr>
          <w:rFonts w:hint="eastAsia" w:asciiTheme="minorEastAsia" w:hAnsiTheme="minorEastAsia" w:eastAsiaTheme="minorEastAsia"/>
          <w:szCs w:val="21"/>
        </w:rPr>
        <w:t>为我的授权代理人。以本公司的名义参加</w:t>
      </w:r>
      <w:r>
        <w:rPr>
          <w:rFonts w:hint="eastAsia" w:asciiTheme="minorEastAsia" w:hAnsiTheme="minorEastAsia" w:eastAsiaTheme="minorEastAsia"/>
          <w:szCs w:val="21"/>
          <w:u w:val="single"/>
        </w:rPr>
        <w:t xml:space="preserve">   （项目、标段名称）   </w:t>
      </w:r>
      <w:r>
        <w:rPr>
          <w:rFonts w:hint="eastAsia" w:asciiTheme="minorEastAsia" w:hAnsiTheme="minorEastAsia" w:eastAsiaTheme="minorEastAsia"/>
          <w:szCs w:val="21"/>
        </w:rPr>
        <w:t xml:space="preserve"> 招标代理的招标，授权委托人递交投标文件、评标、合同谈判过程中所签署的一切文件和处理与之有关的一切事务，我均予以承认。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授权委托人无转让权。特此委托。 </w:t>
      </w: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单位：（盖章） </w:t>
      </w: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法定代表人：（签字） </w:t>
      </w: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日期：      年     月     日</w:t>
      </w:r>
    </w:p>
    <w:sectPr>
      <w:headerReference r:id="rId6" w:type="default"/>
      <w:footerReference r:id="rId7" w:type="default"/>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Fake Font">
    <w:altName w:val="宋体"/>
    <w:panose1 w:val="00000000000000000000"/>
    <w:charset w:val="86"/>
    <w:family w:val="auto"/>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11</w:t>
    </w:r>
    <w:r>
      <w:rPr>
        <w:rStyle w:val="47"/>
      </w:rP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sz w:val="21"/>
        <w:szCs w:val="21"/>
      </w:rPr>
    </w:pPr>
    <w:r>
      <w:rPr>
        <w:rFonts w:ascii="宋体" w:hAnsi="宋体"/>
        <w:sz w:val="21"/>
        <w:szCs w:val="21"/>
      </w:rPr>
      <w:fldChar w:fldCharType="begin"/>
    </w:r>
    <w:r>
      <w:rPr>
        <w:rStyle w:val="47"/>
        <w:rFonts w:ascii="宋体" w:hAnsi="宋体"/>
        <w:sz w:val="21"/>
        <w:szCs w:val="21"/>
      </w:rPr>
      <w:instrText xml:space="preserve"> PAGE </w:instrText>
    </w:r>
    <w:r>
      <w:rPr>
        <w:rFonts w:ascii="宋体" w:hAnsi="宋体"/>
        <w:sz w:val="21"/>
        <w:szCs w:val="21"/>
      </w:rPr>
      <w:fldChar w:fldCharType="separate"/>
    </w:r>
    <w:r>
      <w:rPr>
        <w:rStyle w:val="47"/>
        <w:rFonts w:ascii="宋体" w:hAnsi="宋体"/>
        <w:sz w:val="21"/>
        <w:szCs w:val="21"/>
      </w:rPr>
      <w:t>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B9E8F"/>
    <w:multiLevelType w:val="singleLevel"/>
    <w:tmpl w:val="BD8B9E8F"/>
    <w:lvl w:ilvl="0" w:tentative="0">
      <w:start w:val="1"/>
      <w:numFmt w:val="decimal"/>
      <w:suff w:val="nothing"/>
      <w:lvlText w:val="（%1）"/>
      <w:lvlJc w:val="left"/>
    </w:lvl>
  </w:abstractNum>
  <w:abstractNum w:abstractNumId="1">
    <w:nsid w:val="E6C275C6"/>
    <w:multiLevelType w:val="singleLevel"/>
    <w:tmpl w:val="E6C275C6"/>
    <w:lvl w:ilvl="0" w:tentative="0">
      <w:start w:val="2"/>
      <w:numFmt w:val="chineseCounting"/>
      <w:suff w:val="nothing"/>
      <w:lvlText w:val="%1、"/>
      <w:lvlJc w:val="left"/>
      <w:rPr>
        <w:rFonts w:hint="eastAsia"/>
      </w:rPr>
    </w:lvl>
  </w:abstractNum>
  <w:abstractNum w:abstractNumId="2">
    <w:nsid w:val="2D2E63A1"/>
    <w:multiLevelType w:val="singleLevel"/>
    <w:tmpl w:val="2D2E63A1"/>
    <w:lvl w:ilvl="0" w:tentative="0">
      <w:start w:val="17"/>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mY2ZmM4YTk5YzBjMWZlZjAwMzA0ZTdlYTcwYjIifQ=="/>
  </w:docVars>
  <w:rsids>
    <w:rsidRoot w:val="00921432"/>
    <w:rsid w:val="000155E3"/>
    <w:rsid w:val="00033869"/>
    <w:rsid w:val="00072302"/>
    <w:rsid w:val="00072986"/>
    <w:rsid w:val="000F0377"/>
    <w:rsid w:val="00151571"/>
    <w:rsid w:val="00216C27"/>
    <w:rsid w:val="002236C5"/>
    <w:rsid w:val="002345FF"/>
    <w:rsid w:val="002558DA"/>
    <w:rsid w:val="002562E4"/>
    <w:rsid w:val="00272381"/>
    <w:rsid w:val="002906CE"/>
    <w:rsid w:val="00291D35"/>
    <w:rsid w:val="002955F3"/>
    <w:rsid w:val="00297B70"/>
    <w:rsid w:val="002A5438"/>
    <w:rsid w:val="0036371D"/>
    <w:rsid w:val="00377073"/>
    <w:rsid w:val="0040008C"/>
    <w:rsid w:val="004115EB"/>
    <w:rsid w:val="00454F39"/>
    <w:rsid w:val="00456F9B"/>
    <w:rsid w:val="00480CFF"/>
    <w:rsid w:val="0056048D"/>
    <w:rsid w:val="005615C8"/>
    <w:rsid w:val="00577D41"/>
    <w:rsid w:val="00594016"/>
    <w:rsid w:val="005A63B9"/>
    <w:rsid w:val="005C6282"/>
    <w:rsid w:val="0064262F"/>
    <w:rsid w:val="00653EF6"/>
    <w:rsid w:val="006B26BD"/>
    <w:rsid w:val="007623F2"/>
    <w:rsid w:val="00765759"/>
    <w:rsid w:val="00785AFF"/>
    <w:rsid w:val="007A14EB"/>
    <w:rsid w:val="007B54BF"/>
    <w:rsid w:val="007E782C"/>
    <w:rsid w:val="00837D51"/>
    <w:rsid w:val="00855CFA"/>
    <w:rsid w:val="00867562"/>
    <w:rsid w:val="008A0D52"/>
    <w:rsid w:val="00921432"/>
    <w:rsid w:val="00922477"/>
    <w:rsid w:val="00951A6A"/>
    <w:rsid w:val="009A1B22"/>
    <w:rsid w:val="009F1AE4"/>
    <w:rsid w:val="00A1099C"/>
    <w:rsid w:val="00AE629A"/>
    <w:rsid w:val="00AE6D08"/>
    <w:rsid w:val="00AF48D6"/>
    <w:rsid w:val="00B1495E"/>
    <w:rsid w:val="00B21925"/>
    <w:rsid w:val="00B24F6C"/>
    <w:rsid w:val="00B36552"/>
    <w:rsid w:val="00B51F70"/>
    <w:rsid w:val="00B554B9"/>
    <w:rsid w:val="00B84058"/>
    <w:rsid w:val="00BE3076"/>
    <w:rsid w:val="00BE5BB1"/>
    <w:rsid w:val="00BF0A1F"/>
    <w:rsid w:val="00C36DD4"/>
    <w:rsid w:val="00C97971"/>
    <w:rsid w:val="00CB7A35"/>
    <w:rsid w:val="00CE6D53"/>
    <w:rsid w:val="00D251EC"/>
    <w:rsid w:val="00D3786D"/>
    <w:rsid w:val="00DA0097"/>
    <w:rsid w:val="00DB131A"/>
    <w:rsid w:val="00DF29F2"/>
    <w:rsid w:val="00E07BAF"/>
    <w:rsid w:val="00E36896"/>
    <w:rsid w:val="00EE62E2"/>
    <w:rsid w:val="00F4196E"/>
    <w:rsid w:val="00F67E1C"/>
    <w:rsid w:val="00FA235E"/>
    <w:rsid w:val="00FA4717"/>
    <w:rsid w:val="00FF1AD3"/>
    <w:rsid w:val="04002C6E"/>
    <w:rsid w:val="04432F49"/>
    <w:rsid w:val="05FC5136"/>
    <w:rsid w:val="061926C5"/>
    <w:rsid w:val="065A03C3"/>
    <w:rsid w:val="090F474A"/>
    <w:rsid w:val="0A20501F"/>
    <w:rsid w:val="0AD50AF8"/>
    <w:rsid w:val="0C7F2DBC"/>
    <w:rsid w:val="0CA813D9"/>
    <w:rsid w:val="0E3D4BF6"/>
    <w:rsid w:val="0EC95B96"/>
    <w:rsid w:val="10632AD2"/>
    <w:rsid w:val="108B23D6"/>
    <w:rsid w:val="10942D1B"/>
    <w:rsid w:val="10DB19F4"/>
    <w:rsid w:val="121453E6"/>
    <w:rsid w:val="1B6820D7"/>
    <w:rsid w:val="1C340788"/>
    <w:rsid w:val="1EFA7541"/>
    <w:rsid w:val="1FA32804"/>
    <w:rsid w:val="260E7251"/>
    <w:rsid w:val="28DD1FA2"/>
    <w:rsid w:val="29457ADF"/>
    <w:rsid w:val="2A9053F6"/>
    <w:rsid w:val="2AFC3435"/>
    <w:rsid w:val="2EC2537B"/>
    <w:rsid w:val="2F34284F"/>
    <w:rsid w:val="2FBB1282"/>
    <w:rsid w:val="305C7E1D"/>
    <w:rsid w:val="337D4E87"/>
    <w:rsid w:val="37920CED"/>
    <w:rsid w:val="383F6950"/>
    <w:rsid w:val="38791815"/>
    <w:rsid w:val="3ED25BE0"/>
    <w:rsid w:val="3F31207A"/>
    <w:rsid w:val="421D1846"/>
    <w:rsid w:val="425A7BFB"/>
    <w:rsid w:val="42D87F81"/>
    <w:rsid w:val="433254D0"/>
    <w:rsid w:val="452E468E"/>
    <w:rsid w:val="4573122D"/>
    <w:rsid w:val="462E414C"/>
    <w:rsid w:val="46603C68"/>
    <w:rsid w:val="47462230"/>
    <w:rsid w:val="479E7359"/>
    <w:rsid w:val="4A390BE1"/>
    <w:rsid w:val="4D0A4E64"/>
    <w:rsid w:val="4FDB761C"/>
    <w:rsid w:val="528A1377"/>
    <w:rsid w:val="54B46B7F"/>
    <w:rsid w:val="566A6D5C"/>
    <w:rsid w:val="583354EA"/>
    <w:rsid w:val="584A07A9"/>
    <w:rsid w:val="59460193"/>
    <w:rsid w:val="5B2C3357"/>
    <w:rsid w:val="5EF3490A"/>
    <w:rsid w:val="5F1A0784"/>
    <w:rsid w:val="607A2ED2"/>
    <w:rsid w:val="61B256D1"/>
    <w:rsid w:val="62634679"/>
    <w:rsid w:val="62DB653A"/>
    <w:rsid w:val="67175B8C"/>
    <w:rsid w:val="67E5653F"/>
    <w:rsid w:val="6B0A314C"/>
    <w:rsid w:val="7219003F"/>
    <w:rsid w:val="76450E3E"/>
    <w:rsid w:val="782543C9"/>
    <w:rsid w:val="7886401B"/>
    <w:rsid w:val="79E72E68"/>
    <w:rsid w:val="7BF070CA"/>
    <w:rsid w:val="7D4D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99"/>
    <w:pPr>
      <w:outlineLvl w:val="0"/>
    </w:pPr>
  </w:style>
  <w:style w:type="paragraph" w:styleId="4">
    <w:name w:val="heading 2"/>
    <w:basedOn w:val="1"/>
    <w:next w:val="1"/>
    <w:link w:val="55"/>
    <w:qFormat/>
    <w:uiPriority w:val="99"/>
    <w:pPr>
      <w:keepNext/>
      <w:keepLines/>
      <w:tabs>
        <w:tab w:val="left" w:pos="360"/>
      </w:tabs>
      <w:spacing w:before="260" w:after="260" w:line="416" w:lineRule="auto"/>
      <w:outlineLvl w:val="1"/>
    </w:pPr>
    <w:rPr>
      <w:rFonts w:ascii="Arial" w:hAnsi="Arial" w:eastAsia="黑体"/>
      <w:b/>
      <w:bCs/>
      <w:sz w:val="32"/>
      <w:szCs w:val="32"/>
    </w:rPr>
  </w:style>
  <w:style w:type="paragraph" w:styleId="5">
    <w:name w:val="heading 3"/>
    <w:basedOn w:val="1"/>
    <w:next w:val="1"/>
    <w:link w:val="63"/>
    <w:qFormat/>
    <w:uiPriority w:val="99"/>
    <w:pPr>
      <w:keepNext/>
      <w:keepLines/>
      <w:spacing w:before="260" w:after="260" w:line="413" w:lineRule="auto"/>
      <w:outlineLvl w:val="2"/>
    </w:pPr>
    <w:rPr>
      <w:b/>
      <w:bCs/>
      <w:sz w:val="32"/>
      <w:szCs w:val="32"/>
    </w:rPr>
  </w:style>
  <w:style w:type="paragraph" w:styleId="6">
    <w:name w:val="heading 4"/>
    <w:basedOn w:val="1"/>
    <w:next w:val="1"/>
    <w:link w:val="57"/>
    <w:qFormat/>
    <w:uiPriority w:val="99"/>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58"/>
    <w:qFormat/>
    <w:uiPriority w:val="99"/>
    <w:pPr>
      <w:keepNext/>
      <w:keepLines/>
      <w:tabs>
        <w:tab w:val="left" w:pos="1008"/>
      </w:tabs>
      <w:spacing w:before="280" w:after="290" w:line="376" w:lineRule="auto"/>
      <w:ind w:left="1008" w:hanging="432"/>
      <w:outlineLvl w:val="4"/>
    </w:pPr>
    <w:rPr>
      <w:b/>
      <w:bCs/>
      <w:sz w:val="28"/>
      <w:szCs w:val="28"/>
    </w:rPr>
  </w:style>
  <w:style w:type="paragraph" w:styleId="8">
    <w:name w:val="heading 6"/>
    <w:basedOn w:val="1"/>
    <w:next w:val="1"/>
    <w:link w:val="59"/>
    <w:qFormat/>
    <w:uiPriority w:val="99"/>
    <w:pPr>
      <w:keepNext/>
      <w:keepLines/>
      <w:tabs>
        <w:tab w:val="left" w:pos="1152"/>
      </w:tabs>
      <w:spacing w:before="240" w:after="64" w:line="320" w:lineRule="auto"/>
      <w:ind w:left="1152" w:hanging="432"/>
      <w:outlineLvl w:val="5"/>
    </w:pPr>
    <w:rPr>
      <w:rFonts w:ascii="Arial" w:hAnsi="Arial" w:eastAsia="黑体"/>
      <w:b/>
      <w:bCs/>
      <w:sz w:val="24"/>
    </w:rPr>
  </w:style>
  <w:style w:type="paragraph" w:styleId="9">
    <w:name w:val="heading 7"/>
    <w:basedOn w:val="1"/>
    <w:next w:val="1"/>
    <w:link w:val="60"/>
    <w:qFormat/>
    <w:uiPriority w:val="99"/>
    <w:pPr>
      <w:keepNext/>
      <w:keepLines/>
      <w:tabs>
        <w:tab w:val="left" w:pos="1296"/>
      </w:tabs>
      <w:spacing w:before="240" w:after="64" w:line="320" w:lineRule="auto"/>
      <w:ind w:left="1296" w:hanging="288"/>
      <w:outlineLvl w:val="6"/>
    </w:pPr>
    <w:rPr>
      <w:b/>
      <w:bCs/>
      <w:sz w:val="24"/>
    </w:rPr>
  </w:style>
  <w:style w:type="paragraph" w:styleId="10">
    <w:name w:val="heading 8"/>
    <w:basedOn w:val="1"/>
    <w:next w:val="1"/>
    <w:link w:val="61"/>
    <w:qFormat/>
    <w:uiPriority w:val="99"/>
    <w:pPr>
      <w:keepNext/>
      <w:keepLines/>
      <w:tabs>
        <w:tab w:val="left" w:pos="1440"/>
      </w:tabs>
      <w:spacing w:before="240" w:after="64" w:line="320" w:lineRule="auto"/>
      <w:ind w:left="1440" w:hanging="432"/>
      <w:outlineLvl w:val="7"/>
    </w:pPr>
    <w:rPr>
      <w:rFonts w:ascii="Arial" w:hAnsi="Arial" w:eastAsia="黑体"/>
      <w:sz w:val="24"/>
    </w:rPr>
  </w:style>
  <w:style w:type="paragraph" w:styleId="11">
    <w:name w:val="heading 9"/>
    <w:basedOn w:val="1"/>
    <w:next w:val="1"/>
    <w:link w:val="62"/>
    <w:qFormat/>
    <w:uiPriority w:val="99"/>
    <w:pPr>
      <w:keepNext/>
      <w:keepLines/>
      <w:tabs>
        <w:tab w:val="left" w:pos="1584"/>
      </w:tabs>
      <w:spacing w:before="240" w:after="64" w:line="320" w:lineRule="auto"/>
      <w:ind w:left="1584" w:hanging="144"/>
      <w:outlineLvl w:val="8"/>
    </w:pPr>
    <w:rPr>
      <w:rFonts w:ascii="Arial" w:hAnsi="Arial" w:eastAsia="黑体"/>
      <w:szCs w:val="21"/>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bCs/>
      <w:sz w:val="32"/>
      <w:szCs w:val="32"/>
    </w:rPr>
  </w:style>
  <w:style w:type="paragraph" w:styleId="12">
    <w:name w:val="toc 7"/>
    <w:basedOn w:val="1"/>
    <w:next w:val="1"/>
    <w:qFormat/>
    <w:uiPriority w:val="99"/>
    <w:pPr>
      <w:adjustRightInd w:val="0"/>
      <w:ind w:left="1440" w:firstLine="198"/>
      <w:jc w:val="left"/>
      <w:textAlignment w:val="baseline"/>
    </w:pPr>
    <w:rPr>
      <w:sz w:val="18"/>
      <w:szCs w:val="20"/>
    </w:rPr>
  </w:style>
  <w:style w:type="paragraph" w:styleId="13">
    <w:name w:val="Normal Indent"/>
    <w:basedOn w:val="1"/>
    <w:qFormat/>
    <w:uiPriority w:val="99"/>
    <w:pPr>
      <w:adjustRightInd w:val="0"/>
      <w:spacing w:line="360" w:lineRule="atLeast"/>
      <w:ind w:firstLine="482"/>
      <w:textAlignment w:val="baseline"/>
    </w:pPr>
    <w:rPr>
      <w:kern w:val="0"/>
      <w:sz w:val="24"/>
      <w:szCs w:val="20"/>
    </w:rPr>
  </w:style>
  <w:style w:type="paragraph" w:styleId="14">
    <w:name w:val="caption"/>
    <w:basedOn w:val="1"/>
    <w:next w:val="1"/>
    <w:qFormat/>
    <w:uiPriority w:val="99"/>
    <w:pPr>
      <w:spacing w:before="152" w:after="160"/>
    </w:pPr>
    <w:rPr>
      <w:rFonts w:ascii="Arial" w:hAnsi="Arial" w:eastAsia="华文细黑" w:cs="Arial"/>
      <w:sz w:val="24"/>
      <w:szCs w:val="20"/>
    </w:rPr>
  </w:style>
  <w:style w:type="paragraph" w:styleId="15">
    <w:name w:val="Document Map"/>
    <w:basedOn w:val="1"/>
    <w:link w:val="88"/>
    <w:semiHidden/>
    <w:qFormat/>
    <w:uiPriority w:val="99"/>
    <w:pPr>
      <w:shd w:val="clear" w:color="auto" w:fill="000080"/>
    </w:pPr>
  </w:style>
  <w:style w:type="paragraph" w:styleId="16">
    <w:name w:val="annotation text"/>
    <w:basedOn w:val="1"/>
    <w:link w:val="75"/>
    <w:qFormat/>
    <w:uiPriority w:val="99"/>
    <w:pPr>
      <w:jc w:val="left"/>
    </w:pPr>
  </w:style>
  <w:style w:type="paragraph" w:styleId="17">
    <w:name w:val="Salutation"/>
    <w:basedOn w:val="1"/>
    <w:next w:val="1"/>
    <w:link w:val="81"/>
    <w:qFormat/>
    <w:uiPriority w:val="99"/>
    <w:rPr>
      <w:sz w:val="28"/>
      <w:szCs w:val="20"/>
    </w:rPr>
  </w:style>
  <w:style w:type="paragraph" w:styleId="18">
    <w:name w:val="Body Text 3"/>
    <w:basedOn w:val="1"/>
    <w:link w:val="74"/>
    <w:qFormat/>
    <w:uiPriority w:val="99"/>
    <w:pPr>
      <w:spacing w:line="360" w:lineRule="auto"/>
    </w:pPr>
    <w:rPr>
      <w:sz w:val="24"/>
    </w:rPr>
  </w:style>
  <w:style w:type="paragraph" w:styleId="19">
    <w:name w:val="Body Text"/>
    <w:basedOn w:val="1"/>
    <w:link w:val="83"/>
    <w:qFormat/>
    <w:uiPriority w:val="99"/>
    <w:pPr>
      <w:spacing w:line="460" w:lineRule="exact"/>
    </w:pPr>
    <w:rPr>
      <w:sz w:val="28"/>
      <w:szCs w:val="28"/>
    </w:rPr>
  </w:style>
  <w:style w:type="paragraph" w:styleId="20">
    <w:name w:val="Body Text Indent"/>
    <w:basedOn w:val="1"/>
    <w:next w:val="21"/>
    <w:link w:val="79"/>
    <w:qFormat/>
    <w:uiPriority w:val="99"/>
    <w:pPr>
      <w:widowControl/>
      <w:autoSpaceDE w:val="0"/>
      <w:autoSpaceDN w:val="0"/>
      <w:spacing w:line="360" w:lineRule="auto"/>
      <w:ind w:firstLine="570"/>
      <w:textAlignment w:val="bottom"/>
    </w:pPr>
    <w:rPr>
      <w:rFonts w:ascii="宋体"/>
      <w:sz w:val="24"/>
      <w:szCs w:val="20"/>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topLinePunct/>
      <w:spacing w:line="360" w:lineRule="auto"/>
      <w:ind w:left="340" w:right="113" w:firstLine="425"/>
    </w:pPr>
    <w:rPr>
      <w:rFonts w:ascii="宋体" w:hAnsi="宋体"/>
      <w:sz w:val="24"/>
    </w:rPr>
  </w:style>
  <w:style w:type="paragraph" w:styleId="23">
    <w:name w:val="toc 5"/>
    <w:basedOn w:val="1"/>
    <w:next w:val="1"/>
    <w:qFormat/>
    <w:uiPriority w:val="99"/>
    <w:pPr>
      <w:adjustRightInd w:val="0"/>
      <w:ind w:left="960" w:firstLine="198"/>
      <w:jc w:val="left"/>
      <w:textAlignment w:val="baseline"/>
    </w:pPr>
    <w:rPr>
      <w:sz w:val="18"/>
      <w:szCs w:val="20"/>
    </w:rPr>
  </w:style>
  <w:style w:type="paragraph" w:styleId="24">
    <w:name w:val="toc 3"/>
    <w:basedOn w:val="1"/>
    <w:next w:val="1"/>
    <w:qFormat/>
    <w:uiPriority w:val="39"/>
    <w:pPr>
      <w:ind w:left="840" w:leftChars="400"/>
    </w:pPr>
  </w:style>
  <w:style w:type="paragraph" w:styleId="25">
    <w:name w:val="Plain Text"/>
    <w:basedOn w:val="1"/>
    <w:link w:val="73"/>
    <w:qFormat/>
    <w:uiPriority w:val="99"/>
    <w:rPr>
      <w:rFonts w:ascii="宋体" w:hAnsi="Courier New"/>
      <w:szCs w:val="20"/>
    </w:rPr>
  </w:style>
  <w:style w:type="paragraph" w:styleId="26">
    <w:name w:val="toc 8"/>
    <w:basedOn w:val="1"/>
    <w:next w:val="1"/>
    <w:qFormat/>
    <w:uiPriority w:val="99"/>
    <w:pPr>
      <w:adjustRightInd w:val="0"/>
      <w:ind w:left="1680" w:firstLine="198"/>
      <w:jc w:val="left"/>
      <w:textAlignment w:val="baseline"/>
    </w:pPr>
    <w:rPr>
      <w:sz w:val="18"/>
      <w:szCs w:val="20"/>
    </w:rPr>
  </w:style>
  <w:style w:type="paragraph" w:styleId="27">
    <w:name w:val="Date"/>
    <w:basedOn w:val="1"/>
    <w:next w:val="1"/>
    <w:link w:val="78"/>
    <w:qFormat/>
    <w:uiPriority w:val="99"/>
    <w:pPr>
      <w:ind w:left="100" w:leftChars="2500"/>
    </w:pPr>
  </w:style>
  <w:style w:type="paragraph" w:styleId="28">
    <w:name w:val="Body Text Indent 2"/>
    <w:basedOn w:val="1"/>
    <w:link w:val="80"/>
    <w:qFormat/>
    <w:uiPriority w:val="99"/>
    <w:pPr>
      <w:ind w:left="360" w:firstLine="540"/>
    </w:pPr>
    <w:rPr>
      <w:rFonts w:ascii="宋体"/>
      <w:spacing w:val="20"/>
      <w:szCs w:val="20"/>
    </w:rPr>
  </w:style>
  <w:style w:type="paragraph" w:styleId="29">
    <w:name w:val="Balloon Text"/>
    <w:basedOn w:val="1"/>
    <w:link w:val="87"/>
    <w:qFormat/>
    <w:uiPriority w:val="99"/>
    <w:rPr>
      <w:rFonts w:ascii="Calibri" w:hAnsi="Calibri"/>
      <w:sz w:val="18"/>
      <w:szCs w:val="20"/>
    </w:rPr>
  </w:style>
  <w:style w:type="paragraph" w:styleId="30">
    <w:name w:val="footer"/>
    <w:basedOn w:val="1"/>
    <w:link w:val="53"/>
    <w:unhideWhenUsed/>
    <w:qFormat/>
    <w:uiPriority w:val="99"/>
    <w:pPr>
      <w:tabs>
        <w:tab w:val="center" w:pos="4153"/>
        <w:tab w:val="right" w:pos="8306"/>
      </w:tabs>
      <w:snapToGrid w:val="0"/>
      <w:jc w:val="left"/>
    </w:pPr>
    <w:rPr>
      <w:sz w:val="18"/>
      <w:szCs w:val="18"/>
    </w:rPr>
  </w:style>
  <w:style w:type="paragraph" w:styleId="31">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99"/>
    <w:pPr>
      <w:ind w:left="1260" w:leftChars="600"/>
    </w:pPr>
  </w:style>
  <w:style w:type="paragraph" w:styleId="34">
    <w:name w:val="footnote text"/>
    <w:basedOn w:val="1"/>
    <w:link w:val="89"/>
    <w:qFormat/>
    <w:uiPriority w:val="99"/>
    <w:pPr>
      <w:snapToGrid w:val="0"/>
      <w:jc w:val="left"/>
    </w:pPr>
    <w:rPr>
      <w:sz w:val="18"/>
      <w:szCs w:val="18"/>
    </w:rPr>
  </w:style>
  <w:style w:type="paragraph" w:styleId="35">
    <w:name w:val="toc 6"/>
    <w:basedOn w:val="1"/>
    <w:next w:val="1"/>
    <w:qFormat/>
    <w:uiPriority w:val="99"/>
    <w:pPr>
      <w:adjustRightInd w:val="0"/>
      <w:ind w:left="1200" w:firstLine="198"/>
      <w:jc w:val="left"/>
      <w:textAlignment w:val="baseline"/>
    </w:pPr>
    <w:rPr>
      <w:sz w:val="18"/>
      <w:szCs w:val="20"/>
    </w:rPr>
  </w:style>
  <w:style w:type="paragraph" w:styleId="36">
    <w:name w:val="Body Text Indent 3"/>
    <w:basedOn w:val="1"/>
    <w:link w:val="90"/>
    <w:qFormat/>
    <w:uiPriority w:val="99"/>
    <w:pPr>
      <w:tabs>
        <w:tab w:val="left" w:pos="945"/>
      </w:tabs>
      <w:ind w:left="1155"/>
    </w:pPr>
    <w:rPr>
      <w:sz w:val="28"/>
      <w:szCs w:val="20"/>
    </w:rPr>
  </w:style>
  <w:style w:type="paragraph" w:styleId="37">
    <w:name w:val="toc 2"/>
    <w:basedOn w:val="1"/>
    <w:next w:val="1"/>
    <w:qFormat/>
    <w:uiPriority w:val="39"/>
    <w:pPr>
      <w:ind w:left="420" w:leftChars="200"/>
    </w:pPr>
  </w:style>
  <w:style w:type="paragraph" w:styleId="38">
    <w:name w:val="toc 9"/>
    <w:basedOn w:val="1"/>
    <w:next w:val="1"/>
    <w:qFormat/>
    <w:uiPriority w:val="99"/>
    <w:pPr>
      <w:adjustRightInd w:val="0"/>
      <w:ind w:left="1920" w:firstLine="198"/>
      <w:jc w:val="left"/>
      <w:textAlignment w:val="baseline"/>
    </w:pPr>
    <w:rPr>
      <w:sz w:val="18"/>
      <w:szCs w:val="20"/>
    </w:rPr>
  </w:style>
  <w:style w:type="paragraph" w:styleId="39">
    <w:name w:val="Body Text 2"/>
    <w:basedOn w:val="1"/>
    <w:link w:val="86"/>
    <w:qFormat/>
    <w:uiPriority w:val="99"/>
    <w:pPr>
      <w:spacing w:after="120" w:line="480" w:lineRule="auto"/>
    </w:pPr>
  </w:style>
  <w:style w:type="paragraph" w:styleId="40">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41">
    <w:name w:val="annotation subject"/>
    <w:basedOn w:val="16"/>
    <w:next w:val="16"/>
    <w:link w:val="84"/>
    <w:qFormat/>
    <w:uiPriority w:val="99"/>
    <w:rPr>
      <w:b/>
      <w:bCs/>
    </w:rPr>
  </w:style>
  <w:style w:type="paragraph" w:styleId="42">
    <w:name w:val="Body Text First Indent"/>
    <w:basedOn w:val="19"/>
    <w:link w:val="85"/>
    <w:qFormat/>
    <w:uiPriority w:val="99"/>
    <w:pPr>
      <w:spacing w:after="120" w:line="240" w:lineRule="auto"/>
      <w:ind w:firstLine="420" w:firstLineChars="100"/>
    </w:pPr>
    <w:rPr>
      <w:sz w:val="21"/>
      <w:szCs w:val="24"/>
    </w:rPr>
  </w:style>
  <w:style w:type="paragraph" w:styleId="43">
    <w:name w:val="Body Text First Indent 2"/>
    <w:basedOn w:val="20"/>
    <w:unhideWhenUsed/>
    <w:qFormat/>
    <w:uiPriority w:val="99"/>
    <w:pPr>
      <w:ind w:firstLine="420" w:firstLineChars="200"/>
    </w:pPr>
  </w:style>
  <w:style w:type="character" w:styleId="46">
    <w:name w:val="Strong"/>
    <w:basedOn w:val="45"/>
    <w:qFormat/>
    <w:uiPriority w:val="99"/>
    <w:rPr>
      <w:rFonts w:cs="Times New Roman"/>
      <w:b/>
      <w:bCs/>
    </w:rPr>
  </w:style>
  <w:style w:type="character" w:styleId="47">
    <w:name w:val="page number"/>
    <w:basedOn w:val="45"/>
    <w:qFormat/>
    <w:uiPriority w:val="99"/>
    <w:rPr>
      <w:rFonts w:cs="Times New Roman"/>
    </w:rPr>
  </w:style>
  <w:style w:type="character" w:styleId="48">
    <w:name w:val="FollowedHyperlink"/>
    <w:basedOn w:val="45"/>
    <w:qFormat/>
    <w:uiPriority w:val="99"/>
    <w:rPr>
      <w:rFonts w:cs="Times New Roman"/>
      <w:color w:val="800080"/>
      <w:u w:val="single"/>
    </w:rPr>
  </w:style>
  <w:style w:type="character" w:styleId="49">
    <w:name w:val="Hyperlink"/>
    <w:basedOn w:val="45"/>
    <w:qFormat/>
    <w:uiPriority w:val="99"/>
    <w:rPr>
      <w:rFonts w:cs="Times New Roman"/>
      <w:color w:val="0000FF"/>
      <w:u w:val="single"/>
    </w:rPr>
  </w:style>
  <w:style w:type="character" w:styleId="50">
    <w:name w:val="annotation reference"/>
    <w:basedOn w:val="45"/>
    <w:qFormat/>
    <w:uiPriority w:val="99"/>
    <w:rPr>
      <w:rFonts w:cs="Times New Roman"/>
      <w:sz w:val="21"/>
    </w:rPr>
  </w:style>
  <w:style w:type="character" w:styleId="51">
    <w:name w:val="footnote reference"/>
    <w:basedOn w:val="45"/>
    <w:qFormat/>
    <w:uiPriority w:val="99"/>
    <w:rPr>
      <w:rFonts w:cs="Times New Roman"/>
      <w:vertAlign w:val="superscript"/>
    </w:rPr>
  </w:style>
  <w:style w:type="character" w:customStyle="1" w:styleId="52">
    <w:name w:val="页眉 字符"/>
    <w:basedOn w:val="45"/>
    <w:link w:val="31"/>
    <w:semiHidden/>
    <w:qFormat/>
    <w:uiPriority w:val="99"/>
    <w:rPr>
      <w:sz w:val="18"/>
      <w:szCs w:val="18"/>
    </w:rPr>
  </w:style>
  <w:style w:type="character" w:customStyle="1" w:styleId="53">
    <w:name w:val="页脚 字符"/>
    <w:basedOn w:val="45"/>
    <w:link w:val="30"/>
    <w:semiHidden/>
    <w:qFormat/>
    <w:uiPriority w:val="99"/>
    <w:rPr>
      <w:sz w:val="18"/>
      <w:szCs w:val="18"/>
    </w:rPr>
  </w:style>
  <w:style w:type="character" w:customStyle="1" w:styleId="54">
    <w:name w:val="标题 1 字符"/>
    <w:basedOn w:val="45"/>
    <w:link w:val="3"/>
    <w:qFormat/>
    <w:uiPriority w:val="99"/>
    <w:rPr>
      <w:rFonts w:ascii="Times New Roman" w:hAnsi="Times New Roman" w:eastAsia="宋体" w:cs="Times New Roman"/>
      <w:szCs w:val="24"/>
    </w:rPr>
  </w:style>
  <w:style w:type="character" w:customStyle="1" w:styleId="55">
    <w:name w:val="标题 2 字符"/>
    <w:basedOn w:val="45"/>
    <w:link w:val="4"/>
    <w:qFormat/>
    <w:uiPriority w:val="99"/>
    <w:rPr>
      <w:rFonts w:ascii="Arial" w:hAnsi="Arial" w:eastAsia="黑体" w:cs="Times New Roman"/>
      <w:b/>
      <w:bCs/>
      <w:sz w:val="32"/>
      <w:szCs w:val="32"/>
    </w:rPr>
  </w:style>
  <w:style w:type="character" w:customStyle="1" w:styleId="56">
    <w:name w:val="标题 3 Char"/>
    <w:basedOn w:val="45"/>
    <w:qFormat/>
    <w:uiPriority w:val="99"/>
    <w:rPr>
      <w:rFonts w:ascii="Times New Roman" w:hAnsi="Times New Roman" w:eastAsia="宋体" w:cs="Times New Roman"/>
      <w:b/>
      <w:bCs/>
      <w:sz w:val="32"/>
      <w:szCs w:val="32"/>
    </w:rPr>
  </w:style>
  <w:style w:type="character" w:customStyle="1" w:styleId="57">
    <w:name w:val="标题 4 字符"/>
    <w:basedOn w:val="45"/>
    <w:link w:val="6"/>
    <w:qFormat/>
    <w:uiPriority w:val="99"/>
    <w:rPr>
      <w:rFonts w:ascii="Arial" w:hAnsi="Arial" w:eastAsia="黑体" w:cs="Times New Roman"/>
      <w:b/>
      <w:bCs/>
      <w:sz w:val="28"/>
      <w:szCs w:val="28"/>
    </w:rPr>
  </w:style>
  <w:style w:type="character" w:customStyle="1" w:styleId="58">
    <w:name w:val="标题 5 字符"/>
    <w:basedOn w:val="45"/>
    <w:link w:val="7"/>
    <w:qFormat/>
    <w:uiPriority w:val="99"/>
    <w:rPr>
      <w:rFonts w:ascii="Times New Roman" w:hAnsi="Times New Roman" w:eastAsia="宋体" w:cs="Times New Roman"/>
      <w:b/>
      <w:bCs/>
      <w:sz w:val="28"/>
      <w:szCs w:val="28"/>
    </w:rPr>
  </w:style>
  <w:style w:type="character" w:customStyle="1" w:styleId="59">
    <w:name w:val="标题 6 字符"/>
    <w:basedOn w:val="45"/>
    <w:link w:val="8"/>
    <w:qFormat/>
    <w:uiPriority w:val="99"/>
    <w:rPr>
      <w:rFonts w:ascii="Arial" w:hAnsi="Arial" w:eastAsia="黑体" w:cs="Times New Roman"/>
      <w:b/>
      <w:bCs/>
      <w:sz w:val="24"/>
      <w:szCs w:val="24"/>
    </w:rPr>
  </w:style>
  <w:style w:type="character" w:customStyle="1" w:styleId="60">
    <w:name w:val="标题 7 字符"/>
    <w:basedOn w:val="45"/>
    <w:link w:val="9"/>
    <w:qFormat/>
    <w:uiPriority w:val="99"/>
    <w:rPr>
      <w:rFonts w:ascii="Times New Roman" w:hAnsi="Times New Roman" w:eastAsia="宋体" w:cs="Times New Roman"/>
      <w:b/>
      <w:bCs/>
      <w:sz w:val="24"/>
      <w:szCs w:val="24"/>
    </w:rPr>
  </w:style>
  <w:style w:type="character" w:customStyle="1" w:styleId="61">
    <w:name w:val="标题 8 字符"/>
    <w:basedOn w:val="45"/>
    <w:link w:val="10"/>
    <w:qFormat/>
    <w:uiPriority w:val="99"/>
    <w:rPr>
      <w:rFonts w:ascii="Arial" w:hAnsi="Arial" w:eastAsia="黑体" w:cs="Times New Roman"/>
      <w:sz w:val="24"/>
      <w:szCs w:val="24"/>
    </w:rPr>
  </w:style>
  <w:style w:type="character" w:customStyle="1" w:styleId="62">
    <w:name w:val="标题 9 字符"/>
    <w:basedOn w:val="45"/>
    <w:link w:val="11"/>
    <w:qFormat/>
    <w:uiPriority w:val="99"/>
    <w:rPr>
      <w:rFonts w:ascii="Arial" w:hAnsi="Arial" w:eastAsia="黑体" w:cs="Times New Roman"/>
      <w:szCs w:val="21"/>
    </w:rPr>
  </w:style>
  <w:style w:type="character" w:customStyle="1" w:styleId="63">
    <w:name w:val="标题 3 字符"/>
    <w:basedOn w:val="45"/>
    <w:link w:val="5"/>
    <w:qFormat/>
    <w:locked/>
    <w:uiPriority w:val="99"/>
    <w:rPr>
      <w:rFonts w:ascii="Times New Roman" w:hAnsi="Times New Roman" w:eastAsia="宋体" w:cs="Times New Roman"/>
      <w:b/>
      <w:bCs/>
      <w:sz w:val="32"/>
      <w:szCs w:val="32"/>
    </w:rPr>
  </w:style>
  <w:style w:type="character" w:customStyle="1" w:styleId="64">
    <w:name w:val="普通文字 Char Char"/>
    <w:basedOn w:val="45"/>
    <w:qFormat/>
    <w:uiPriority w:val="99"/>
    <w:rPr>
      <w:rFonts w:ascii="宋体" w:hAnsi="Courier New" w:eastAsia="宋体" w:cs="Courier New"/>
      <w:kern w:val="2"/>
      <w:sz w:val="21"/>
      <w:szCs w:val="21"/>
      <w:lang w:val="en-US" w:eastAsia="zh-CN" w:bidi="ar-SA"/>
    </w:rPr>
  </w:style>
  <w:style w:type="character" w:customStyle="1" w:styleId="65">
    <w:name w:val="样式 Arial 四号 黑色"/>
    <w:basedOn w:val="45"/>
    <w:qFormat/>
    <w:uiPriority w:val="99"/>
    <w:rPr>
      <w:rFonts w:ascii="Arial" w:hAnsi="Arial" w:cs="Times New Roman"/>
      <w:color w:val="000000"/>
      <w:sz w:val="24"/>
    </w:rPr>
  </w:style>
  <w:style w:type="character" w:customStyle="1" w:styleId="66">
    <w:name w:val="样式 标题 3 + 宋体 Char"/>
    <w:basedOn w:val="56"/>
    <w:qFormat/>
    <w:uiPriority w:val="99"/>
    <w:rPr>
      <w:rFonts w:ascii="宋体" w:hAnsi="宋体" w:eastAsia="宋体" w:cs="Times New Roman"/>
      <w:snapToGrid w:val="0"/>
      <w:sz w:val="32"/>
      <w:szCs w:val="32"/>
      <w:lang w:val="en-US" w:eastAsia="zh-CN" w:bidi="ar-SA"/>
    </w:rPr>
  </w:style>
  <w:style w:type="character" w:customStyle="1" w:styleId="67">
    <w:name w:val="普通文字 Char Char Char"/>
    <w:basedOn w:val="45"/>
    <w:qFormat/>
    <w:uiPriority w:val="99"/>
    <w:rPr>
      <w:rFonts w:ascii="宋体" w:hAnsi="Courier New" w:eastAsia="宋体" w:cs="Courier New"/>
      <w:kern w:val="2"/>
      <w:sz w:val="21"/>
      <w:szCs w:val="21"/>
      <w:lang w:val="en-US" w:eastAsia="zh-CN" w:bidi="ar-SA"/>
    </w:rPr>
  </w:style>
  <w:style w:type="character" w:customStyle="1" w:styleId="68">
    <w:name w:val="Balloon Text Char"/>
    <w:qFormat/>
    <w:locked/>
    <w:uiPriority w:val="99"/>
    <w:rPr>
      <w:rFonts w:ascii="Calibri" w:hAnsi="Calibri" w:eastAsia="宋体"/>
      <w:kern w:val="2"/>
      <w:sz w:val="18"/>
      <w:lang w:val="en-US" w:eastAsia="zh-CN"/>
    </w:rPr>
  </w:style>
  <w:style w:type="character" w:customStyle="1" w:styleId="69">
    <w:name w:val="style121"/>
    <w:basedOn w:val="45"/>
    <w:qFormat/>
    <w:uiPriority w:val="99"/>
    <w:rPr>
      <w:rFonts w:cs="Times New Roman"/>
      <w:sz w:val="20"/>
      <w:szCs w:val="20"/>
    </w:rPr>
  </w:style>
  <w:style w:type="character" w:customStyle="1" w:styleId="70">
    <w:name w:val="标题3 Char Char"/>
    <w:link w:val="71"/>
    <w:qFormat/>
    <w:locked/>
    <w:uiPriority w:val="99"/>
    <w:rPr>
      <w:rFonts w:eastAsia="宋体"/>
      <w:sz w:val="24"/>
    </w:rPr>
  </w:style>
  <w:style w:type="paragraph" w:customStyle="1" w:styleId="71">
    <w:name w:val="标题3"/>
    <w:basedOn w:val="1"/>
    <w:link w:val="70"/>
    <w:qFormat/>
    <w:uiPriority w:val="99"/>
    <w:pPr>
      <w:spacing w:line="400" w:lineRule="exact"/>
    </w:pPr>
    <w:rPr>
      <w:rFonts w:asciiTheme="minorHAnsi" w:hAnsiTheme="minorHAnsi" w:cstheme="minorBidi"/>
      <w:sz w:val="24"/>
      <w:szCs w:val="22"/>
    </w:rPr>
  </w:style>
  <w:style w:type="character" w:customStyle="1" w:styleId="72">
    <w:name w:val="Plain Text Char"/>
    <w:qFormat/>
    <w:locked/>
    <w:uiPriority w:val="99"/>
    <w:rPr>
      <w:rFonts w:ascii="宋体" w:hAnsi="Courier New" w:eastAsia="宋体"/>
      <w:kern w:val="2"/>
      <w:sz w:val="21"/>
      <w:lang w:val="en-US" w:eastAsia="zh-CN"/>
    </w:rPr>
  </w:style>
  <w:style w:type="character" w:customStyle="1" w:styleId="73">
    <w:name w:val="纯文本 字符"/>
    <w:basedOn w:val="45"/>
    <w:link w:val="25"/>
    <w:qFormat/>
    <w:uiPriority w:val="99"/>
    <w:rPr>
      <w:rFonts w:ascii="宋体" w:hAnsi="Courier New" w:eastAsia="宋体" w:cs="Times New Roman"/>
      <w:szCs w:val="20"/>
    </w:rPr>
  </w:style>
  <w:style w:type="character" w:customStyle="1" w:styleId="74">
    <w:name w:val="正文文本 3 字符"/>
    <w:basedOn w:val="45"/>
    <w:link w:val="18"/>
    <w:qFormat/>
    <w:uiPriority w:val="99"/>
    <w:rPr>
      <w:rFonts w:ascii="Times New Roman" w:hAnsi="Times New Roman" w:eastAsia="宋体" w:cs="Times New Roman"/>
      <w:sz w:val="24"/>
      <w:szCs w:val="24"/>
    </w:rPr>
  </w:style>
  <w:style w:type="character" w:customStyle="1" w:styleId="75">
    <w:name w:val="批注文字 字符"/>
    <w:basedOn w:val="45"/>
    <w:link w:val="16"/>
    <w:qFormat/>
    <w:uiPriority w:val="99"/>
    <w:rPr>
      <w:rFonts w:ascii="Times New Roman" w:hAnsi="Times New Roman" w:eastAsia="宋体" w:cs="Times New Roman"/>
      <w:szCs w:val="24"/>
    </w:rPr>
  </w:style>
  <w:style w:type="paragraph" w:customStyle="1" w:styleId="76">
    <w:name w:val="Char Char1 Char Char Char Char Char Char"/>
    <w:basedOn w:val="1"/>
    <w:qFormat/>
    <w:uiPriority w:val="99"/>
    <w:pPr>
      <w:widowControl/>
      <w:spacing w:after="160" w:line="240" w:lineRule="exact"/>
      <w:jc w:val="left"/>
    </w:pPr>
  </w:style>
  <w:style w:type="paragraph" w:customStyle="1" w:styleId="77">
    <w:name w:val="xl57"/>
    <w:basedOn w:val="1"/>
    <w:qFormat/>
    <w:uiPriority w:val="99"/>
    <w:pPr>
      <w:widowControl/>
      <w:pBdr>
        <w:top w:val="single" w:color="auto" w:sz="4" w:space="0"/>
        <w:left w:val="single" w:color="auto" w:sz="4" w:space="0"/>
        <w:right w:val="single" w:color="auto" w:sz="4" w:space="0"/>
      </w:pBdr>
      <w:spacing w:before="100" w:after="100"/>
      <w:jc w:val="center"/>
      <w:textAlignment w:val="center"/>
    </w:pPr>
    <w:rPr>
      <w:rFonts w:ascii="宋体" w:hAnsi="宋体"/>
      <w:kern w:val="0"/>
      <w:sz w:val="20"/>
    </w:rPr>
  </w:style>
  <w:style w:type="character" w:customStyle="1" w:styleId="78">
    <w:name w:val="日期 字符"/>
    <w:basedOn w:val="45"/>
    <w:link w:val="27"/>
    <w:qFormat/>
    <w:uiPriority w:val="99"/>
    <w:rPr>
      <w:rFonts w:ascii="Times New Roman" w:hAnsi="Times New Roman" w:eastAsia="宋体" w:cs="Times New Roman"/>
      <w:szCs w:val="24"/>
    </w:rPr>
  </w:style>
  <w:style w:type="character" w:customStyle="1" w:styleId="79">
    <w:name w:val="正文文本缩进 字符"/>
    <w:basedOn w:val="45"/>
    <w:link w:val="20"/>
    <w:qFormat/>
    <w:uiPriority w:val="99"/>
    <w:rPr>
      <w:rFonts w:ascii="宋体" w:hAnsi="Times New Roman" w:eastAsia="宋体" w:cs="Times New Roman"/>
      <w:sz w:val="24"/>
      <w:szCs w:val="20"/>
    </w:rPr>
  </w:style>
  <w:style w:type="character" w:customStyle="1" w:styleId="80">
    <w:name w:val="正文文本缩进 2 字符"/>
    <w:basedOn w:val="45"/>
    <w:link w:val="28"/>
    <w:qFormat/>
    <w:uiPriority w:val="99"/>
    <w:rPr>
      <w:rFonts w:ascii="宋体" w:hAnsi="Times New Roman" w:eastAsia="宋体" w:cs="Times New Roman"/>
      <w:spacing w:val="20"/>
      <w:szCs w:val="20"/>
    </w:rPr>
  </w:style>
  <w:style w:type="character" w:customStyle="1" w:styleId="81">
    <w:name w:val="称呼 字符"/>
    <w:basedOn w:val="45"/>
    <w:link w:val="17"/>
    <w:qFormat/>
    <w:uiPriority w:val="99"/>
    <w:rPr>
      <w:rFonts w:ascii="Times New Roman" w:hAnsi="Times New Roman" w:eastAsia="宋体" w:cs="Times New Roman"/>
      <w:sz w:val="28"/>
      <w:szCs w:val="20"/>
    </w:rPr>
  </w:style>
  <w:style w:type="paragraph" w:customStyle="1" w:styleId="82">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83">
    <w:name w:val="正文文本 字符"/>
    <w:basedOn w:val="45"/>
    <w:link w:val="19"/>
    <w:qFormat/>
    <w:uiPriority w:val="99"/>
    <w:rPr>
      <w:rFonts w:ascii="Times New Roman" w:hAnsi="Times New Roman" w:eastAsia="宋体" w:cs="Times New Roman"/>
      <w:sz w:val="28"/>
      <w:szCs w:val="28"/>
    </w:rPr>
  </w:style>
  <w:style w:type="character" w:customStyle="1" w:styleId="84">
    <w:name w:val="批注主题 字符"/>
    <w:basedOn w:val="75"/>
    <w:link w:val="41"/>
    <w:qFormat/>
    <w:uiPriority w:val="99"/>
    <w:rPr>
      <w:rFonts w:ascii="Times New Roman" w:hAnsi="Times New Roman" w:eastAsia="宋体" w:cs="Times New Roman"/>
      <w:b/>
      <w:bCs/>
      <w:szCs w:val="24"/>
    </w:rPr>
  </w:style>
  <w:style w:type="character" w:customStyle="1" w:styleId="85">
    <w:name w:val="正文文本首行缩进 字符"/>
    <w:basedOn w:val="83"/>
    <w:link w:val="42"/>
    <w:qFormat/>
    <w:uiPriority w:val="99"/>
    <w:rPr>
      <w:rFonts w:ascii="Times New Roman" w:hAnsi="Times New Roman" w:eastAsia="宋体" w:cs="Times New Roman"/>
      <w:sz w:val="28"/>
      <w:szCs w:val="24"/>
    </w:rPr>
  </w:style>
  <w:style w:type="character" w:customStyle="1" w:styleId="86">
    <w:name w:val="正文文本 2 字符"/>
    <w:basedOn w:val="45"/>
    <w:link w:val="39"/>
    <w:qFormat/>
    <w:uiPriority w:val="99"/>
    <w:rPr>
      <w:rFonts w:ascii="Times New Roman" w:hAnsi="Times New Roman" w:eastAsia="宋体" w:cs="Times New Roman"/>
      <w:szCs w:val="24"/>
    </w:rPr>
  </w:style>
  <w:style w:type="character" w:customStyle="1" w:styleId="87">
    <w:name w:val="批注框文本 字符"/>
    <w:basedOn w:val="45"/>
    <w:link w:val="29"/>
    <w:qFormat/>
    <w:uiPriority w:val="99"/>
    <w:rPr>
      <w:rFonts w:ascii="Calibri" w:hAnsi="Calibri" w:eastAsia="宋体" w:cs="Times New Roman"/>
      <w:sz w:val="18"/>
      <w:szCs w:val="20"/>
    </w:rPr>
  </w:style>
  <w:style w:type="character" w:customStyle="1" w:styleId="88">
    <w:name w:val="文档结构图 字符"/>
    <w:basedOn w:val="45"/>
    <w:link w:val="15"/>
    <w:semiHidden/>
    <w:qFormat/>
    <w:uiPriority w:val="99"/>
    <w:rPr>
      <w:rFonts w:ascii="Times New Roman" w:hAnsi="Times New Roman" w:eastAsia="宋体" w:cs="Times New Roman"/>
      <w:szCs w:val="24"/>
      <w:shd w:val="clear" w:color="auto" w:fill="000080"/>
    </w:rPr>
  </w:style>
  <w:style w:type="character" w:customStyle="1" w:styleId="89">
    <w:name w:val="脚注文本 字符"/>
    <w:basedOn w:val="45"/>
    <w:link w:val="34"/>
    <w:qFormat/>
    <w:uiPriority w:val="99"/>
    <w:rPr>
      <w:rFonts w:ascii="Times New Roman" w:hAnsi="Times New Roman" w:eastAsia="宋体" w:cs="Times New Roman"/>
      <w:sz w:val="18"/>
      <w:szCs w:val="18"/>
    </w:rPr>
  </w:style>
  <w:style w:type="character" w:customStyle="1" w:styleId="90">
    <w:name w:val="正文文本缩进 3 字符"/>
    <w:basedOn w:val="45"/>
    <w:link w:val="36"/>
    <w:qFormat/>
    <w:uiPriority w:val="99"/>
    <w:rPr>
      <w:rFonts w:ascii="Times New Roman" w:hAnsi="Times New Roman" w:eastAsia="宋体" w:cs="Times New Roman"/>
      <w:sz w:val="28"/>
      <w:szCs w:val="20"/>
    </w:rPr>
  </w:style>
  <w:style w:type="paragraph" w:customStyle="1" w:styleId="91">
    <w:name w:val="样式1"/>
    <w:basedOn w:val="1"/>
    <w:next w:val="6"/>
    <w:qFormat/>
    <w:uiPriority w:val="99"/>
    <w:pPr>
      <w:spacing w:line="360" w:lineRule="auto"/>
      <w:ind w:firstLine="420" w:firstLineChars="200"/>
    </w:pPr>
    <w:rPr>
      <w:rFonts w:ascii="宋体" w:hAnsi="宋体"/>
      <w:szCs w:val="21"/>
    </w:rPr>
  </w:style>
  <w:style w:type="paragraph" w:customStyle="1" w:styleId="9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93">
    <w:name w:val="xl3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黑体"/>
      <w:kern w:val="0"/>
      <w:sz w:val="24"/>
    </w:rPr>
  </w:style>
  <w:style w:type="paragraph" w:customStyle="1" w:styleId="94">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95">
    <w:name w:val="xl48"/>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黑体"/>
      <w:kern w:val="0"/>
      <w:sz w:val="24"/>
    </w:rPr>
  </w:style>
  <w:style w:type="paragraph" w:customStyle="1" w:styleId="96">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97">
    <w:name w:val="Char2"/>
    <w:basedOn w:val="1"/>
    <w:qFormat/>
    <w:uiPriority w:val="99"/>
    <w:pPr>
      <w:spacing w:line="360" w:lineRule="auto"/>
      <w:ind w:left="420" w:firstLine="420"/>
    </w:pPr>
    <w:rPr>
      <w:kern w:val="0"/>
      <w:sz w:val="24"/>
      <w:szCs w:val="21"/>
    </w:rPr>
  </w:style>
  <w:style w:type="paragraph" w:customStyle="1" w:styleId="9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 w:hAnsi="??" w:cs="黑体"/>
      <w:color w:val="333333"/>
      <w:kern w:val="0"/>
      <w:sz w:val="20"/>
      <w:szCs w:val="20"/>
    </w:rPr>
  </w:style>
  <w:style w:type="paragraph" w:customStyle="1" w:styleId="99">
    <w:name w:val="xl31"/>
    <w:basedOn w:val="1"/>
    <w:qFormat/>
    <w:uiPriority w:val="99"/>
    <w:pPr>
      <w:widowControl/>
      <w:pBdr>
        <w:top w:val="single" w:color="auto" w:sz="4" w:space="0"/>
      </w:pBdr>
      <w:spacing w:before="100" w:beforeAutospacing="1" w:after="100" w:afterAutospacing="1"/>
      <w:jc w:val="center"/>
    </w:pPr>
    <w:rPr>
      <w:color w:val="000000"/>
      <w:kern w:val="0"/>
      <w:sz w:val="20"/>
      <w:szCs w:val="20"/>
    </w:rPr>
  </w:style>
  <w:style w:type="paragraph" w:customStyle="1" w:styleId="100">
    <w:name w:val="font11"/>
    <w:basedOn w:val="1"/>
    <w:qFormat/>
    <w:uiPriority w:val="99"/>
    <w:pPr>
      <w:widowControl/>
      <w:spacing w:before="100" w:beforeAutospacing="1" w:after="100" w:afterAutospacing="1"/>
      <w:jc w:val="left"/>
    </w:pPr>
    <w:rPr>
      <w:rFonts w:ascii="宋体" w:hAnsi="宋体" w:cs="黑体"/>
      <w:color w:val="333333"/>
      <w:kern w:val="0"/>
      <w:sz w:val="20"/>
      <w:szCs w:val="20"/>
    </w:rPr>
  </w:style>
  <w:style w:type="paragraph" w:customStyle="1" w:styleId="101">
    <w:name w:val="xl22"/>
    <w:basedOn w:val="1"/>
    <w:qFormat/>
    <w:uiPriority w:val="99"/>
    <w:pPr>
      <w:widowControl/>
      <w:spacing w:before="100" w:beforeAutospacing="1" w:after="100" w:afterAutospacing="1"/>
    </w:pPr>
    <w:rPr>
      <w:kern w:val="0"/>
      <w:szCs w:val="21"/>
    </w:rPr>
  </w:style>
  <w:style w:type="paragraph" w:customStyle="1" w:styleId="102">
    <w:name w:val="样式2"/>
    <w:basedOn w:val="3"/>
    <w:qFormat/>
    <w:uiPriority w:val="99"/>
    <w:pPr>
      <w:keepNext/>
      <w:keepLines/>
      <w:tabs>
        <w:tab w:val="left" w:pos="1440"/>
      </w:tabs>
      <w:spacing w:beforeLines="100" w:afterLines="100" w:line="360" w:lineRule="auto"/>
    </w:pPr>
    <w:rPr>
      <w:rFonts w:ascii="宋体" w:hAnsi="宋体"/>
      <w:b/>
      <w:kern w:val="44"/>
      <w:sz w:val="24"/>
      <w:szCs w:val="20"/>
    </w:rPr>
  </w:style>
  <w:style w:type="paragraph" w:customStyle="1" w:styleId="103">
    <w:name w:val="样式 标题 2H2l2I2 + 宋体"/>
    <w:basedOn w:val="4"/>
    <w:qFormat/>
    <w:uiPriority w:val="99"/>
    <w:pPr>
      <w:widowControl/>
      <w:spacing w:before="180" w:after="120" w:line="360" w:lineRule="auto"/>
      <w:ind w:left="720" w:hanging="720"/>
      <w:jc w:val="left"/>
    </w:pPr>
    <w:rPr>
      <w:rFonts w:ascii="宋体" w:hAnsi="宋体" w:eastAsia="宋体"/>
      <w:bCs w:val="0"/>
      <w:kern w:val="0"/>
      <w:sz w:val="24"/>
      <w:szCs w:val="24"/>
    </w:rPr>
  </w:style>
  <w:style w:type="paragraph" w:customStyle="1" w:styleId="104">
    <w:name w:val="xl2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10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黑体"/>
      <w:color w:val="333333"/>
      <w:kern w:val="0"/>
      <w:sz w:val="20"/>
      <w:szCs w:val="20"/>
    </w:rPr>
  </w:style>
  <w:style w:type="paragraph" w:customStyle="1" w:styleId="106">
    <w:name w:val="样式5"/>
    <w:basedOn w:val="1"/>
    <w:qFormat/>
    <w:uiPriority w:val="99"/>
    <w:pPr>
      <w:tabs>
        <w:tab w:val="left" w:pos="1560"/>
      </w:tabs>
      <w:ind w:left="1560" w:hanging="720"/>
    </w:pPr>
  </w:style>
  <w:style w:type="paragraph" w:customStyle="1" w:styleId="107">
    <w:name w:val="标题1"/>
    <w:basedOn w:val="1"/>
    <w:qFormat/>
    <w:uiPriority w:val="99"/>
    <w:pPr>
      <w:jc w:val="center"/>
    </w:pPr>
    <w:rPr>
      <w:sz w:val="36"/>
      <w:szCs w:val="36"/>
    </w:rPr>
  </w:style>
  <w:style w:type="paragraph" w:customStyle="1" w:styleId="108">
    <w:name w:val="font7"/>
    <w:basedOn w:val="1"/>
    <w:qFormat/>
    <w:uiPriority w:val="99"/>
    <w:pPr>
      <w:widowControl/>
      <w:spacing w:before="100" w:beforeAutospacing="1" w:after="100" w:afterAutospacing="1"/>
      <w:jc w:val="left"/>
    </w:pPr>
    <w:rPr>
      <w:rFonts w:ascii="宋体" w:hAnsi="宋体" w:cs="黑体"/>
      <w:kern w:val="0"/>
      <w:sz w:val="18"/>
      <w:szCs w:val="18"/>
    </w:rPr>
  </w:style>
  <w:style w:type="paragraph" w:customStyle="1" w:styleId="109">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10">
    <w:name w:val="font10"/>
    <w:basedOn w:val="1"/>
    <w:qFormat/>
    <w:uiPriority w:val="99"/>
    <w:pPr>
      <w:widowControl/>
      <w:spacing w:before="100" w:beforeAutospacing="1" w:after="100" w:afterAutospacing="1"/>
      <w:jc w:val="left"/>
    </w:pPr>
    <w:rPr>
      <w:rFonts w:ascii="??" w:hAnsi="??" w:cs="黑体"/>
      <w:color w:val="333333"/>
      <w:kern w:val="0"/>
      <w:sz w:val="20"/>
      <w:szCs w:val="20"/>
    </w:rPr>
  </w:style>
  <w:style w:type="paragraph" w:customStyle="1" w:styleId="11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黑体"/>
      <w:color w:val="333333"/>
      <w:kern w:val="0"/>
      <w:sz w:val="20"/>
      <w:szCs w:val="20"/>
    </w:rPr>
  </w:style>
  <w:style w:type="paragraph" w:customStyle="1" w:styleId="112">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 w:hAnsi="??" w:cs="黑体"/>
      <w:color w:val="333333"/>
      <w:kern w:val="0"/>
      <w:sz w:val="20"/>
      <w:szCs w:val="20"/>
    </w:rPr>
  </w:style>
  <w:style w:type="paragraph" w:customStyle="1" w:styleId="113">
    <w:name w:val="样式8"/>
    <w:basedOn w:val="1"/>
    <w:qFormat/>
    <w:uiPriority w:val="99"/>
    <w:pPr>
      <w:spacing w:beforeLines="20"/>
      <w:ind w:firstLine="425"/>
    </w:pPr>
    <w:rPr>
      <w:sz w:val="24"/>
    </w:rPr>
  </w:style>
  <w:style w:type="paragraph" w:customStyle="1" w:styleId="114">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黑体"/>
      <w:kern w:val="0"/>
      <w:sz w:val="20"/>
      <w:szCs w:val="20"/>
    </w:rPr>
  </w:style>
  <w:style w:type="paragraph" w:customStyle="1" w:styleId="115">
    <w:name w:val="默认段落字体 Para Char Char Char Char"/>
    <w:basedOn w:val="1"/>
    <w:qFormat/>
    <w:uiPriority w:val="99"/>
    <w:pPr>
      <w:spacing w:line="240" w:lineRule="atLeast"/>
      <w:ind w:left="420" w:firstLine="420"/>
    </w:pPr>
    <w:rPr>
      <w:kern w:val="0"/>
      <w:szCs w:val="21"/>
    </w:rPr>
  </w:style>
  <w:style w:type="paragraph" w:customStyle="1" w:styleId="116">
    <w:name w:val="xl60"/>
    <w:basedOn w:val="1"/>
    <w:qFormat/>
    <w:uiPriority w:val="99"/>
    <w:pPr>
      <w:widowControl/>
      <w:pBdr>
        <w:top w:val="single" w:color="auto" w:sz="4" w:space="0"/>
      </w:pBdr>
      <w:spacing w:before="100" w:after="100"/>
      <w:jc w:val="center"/>
      <w:textAlignment w:val="center"/>
    </w:pPr>
    <w:rPr>
      <w:rFonts w:ascii="宋体" w:hAnsi="宋体"/>
      <w:kern w:val="0"/>
      <w:sz w:val="20"/>
    </w:rPr>
  </w:style>
  <w:style w:type="paragraph" w:customStyle="1" w:styleId="117">
    <w:name w:val="Char Char1 Char Char Char Char1"/>
    <w:basedOn w:val="1"/>
    <w:qFormat/>
    <w:uiPriority w:val="99"/>
    <w:pPr>
      <w:widowControl/>
      <w:spacing w:after="160" w:line="240" w:lineRule="exact"/>
      <w:jc w:val="left"/>
    </w:pPr>
    <w:rPr>
      <w:rFonts w:ascii="Verdana" w:hAnsi="Verdana"/>
      <w:kern w:val="0"/>
      <w:szCs w:val="20"/>
    </w:rPr>
  </w:style>
  <w:style w:type="paragraph" w:customStyle="1" w:styleId="118">
    <w:name w:val="font6"/>
    <w:basedOn w:val="1"/>
    <w:qFormat/>
    <w:uiPriority w:val="99"/>
    <w:pPr>
      <w:widowControl/>
      <w:spacing w:before="100" w:beforeAutospacing="1" w:after="100" w:afterAutospacing="1"/>
      <w:jc w:val="left"/>
    </w:pPr>
    <w:rPr>
      <w:rFonts w:ascii="宋体" w:hAnsi="宋体" w:cs="黑体"/>
      <w:kern w:val="0"/>
      <w:sz w:val="20"/>
      <w:szCs w:val="20"/>
    </w:rPr>
  </w:style>
  <w:style w:type="paragraph" w:customStyle="1" w:styleId="119">
    <w:name w:val="样式4"/>
    <w:basedOn w:val="91"/>
    <w:qFormat/>
    <w:uiPriority w:val="99"/>
    <w:pPr>
      <w:adjustRightInd w:val="0"/>
      <w:spacing w:before="40" w:after="40" w:line="240" w:lineRule="auto"/>
      <w:ind w:firstLine="0" w:firstLineChars="0"/>
      <w:textAlignment w:val="baseline"/>
    </w:pPr>
    <w:rPr>
      <w:rFonts w:ascii="Arial" w:hAnsi="Times New Roman"/>
      <w:kern w:val="28"/>
      <w:sz w:val="28"/>
      <w:szCs w:val="20"/>
    </w:rPr>
  </w:style>
  <w:style w:type="paragraph" w:customStyle="1" w:styleId="120">
    <w:name w:val="_Style 55"/>
    <w:basedOn w:val="1"/>
    <w:qFormat/>
    <w:uiPriority w:val="99"/>
    <w:pPr>
      <w:widowControl/>
      <w:spacing w:after="160" w:line="240" w:lineRule="exact"/>
      <w:jc w:val="left"/>
    </w:pPr>
  </w:style>
  <w:style w:type="paragraph" w:customStyle="1" w:styleId="121">
    <w:name w:val="Char Char1 Char Char Char Char"/>
    <w:basedOn w:val="1"/>
    <w:qFormat/>
    <w:uiPriority w:val="99"/>
    <w:pPr>
      <w:widowControl/>
      <w:spacing w:after="160" w:line="240" w:lineRule="exact"/>
      <w:jc w:val="left"/>
    </w:pPr>
    <w:rPr>
      <w:rFonts w:ascii="Verdana" w:hAnsi="Verdana"/>
      <w:kern w:val="0"/>
      <w:szCs w:val="20"/>
    </w:rPr>
  </w:style>
  <w:style w:type="paragraph" w:customStyle="1" w:styleId="122">
    <w:name w:val="xl61"/>
    <w:basedOn w:val="1"/>
    <w:qFormat/>
    <w:uiPriority w:val="99"/>
    <w:pPr>
      <w:widowControl/>
      <w:spacing w:before="100" w:after="100"/>
      <w:jc w:val="center"/>
    </w:pPr>
    <w:rPr>
      <w:rFonts w:ascii="宋体" w:hAnsi="宋体"/>
      <w:kern w:val="0"/>
      <w:sz w:val="20"/>
    </w:rPr>
  </w:style>
  <w:style w:type="paragraph" w:customStyle="1" w:styleId="123">
    <w:name w:val="样式 标题 5 + 宋体"/>
    <w:basedOn w:val="7"/>
    <w:qFormat/>
    <w:uiPriority w:val="99"/>
    <w:pPr>
      <w:widowControl/>
      <w:tabs>
        <w:tab w:val="left" w:pos="1800"/>
        <w:tab w:val="clear" w:pos="1008"/>
      </w:tabs>
      <w:spacing w:before="0" w:after="120" w:line="240" w:lineRule="auto"/>
      <w:ind w:left="2525" w:hanging="1305"/>
    </w:pPr>
    <w:rPr>
      <w:rFonts w:ascii="宋体" w:hAnsi="宋体"/>
      <w:b w:val="0"/>
      <w:bCs w:val="0"/>
      <w:kern w:val="0"/>
      <w:sz w:val="24"/>
    </w:rPr>
  </w:style>
  <w:style w:type="paragraph" w:customStyle="1" w:styleId="124">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25">
    <w:name w:val="样式6"/>
    <w:basedOn w:val="1"/>
    <w:qFormat/>
    <w:uiPriority w:val="99"/>
    <w:pPr>
      <w:spacing w:beforeLines="40"/>
      <w:ind w:left="475" w:firstLine="425"/>
    </w:pPr>
    <w:rPr>
      <w:sz w:val="24"/>
    </w:rPr>
  </w:style>
  <w:style w:type="paragraph" w:customStyle="1" w:styleId="126">
    <w:name w:val="Style Heading 3Heading 3 - oldH3H31H32H33H34H35H36H37H38..."/>
    <w:basedOn w:val="5"/>
    <w:qFormat/>
    <w:uiPriority w:val="99"/>
    <w:pPr>
      <w:tabs>
        <w:tab w:val="left" w:pos="705"/>
        <w:tab w:val="left" w:pos="1680"/>
      </w:tabs>
      <w:spacing w:beforeLines="50" w:line="360" w:lineRule="auto"/>
      <w:ind w:left="705" w:hanging="705"/>
    </w:pPr>
    <w:rPr>
      <w:rFonts w:ascii="Arial" w:hAnsi="Arial" w:eastAsia="黑体"/>
      <w:b w:val="0"/>
      <w:bCs w:val="0"/>
      <w:sz w:val="28"/>
      <w:szCs w:val="28"/>
    </w:rPr>
  </w:style>
  <w:style w:type="paragraph" w:customStyle="1" w:styleId="127">
    <w:name w:val="Char1 Char Char Char"/>
    <w:basedOn w:val="1"/>
    <w:qFormat/>
    <w:uiPriority w:val="99"/>
    <w:rPr>
      <w:rFonts w:ascii="Tahoma" w:hAnsi="Tahoma"/>
      <w:sz w:val="24"/>
      <w:szCs w:val="20"/>
    </w:rPr>
  </w:style>
  <w:style w:type="paragraph" w:customStyle="1" w:styleId="128">
    <w:name w:val="xl5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29">
    <w:name w:val="Char Char1"/>
    <w:basedOn w:val="1"/>
    <w:qFormat/>
    <w:uiPriority w:val="99"/>
    <w:pPr>
      <w:widowControl/>
      <w:spacing w:after="160" w:line="240" w:lineRule="exact"/>
      <w:jc w:val="left"/>
    </w:pPr>
    <w:rPr>
      <w:rFonts w:ascii="Verdana" w:hAnsi="Verdana"/>
      <w:kern w:val="0"/>
      <w:szCs w:val="20"/>
    </w:rPr>
  </w:style>
  <w:style w:type="paragraph" w:customStyle="1" w:styleId="130">
    <w:name w:val="Body Text Indent 31"/>
    <w:basedOn w:val="1"/>
    <w:qFormat/>
    <w:uiPriority w:val="99"/>
    <w:pPr>
      <w:adjustRightInd w:val="0"/>
      <w:spacing w:after="240"/>
      <w:ind w:left="792" w:firstLine="480"/>
      <w:textAlignment w:val="baseline"/>
    </w:pPr>
    <w:rPr>
      <w:sz w:val="24"/>
      <w:szCs w:val="20"/>
    </w:rPr>
  </w:style>
  <w:style w:type="paragraph" w:customStyle="1" w:styleId="131">
    <w:name w:val="需求书2"/>
    <w:basedOn w:val="1"/>
    <w:qFormat/>
    <w:uiPriority w:val="99"/>
    <w:pPr>
      <w:tabs>
        <w:tab w:val="left" w:pos="1440"/>
      </w:tabs>
      <w:topLinePunct/>
      <w:spacing w:line="360" w:lineRule="auto"/>
      <w:outlineLvl w:val="0"/>
    </w:pPr>
    <w:rPr>
      <w:rFonts w:ascii="宋体" w:hAnsi="宋体"/>
      <w:sz w:val="24"/>
    </w:rPr>
  </w:style>
  <w:style w:type="paragraph" w:customStyle="1" w:styleId="132">
    <w:name w:val="font5"/>
    <w:basedOn w:val="1"/>
    <w:qFormat/>
    <w:uiPriority w:val="99"/>
    <w:pPr>
      <w:widowControl/>
      <w:spacing w:before="100" w:beforeAutospacing="1" w:after="100" w:afterAutospacing="1"/>
      <w:jc w:val="left"/>
    </w:pPr>
    <w:rPr>
      <w:kern w:val="0"/>
      <w:sz w:val="20"/>
      <w:szCs w:val="20"/>
    </w:rPr>
  </w:style>
  <w:style w:type="paragraph" w:customStyle="1" w:styleId="133">
    <w:name w:val="样式 标题 3 + 宋体"/>
    <w:basedOn w:val="5"/>
    <w:qFormat/>
    <w:uiPriority w:val="99"/>
    <w:pPr>
      <w:widowControl/>
      <w:tabs>
        <w:tab w:val="left" w:pos="720"/>
        <w:tab w:val="left" w:pos="1080"/>
      </w:tabs>
      <w:spacing w:before="0" w:after="120" w:line="240" w:lineRule="auto"/>
      <w:ind w:left="1754" w:hanging="794"/>
    </w:pPr>
    <w:rPr>
      <w:rFonts w:ascii="宋体" w:hAnsi="宋体"/>
      <w:b w:val="0"/>
      <w:bCs w:val="0"/>
      <w:kern w:val="0"/>
      <w:sz w:val="24"/>
    </w:rPr>
  </w:style>
  <w:style w:type="paragraph" w:customStyle="1" w:styleId="134">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黑体"/>
      <w:kern w:val="0"/>
      <w:sz w:val="20"/>
      <w:szCs w:val="20"/>
    </w:rPr>
  </w:style>
  <w:style w:type="paragraph" w:customStyle="1" w:styleId="135">
    <w:name w:val="xl55"/>
    <w:basedOn w:val="1"/>
    <w:qFormat/>
    <w:uiPriority w:val="99"/>
    <w:pPr>
      <w:widowControl/>
      <w:pBdr>
        <w:left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36">
    <w:name w:val="comments"/>
    <w:basedOn w:val="1"/>
    <w:qFormat/>
    <w:uiPriority w:val="99"/>
    <w:pPr>
      <w:adjustRightInd w:val="0"/>
      <w:spacing w:after="100"/>
      <w:ind w:left="2340" w:leftChars="975"/>
      <w:textAlignment w:val="baseline"/>
    </w:pPr>
    <w:rPr>
      <w:sz w:val="24"/>
      <w:szCs w:val="20"/>
    </w:rPr>
  </w:style>
  <w:style w:type="paragraph" w:customStyle="1" w:styleId="137">
    <w:name w:val="Body Text Indent 21"/>
    <w:basedOn w:val="1"/>
    <w:qFormat/>
    <w:uiPriority w:val="99"/>
    <w:pPr>
      <w:adjustRightInd w:val="0"/>
      <w:spacing w:after="240"/>
      <w:ind w:left="1080" w:firstLine="480"/>
      <w:textAlignment w:val="baseline"/>
    </w:pPr>
    <w:rPr>
      <w:sz w:val="24"/>
      <w:szCs w:val="20"/>
    </w:rPr>
  </w:style>
  <w:style w:type="paragraph" w:customStyle="1" w:styleId="138">
    <w:name w:val="正文2"/>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9">
    <w:name w:val="font9"/>
    <w:basedOn w:val="1"/>
    <w:qFormat/>
    <w:uiPriority w:val="99"/>
    <w:pPr>
      <w:widowControl/>
      <w:spacing w:before="100" w:beforeAutospacing="1" w:after="100" w:afterAutospacing="1"/>
      <w:jc w:val="left"/>
    </w:pPr>
    <w:rPr>
      <w:color w:val="000000"/>
      <w:kern w:val="0"/>
      <w:sz w:val="20"/>
      <w:szCs w:val="20"/>
    </w:rPr>
  </w:style>
  <w:style w:type="paragraph" w:customStyle="1" w:styleId="140">
    <w:name w:val="标书正文"/>
    <w:basedOn w:val="1"/>
    <w:qFormat/>
    <w:uiPriority w:val="99"/>
    <w:pPr>
      <w:adjustRightInd w:val="0"/>
      <w:spacing w:line="360" w:lineRule="auto"/>
      <w:ind w:left="840" w:hanging="840"/>
      <w:textAlignment w:val="baseline"/>
    </w:pPr>
    <w:rPr>
      <w:rFonts w:ascii="楷体_GB2312" w:eastAsia="楷体_GB2312"/>
      <w:kern w:val="0"/>
      <w:sz w:val="28"/>
      <w:szCs w:val="20"/>
    </w:rPr>
  </w:style>
  <w:style w:type="paragraph" w:customStyle="1" w:styleId="141">
    <w:name w:val="Default"/>
    <w:qFormat/>
    <w:uiPriority w:val="99"/>
    <w:pPr>
      <w:widowControl w:val="0"/>
      <w:autoSpaceDE w:val="0"/>
      <w:autoSpaceDN w:val="0"/>
      <w:adjustRightInd w:val="0"/>
    </w:pPr>
    <w:rPr>
      <w:rFonts w:ascii="Fake Font" w:hAnsi="Times New Roman" w:eastAsia="Fake Font" w:cs="Fake Font"/>
      <w:color w:val="000000"/>
      <w:sz w:val="24"/>
      <w:szCs w:val="24"/>
      <w:lang w:val="en-US" w:eastAsia="zh-CN" w:bidi="ar-SA"/>
    </w:rPr>
  </w:style>
  <w:style w:type="paragraph" w:customStyle="1" w:styleId="142">
    <w:name w:val="xl4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143">
    <w:name w:val="标题2"/>
    <w:basedOn w:val="1"/>
    <w:qFormat/>
    <w:uiPriority w:val="99"/>
    <w:pPr>
      <w:spacing w:line="400" w:lineRule="exact"/>
    </w:pPr>
    <w:rPr>
      <w:sz w:val="28"/>
      <w:szCs w:val="28"/>
    </w:rPr>
  </w:style>
  <w:style w:type="paragraph" w:customStyle="1" w:styleId="144">
    <w:name w:val="(i)tems"/>
    <w:basedOn w:val="1"/>
    <w:qFormat/>
    <w:uiPriority w:val="99"/>
    <w:pPr>
      <w:tabs>
        <w:tab w:val="left" w:pos="1474"/>
      </w:tabs>
      <w:adjustRightInd w:val="0"/>
      <w:spacing w:after="240"/>
      <w:ind w:left="1474" w:hanging="56"/>
      <w:textAlignment w:val="baseline"/>
    </w:pPr>
    <w:rPr>
      <w:sz w:val="24"/>
      <w:szCs w:val="20"/>
    </w:rPr>
  </w:style>
  <w:style w:type="paragraph" w:customStyle="1" w:styleId="145">
    <w:name w:val="xl5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146">
    <w:name w:val="Char Char1 Char Char Char Char2"/>
    <w:basedOn w:val="1"/>
    <w:qFormat/>
    <w:uiPriority w:val="99"/>
    <w:pPr>
      <w:widowControl/>
      <w:spacing w:after="160" w:line="240" w:lineRule="exact"/>
      <w:jc w:val="left"/>
    </w:pPr>
  </w:style>
  <w:style w:type="paragraph" w:customStyle="1" w:styleId="147">
    <w:name w:val="Char1"/>
    <w:basedOn w:val="1"/>
    <w:qFormat/>
    <w:uiPriority w:val="99"/>
    <w:rPr>
      <w:rFonts w:ascii="Tahoma" w:hAnsi="Tahoma"/>
      <w:sz w:val="24"/>
      <w:szCs w:val="20"/>
    </w:rPr>
  </w:style>
  <w:style w:type="paragraph" w:customStyle="1" w:styleId="148">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9">
    <w:name w:val="列表1"/>
    <w:basedOn w:val="1"/>
    <w:qFormat/>
    <w:uiPriority w:val="99"/>
    <w:pPr>
      <w:adjustRightInd w:val="0"/>
      <w:spacing w:after="120" w:line="300" w:lineRule="auto"/>
      <w:ind w:left="2387" w:hanging="227"/>
      <w:textAlignment w:val="baseline"/>
    </w:pPr>
    <w:rPr>
      <w:rFonts w:ascii="宋体" w:hAnsi="宋体"/>
      <w:sz w:val="24"/>
      <w:szCs w:val="20"/>
    </w:rPr>
  </w:style>
  <w:style w:type="paragraph" w:customStyle="1" w:styleId="150">
    <w:name w:val="Style Heading 2H2Heading 2 HiddenHeading 2 CCBSheading 2HD2Ti..."/>
    <w:basedOn w:val="4"/>
    <w:qFormat/>
    <w:uiPriority w:val="99"/>
    <w:pPr>
      <w:spacing w:line="360" w:lineRule="auto"/>
    </w:pPr>
    <w:rPr>
      <w:sz w:val="30"/>
      <w:szCs w:val="30"/>
    </w:rPr>
  </w:style>
  <w:style w:type="paragraph" w:customStyle="1" w:styleId="15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52">
    <w:name w:val="基准标题"/>
    <w:basedOn w:val="1"/>
    <w:next w:val="1"/>
    <w:qFormat/>
    <w:uiPriority w:val="99"/>
    <w:pPr>
      <w:keepNext/>
      <w:keepLines/>
      <w:widowControl/>
      <w:tabs>
        <w:tab w:val="left" w:pos="720"/>
      </w:tabs>
      <w:overflowPunct w:val="0"/>
      <w:spacing w:line="400" w:lineRule="atLeast"/>
      <w:ind w:left="482" w:right="28" w:hanging="482" w:hangingChars="225"/>
    </w:pPr>
    <w:rPr>
      <w:rFonts w:ascii="Arial" w:hAnsi="Arial"/>
      <w:spacing w:val="-10"/>
      <w:kern w:val="20"/>
      <w:szCs w:val="20"/>
    </w:rPr>
  </w:style>
  <w:style w:type="paragraph" w:customStyle="1" w:styleId="153">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154">
    <w:name w:val="Style Style Heading 1 + 二号 +1"/>
    <w:basedOn w:val="1"/>
    <w:qFormat/>
    <w:uiPriority w:val="99"/>
    <w:pPr>
      <w:keepNext/>
      <w:keepLines/>
      <w:spacing w:before="340" w:after="330" w:line="360" w:lineRule="auto"/>
      <w:ind w:left="704" w:hanging="704"/>
      <w:outlineLvl w:val="0"/>
    </w:pPr>
    <w:rPr>
      <w:rFonts w:eastAsia="黑体"/>
      <w:b/>
      <w:bCs/>
      <w:sz w:val="44"/>
      <w:szCs w:val="20"/>
    </w:rPr>
  </w:style>
  <w:style w:type="paragraph" w:customStyle="1" w:styleId="155">
    <w:name w:val="样式3"/>
    <w:basedOn w:val="1"/>
    <w:qFormat/>
    <w:uiPriority w:val="99"/>
    <w:pPr>
      <w:ind w:firstLine="425"/>
    </w:pPr>
    <w:rPr>
      <w:sz w:val="24"/>
    </w:rPr>
  </w:style>
  <w:style w:type="paragraph" w:customStyle="1" w:styleId="156">
    <w:name w:val="Fig"/>
    <w:basedOn w:val="1"/>
    <w:qFormat/>
    <w:uiPriority w:val="99"/>
    <w:pPr>
      <w:keepLines/>
      <w:widowControl/>
      <w:tabs>
        <w:tab w:val="left" w:pos="360"/>
        <w:tab w:val="left" w:pos="425"/>
        <w:tab w:val="left" w:pos="567"/>
        <w:tab w:val="left" w:pos="1440"/>
      </w:tabs>
      <w:spacing w:before="120" w:after="120" w:line="360" w:lineRule="auto"/>
      <w:ind w:left="425" w:hanging="425"/>
      <w:jc w:val="center"/>
    </w:pPr>
    <w:rPr>
      <w:rFonts w:ascii="Arial" w:hAnsi="Arial" w:cs="Arial"/>
      <w:b/>
      <w:bCs/>
      <w:i/>
      <w:iCs/>
      <w:kern w:val="0"/>
      <w:sz w:val="22"/>
      <w:szCs w:val="22"/>
    </w:rPr>
  </w:style>
  <w:style w:type="paragraph" w:customStyle="1" w:styleId="157">
    <w:name w:val="Char2 Char Char"/>
    <w:basedOn w:val="1"/>
    <w:qFormat/>
    <w:uiPriority w:val="99"/>
    <w:rPr>
      <w:rFonts w:ascii="Tahoma" w:hAnsi="Tahoma"/>
      <w:sz w:val="24"/>
      <w:szCs w:val="20"/>
    </w:rPr>
  </w:style>
  <w:style w:type="paragraph" w:customStyle="1" w:styleId="158">
    <w:name w:val="font8"/>
    <w:basedOn w:val="1"/>
    <w:qFormat/>
    <w:uiPriority w:val="99"/>
    <w:pPr>
      <w:widowControl/>
      <w:spacing w:before="100" w:beforeAutospacing="1" w:after="100" w:afterAutospacing="1"/>
      <w:jc w:val="left"/>
    </w:pPr>
    <w:rPr>
      <w:rFonts w:ascii="宋体" w:hAnsi="宋体" w:cs="黑体"/>
      <w:color w:val="000000"/>
      <w:kern w:val="0"/>
      <w:sz w:val="20"/>
      <w:szCs w:val="20"/>
    </w:rPr>
  </w:style>
  <w:style w:type="paragraph" w:customStyle="1" w:styleId="159">
    <w:name w:val="正文1"/>
    <w:basedOn w:val="1"/>
    <w:qFormat/>
    <w:uiPriority w:val="99"/>
    <w:pPr>
      <w:tabs>
        <w:tab w:val="left" w:pos="2940"/>
      </w:tabs>
      <w:spacing w:before="60" w:after="60" w:line="360" w:lineRule="auto"/>
      <w:ind w:left="384" w:leftChars="100" w:hanging="284"/>
      <w:outlineLvl w:val="6"/>
    </w:pPr>
    <w:rPr>
      <w:sz w:val="24"/>
    </w:rPr>
  </w:style>
  <w:style w:type="paragraph" w:customStyle="1" w:styleId="160">
    <w:name w:val="Body Text No After Space"/>
    <w:basedOn w:val="19"/>
    <w:qFormat/>
    <w:uiPriority w:val="99"/>
    <w:pPr>
      <w:widowControl/>
      <w:tabs>
        <w:tab w:val="left" w:pos="2268"/>
        <w:tab w:val="left" w:pos="3402"/>
        <w:tab w:val="left" w:pos="4536"/>
        <w:tab w:val="left" w:pos="5670"/>
        <w:tab w:val="left" w:pos="6804"/>
        <w:tab w:val="left" w:pos="7938"/>
      </w:tabs>
      <w:spacing w:line="240" w:lineRule="auto"/>
      <w:ind w:left="2268"/>
      <w:jc w:val="left"/>
    </w:pPr>
    <w:rPr>
      <w:kern w:val="0"/>
      <w:sz w:val="24"/>
      <w:szCs w:val="20"/>
    </w:rPr>
  </w:style>
  <w:style w:type="paragraph" w:customStyle="1" w:styleId="161">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62">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黑体"/>
      <w:kern w:val="0"/>
      <w:sz w:val="20"/>
      <w:szCs w:val="20"/>
    </w:rPr>
  </w:style>
  <w:style w:type="paragraph" w:customStyle="1" w:styleId="163">
    <w:name w:val="xl62"/>
    <w:basedOn w:val="1"/>
    <w:qFormat/>
    <w:uiPriority w:val="99"/>
    <w:pPr>
      <w:widowControl/>
      <w:spacing w:before="100" w:after="100"/>
      <w:jc w:val="center"/>
    </w:pPr>
    <w:rPr>
      <w:rFonts w:ascii="宋体" w:hAnsi="宋体"/>
      <w:kern w:val="0"/>
      <w:sz w:val="24"/>
    </w:rPr>
  </w:style>
  <w:style w:type="paragraph" w:customStyle="1" w:styleId="164">
    <w:name w:val="xl4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165">
    <w:name w:val="xl5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黑体"/>
      <w:kern w:val="0"/>
      <w:sz w:val="24"/>
    </w:rPr>
  </w:style>
  <w:style w:type="paragraph" w:customStyle="1" w:styleId="16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黑体"/>
      <w:kern w:val="0"/>
      <w:sz w:val="20"/>
      <w:szCs w:val="20"/>
    </w:rPr>
  </w:style>
  <w:style w:type="paragraph" w:customStyle="1" w:styleId="167">
    <w:name w:val="xl63"/>
    <w:basedOn w:val="1"/>
    <w:qFormat/>
    <w:uiPriority w:val="99"/>
    <w:pPr>
      <w:widowControl/>
      <w:spacing w:before="100" w:after="100"/>
      <w:jc w:val="center"/>
      <w:textAlignment w:val="center"/>
    </w:pPr>
    <w:rPr>
      <w:kern w:val="0"/>
      <w:sz w:val="20"/>
    </w:rPr>
  </w:style>
  <w:style w:type="paragraph" w:customStyle="1" w:styleId="168">
    <w:name w:val="xl58"/>
    <w:basedOn w:val="1"/>
    <w:qFormat/>
    <w:uiPriority w:val="99"/>
    <w:pPr>
      <w:widowControl/>
      <w:pBdr>
        <w:top w:val="single" w:color="auto" w:sz="4" w:space="0"/>
        <w:left w:val="single" w:color="auto" w:sz="4" w:space="0"/>
        <w:bottom w:val="single" w:color="auto" w:sz="4" w:space="0"/>
      </w:pBdr>
      <w:spacing w:before="100" w:after="100"/>
      <w:jc w:val="center"/>
      <w:textAlignment w:val="center"/>
    </w:pPr>
    <w:rPr>
      <w:rFonts w:ascii="宋体" w:hAnsi="宋体"/>
      <w:kern w:val="0"/>
      <w:sz w:val="20"/>
    </w:rPr>
  </w:style>
  <w:style w:type="paragraph" w:customStyle="1" w:styleId="169">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170">
    <w:name w:val="xl5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71">
    <w:name w:val="table text"/>
    <w:basedOn w:val="1"/>
    <w:qFormat/>
    <w:uiPriority w:val="99"/>
    <w:pPr>
      <w:spacing w:line="240" w:lineRule="atLeast"/>
      <w:ind w:left="220" w:hanging="220" w:hangingChars="100"/>
    </w:pPr>
    <w:rPr>
      <w:sz w:val="22"/>
    </w:rPr>
  </w:style>
  <w:style w:type="paragraph" w:customStyle="1" w:styleId="172">
    <w:name w:val="xl52"/>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黑体"/>
      <w:kern w:val="0"/>
      <w:sz w:val="20"/>
      <w:szCs w:val="20"/>
    </w:rPr>
  </w:style>
  <w:style w:type="paragraph" w:customStyle="1" w:styleId="17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黑体"/>
      <w:color w:val="000000"/>
      <w:kern w:val="0"/>
      <w:sz w:val="20"/>
      <w:szCs w:val="20"/>
    </w:rPr>
  </w:style>
  <w:style w:type="paragraph" w:customStyle="1" w:styleId="174">
    <w:name w:val="标题 31"/>
    <w:basedOn w:val="1"/>
    <w:next w:val="13"/>
    <w:qFormat/>
    <w:uiPriority w:val="99"/>
    <w:pPr>
      <w:keepNext/>
      <w:outlineLvl w:val="2"/>
    </w:pPr>
    <w:rPr>
      <w:b/>
      <w:szCs w:val="20"/>
    </w:rPr>
  </w:style>
  <w:style w:type="paragraph" w:customStyle="1" w:styleId="175">
    <w:name w:val="xl4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黑体"/>
      <w:kern w:val="0"/>
      <w:sz w:val="24"/>
    </w:rPr>
  </w:style>
  <w:style w:type="paragraph" w:customStyle="1" w:styleId="176">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黑体"/>
      <w:color w:val="000000"/>
      <w:kern w:val="0"/>
      <w:sz w:val="20"/>
      <w:szCs w:val="20"/>
    </w:rPr>
  </w:style>
  <w:style w:type="paragraph" w:customStyle="1" w:styleId="177">
    <w:name w:val="xl5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黑体"/>
      <w:kern w:val="0"/>
      <w:sz w:val="24"/>
    </w:rPr>
  </w:style>
  <w:style w:type="paragraph" w:customStyle="1" w:styleId="178">
    <w:name w:val="Char Char Char1 Char Char Char Char Char Char Char"/>
    <w:basedOn w:val="1"/>
    <w:qFormat/>
    <w:uiPriority w:val="99"/>
    <w:rPr>
      <w:rFonts w:ascii="Tahoma" w:hAnsi="Tahoma"/>
      <w:sz w:val="24"/>
      <w:szCs w:val="20"/>
    </w:rPr>
  </w:style>
  <w:style w:type="paragraph" w:customStyle="1" w:styleId="179">
    <w:name w:val="样式7"/>
    <w:basedOn w:val="1"/>
    <w:qFormat/>
    <w:uiPriority w:val="99"/>
    <w:pPr>
      <w:ind w:firstLine="425"/>
    </w:pPr>
    <w:rPr>
      <w:sz w:val="24"/>
    </w:rPr>
  </w:style>
  <w:style w:type="paragraph" w:customStyle="1" w:styleId="180">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81">
    <w:name w:val="xl64"/>
    <w:basedOn w:val="1"/>
    <w:qFormat/>
    <w:uiPriority w:val="99"/>
    <w:pPr>
      <w:widowControl/>
      <w:spacing w:before="100" w:after="100"/>
      <w:jc w:val="center"/>
      <w:textAlignment w:val="center"/>
    </w:pPr>
    <w:rPr>
      <w:rFonts w:ascii="宋体" w:hAnsi="宋体"/>
      <w:kern w:val="0"/>
      <w:sz w:val="24"/>
    </w:rPr>
  </w:style>
  <w:style w:type="paragraph" w:customStyle="1" w:styleId="182">
    <w:name w:val="xl59"/>
    <w:basedOn w:val="1"/>
    <w:qFormat/>
    <w:uiPriority w:val="99"/>
    <w:pPr>
      <w:widowControl/>
      <w:pBdr>
        <w:top w:val="single" w:color="auto" w:sz="4" w:space="0"/>
      </w:pBdr>
      <w:spacing w:before="100" w:after="100"/>
      <w:jc w:val="center"/>
    </w:pPr>
    <w:rPr>
      <w:kern w:val="0"/>
      <w:sz w:val="20"/>
    </w:rPr>
  </w:style>
  <w:style w:type="paragraph" w:customStyle="1" w:styleId="183">
    <w:name w:val="正文文本1"/>
    <w:basedOn w:val="1"/>
    <w:qFormat/>
    <w:uiPriority w:val="99"/>
    <w:pPr>
      <w:spacing w:after="120"/>
    </w:pPr>
    <w:rPr>
      <w:szCs w:val="20"/>
    </w:rPr>
  </w:style>
  <w:style w:type="paragraph" w:customStyle="1" w:styleId="184">
    <w:name w:val="Char1 Char Char Char Char Char1"/>
    <w:basedOn w:val="1"/>
    <w:qFormat/>
    <w:uiPriority w:val="99"/>
    <w:rPr>
      <w:rFonts w:ascii="Tahoma" w:hAnsi="Tahoma"/>
      <w:sz w:val="24"/>
      <w:szCs w:val="20"/>
    </w:rPr>
  </w:style>
  <w:style w:type="paragraph" w:customStyle="1" w:styleId="185">
    <w:name w:val="Char11"/>
    <w:basedOn w:val="1"/>
    <w:qFormat/>
    <w:uiPriority w:val="99"/>
  </w:style>
  <w:style w:type="paragraph" w:customStyle="1" w:styleId="186">
    <w:name w:val="Char Char Char"/>
    <w:basedOn w:val="1"/>
    <w:qFormat/>
    <w:uiPriority w:val="99"/>
    <w:pPr>
      <w:widowControl/>
      <w:spacing w:after="160" w:line="240" w:lineRule="exact"/>
      <w:jc w:val="left"/>
    </w:pPr>
    <w:rPr>
      <w:szCs w:val="20"/>
    </w:rPr>
  </w:style>
  <w:style w:type="paragraph" w:customStyle="1" w:styleId="187">
    <w:name w:val="table text contents"/>
    <w:basedOn w:val="171"/>
    <w:qFormat/>
    <w:uiPriority w:val="99"/>
    <w:pPr>
      <w:ind w:left="0" w:firstLine="0" w:firstLineChars="0"/>
      <w:jc w:val="center"/>
    </w:pPr>
  </w:style>
  <w:style w:type="paragraph" w:customStyle="1" w:styleId="188">
    <w:name w:val="列出段落1"/>
    <w:basedOn w:val="1"/>
    <w:qFormat/>
    <w:uiPriority w:val="99"/>
    <w:pPr>
      <w:ind w:firstLine="420" w:firstLineChars="200"/>
    </w:pPr>
    <w:rPr>
      <w:rFonts w:ascii="Calibri" w:hAnsi="Calibri"/>
      <w:szCs w:val="22"/>
    </w:rPr>
  </w:style>
  <w:style w:type="paragraph" w:customStyle="1" w:styleId="189">
    <w:name w:val="样式9"/>
    <w:basedOn w:val="1"/>
    <w:qFormat/>
    <w:uiPriority w:val="99"/>
    <w:pPr>
      <w:ind w:firstLine="425"/>
    </w:pPr>
    <w:rPr>
      <w:sz w:val="24"/>
    </w:rPr>
  </w:style>
  <w:style w:type="paragraph" w:customStyle="1" w:styleId="190">
    <w:name w:val="默认段落字体 Para Char Char Char1 Char"/>
    <w:basedOn w:val="1"/>
    <w:qFormat/>
    <w:uiPriority w:val="99"/>
    <w:pPr>
      <w:spacing w:line="360" w:lineRule="auto"/>
      <w:ind w:left="420" w:firstLine="420"/>
    </w:pPr>
    <w:rPr>
      <w:kern w:val="0"/>
      <w:sz w:val="24"/>
      <w:szCs w:val="21"/>
    </w:rPr>
  </w:style>
  <w:style w:type="paragraph" w:customStyle="1" w:styleId="191">
    <w:name w:val="文档正文"/>
    <w:basedOn w:val="1"/>
    <w:qFormat/>
    <w:uiPriority w:val="99"/>
    <w:pPr>
      <w:adjustRightInd w:val="0"/>
      <w:spacing w:line="440" w:lineRule="atLeast"/>
      <w:ind w:firstLine="567"/>
      <w:textAlignment w:val="baseline"/>
    </w:pPr>
    <w:rPr>
      <w:rFonts w:ascii="宋体"/>
      <w:spacing w:val="4"/>
      <w:kern w:val="0"/>
      <w:sz w:val="24"/>
      <w:szCs w:val="20"/>
    </w:rPr>
  </w:style>
  <w:style w:type="paragraph" w:customStyle="1" w:styleId="192">
    <w:name w:val="Body Text 21"/>
    <w:basedOn w:val="1"/>
    <w:qFormat/>
    <w:uiPriority w:val="99"/>
    <w:pPr>
      <w:adjustRightInd w:val="0"/>
      <w:spacing w:after="240"/>
      <w:ind w:firstLine="560"/>
      <w:textAlignment w:val="baseline"/>
    </w:pPr>
    <w:rPr>
      <w:sz w:val="24"/>
      <w:szCs w:val="20"/>
    </w:rPr>
  </w:style>
  <w:style w:type="paragraph" w:customStyle="1" w:styleId="193">
    <w:name w:val="(a)items"/>
    <w:basedOn w:val="1"/>
    <w:qFormat/>
    <w:uiPriority w:val="99"/>
    <w:pPr>
      <w:tabs>
        <w:tab w:val="left" w:pos="1980"/>
      </w:tabs>
      <w:adjustRightInd w:val="0"/>
      <w:spacing w:after="240"/>
      <w:ind w:left="1980" w:leftChars="680" w:hanging="348" w:hangingChars="145"/>
      <w:textAlignment w:val="baseline"/>
    </w:pPr>
    <w:rPr>
      <w:sz w:val="24"/>
      <w:szCs w:val="20"/>
    </w:rPr>
  </w:style>
  <w:style w:type="paragraph" w:customStyle="1" w:styleId="194">
    <w:name w:val="list closer"/>
    <w:basedOn w:val="149"/>
    <w:qFormat/>
    <w:uiPriority w:val="99"/>
    <w:pPr>
      <w:ind w:left="1200" w:leftChars="1200" w:hanging="1980" w:hangingChars="825"/>
    </w:pPr>
  </w:style>
  <w:style w:type="paragraph" w:customStyle="1" w:styleId="195">
    <w:name w:val="样式 标题 4 + 宋体"/>
    <w:basedOn w:val="6"/>
    <w:qFormat/>
    <w:uiPriority w:val="99"/>
    <w:pPr>
      <w:widowControl/>
      <w:tabs>
        <w:tab w:val="left" w:pos="864"/>
      </w:tabs>
      <w:spacing w:before="0" w:after="120" w:line="240" w:lineRule="auto"/>
      <w:ind w:left="2477" w:hanging="1077"/>
    </w:pPr>
    <w:rPr>
      <w:rFonts w:ascii="宋体" w:hAnsi="宋体" w:eastAsia="宋体"/>
      <w:b w:val="0"/>
      <w:bCs w:val="0"/>
      <w:kern w:val="0"/>
      <w:sz w:val="24"/>
    </w:rPr>
  </w:style>
  <w:style w:type="paragraph" w:customStyle="1" w:styleId="196">
    <w:name w:val="样式 标题 1 + 宋体 居中 段前: 48 磅 段后: 12 磅 行距: 1.5 倍行距"/>
    <w:basedOn w:val="3"/>
    <w:qFormat/>
    <w:uiPriority w:val="99"/>
    <w:pPr>
      <w:adjustRightInd w:val="0"/>
      <w:spacing w:line="360" w:lineRule="auto"/>
      <w:jc w:val="center"/>
      <w:textAlignment w:val="baseline"/>
    </w:pPr>
    <w:rPr>
      <w:rFonts w:ascii="宋体" w:hAnsi="宋体" w:eastAsia="黑体" w:cs="宋体"/>
      <w:b/>
      <w:bCs/>
      <w:sz w:val="32"/>
      <w:szCs w:val="32"/>
      <w:lang w:val="zh-CN"/>
    </w:rPr>
  </w:style>
  <w:style w:type="paragraph" w:styleId="197">
    <w:name w:val="List Paragraph"/>
    <w:basedOn w:val="1"/>
    <w:qFormat/>
    <w:uiPriority w:val="99"/>
    <w:pPr>
      <w:ind w:firstLine="420" w:firstLineChars="200"/>
    </w:pPr>
  </w:style>
  <w:style w:type="paragraph" w:customStyle="1" w:styleId="198">
    <w:name w:val="Z5"/>
    <w:basedOn w:val="1"/>
    <w:qFormat/>
    <w:uiPriority w:val="99"/>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199">
    <w:name w:val="Normal_15"/>
    <w:qFormat/>
    <w:uiPriority w:val="0"/>
    <w:pPr>
      <w:spacing w:before="120" w:after="240"/>
      <w:jc w:val="both"/>
    </w:pPr>
    <w:rPr>
      <w:rFonts w:ascii="Calibri" w:hAnsi="Calibri" w:eastAsia="宋体" w:cs="Times New Roman"/>
      <w:sz w:val="22"/>
      <w:szCs w:val="22"/>
      <w:lang w:val="en-US" w:eastAsia="en-US" w:bidi="ar-SA"/>
    </w:rPr>
  </w:style>
  <w:style w:type="paragraph" w:customStyle="1" w:styleId="200">
    <w:name w:val="Normal_3"/>
    <w:qFormat/>
    <w:uiPriority w:val="0"/>
    <w:pPr>
      <w:spacing w:before="120" w:after="240"/>
      <w:jc w:val="both"/>
    </w:pPr>
    <w:rPr>
      <w:rFonts w:ascii="Calibri" w:hAnsi="Calibri" w:eastAsia="宋体" w:cs="Times New Roman"/>
      <w:sz w:val="22"/>
      <w:szCs w:val="22"/>
      <w:lang w:val="en-US" w:eastAsia="en-US" w:bidi="ar-SA"/>
    </w:rPr>
  </w:style>
  <w:style w:type="paragraph" w:customStyle="1" w:styleId="201">
    <w:name w:val="其他"/>
    <w:basedOn w:val="1"/>
    <w:qFormat/>
    <w:uiPriority w:val="0"/>
    <w:pPr>
      <w:shd w:val="clear" w:color="auto" w:fill="FFFFFF"/>
      <w:spacing w:line="384" w:lineRule="auto"/>
      <w:ind w:firstLine="400"/>
    </w:pPr>
    <w:rPr>
      <w:rFonts w:ascii="宋体" w:hAnsi="宋体" w:eastAsia="宋体" w:cs="宋体"/>
      <w:sz w:val="20"/>
      <w:szCs w:val="20"/>
      <w:lang w:val="zh-CN" w:eastAsia="zh-CN" w:bidi="zh-CN"/>
    </w:rPr>
  </w:style>
  <w:style w:type="paragraph" w:customStyle="1" w:styleId="202">
    <w:name w:val="Table Paragraph"/>
    <w:basedOn w:val="1"/>
    <w:qFormat/>
    <w:uiPriority w:val="1"/>
    <w:rPr>
      <w:rFonts w:ascii="宋体" w:hAnsi="宋体" w:eastAsia="宋体" w:cs="宋体"/>
      <w:lang w:val="zh-CN" w:eastAsia="zh-CN" w:bidi="zh-CN"/>
    </w:rPr>
  </w:style>
  <w:style w:type="paragraph" w:customStyle="1" w:styleId="203">
    <w:name w:val="style11"/>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15968-E24D-4B0E-9778-359455770313}">
  <ds:schemaRefs/>
</ds:datastoreItem>
</file>

<file path=docProps/app.xml><?xml version="1.0" encoding="utf-8"?>
<Properties xmlns="http://schemas.openxmlformats.org/officeDocument/2006/extended-properties" xmlns:vt="http://schemas.openxmlformats.org/officeDocument/2006/docPropsVTypes">
  <Template>Normal</Template>
  <Pages>40</Pages>
  <Words>23968</Words>
  <Characters>25332</Characters>
  <Lines>141</Lines>
  <Paragraphs>39</Paragraphs>
  <TotalTime>67</TotalTime>
  <ScaleCrop>false</ScaleCrop>
  <LinksUpToDate>false</LinksUpToDate>
  <CharactersWithSpaces>26102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2021-08-25T01:40:00Z</dcterms:created>
  <dc:creator>1122</dc:creator>
  <cp:lastModifiedBy>Gloria</cp:lastModifiedBy>
  <cp:lastPrinted>2021-12-10T01:23:00Z</cp:lastPrinted>
  <dcterms:modified xsi:type="dcterms:W3CDTF">2023-01-06T01:06:07Z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208F3251ABE04C299D2BE7F595F71D50</vt:lpwstr>
  </property>
</Properties>
</file>