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19520">
      <w:pPr>
        <w:spacing w:line="240" w:lineRule="auto"/>
        <w:jc w:val="left"/>
        <w:rPr>
          <w:rFonts w:hint="eastAsia" w:ascii="楷体" w:hAnsi="楷体" w:eastAsia="楷体"/>
          <w:b/>
          <w:bCs/>
          <w:color w:val="auto"/>
          <w:sz w:val="44"/>
          <w:szCs w:val="44"/>
          <w:highlight w:val="none"/>
        </w:rPr>
      </w:pPr>
    </w:p>
    <w:p w14:paraId="7805BF54">
      <w:pPr>
        <w:spacing w:line="300" w:lineRule="auto"/>
        <w:jc w:val="center"/>
        <w:rPr>
          <w:rFonts w:ascii="楷体" w:hAnsi="楷体" w:eastAsia="楷体"/>
          <w:b/>
          <w:bCs/>
          <w:color w:val="auto"/>
          <w:sz w:val="36"/>
          <w:szCs w:val="36"/>
          <w:highlight w:val="none"/>
        </w:rPr>
      </w:pPr>
      <w:bookmarkStart w:id="0" w:name="_Hlk38442364"/>
    </w:p>
    <w:bookmarkEnd w:id="0"/>
    <w:p w14:paraId="0B3AB23B">
      <w:pPr>
        <w:keepNext w:val="0"/>
        <w:keepLines w:val="0"/>
        <w:pageBreakBefore w:val="0"/>
        <w:widowControl w:val="0"/>
        <w:kinsoku/>
        <w:wordWrap/>
        <w:overflowPunct/>
        <w:topLinePunct w:val="0"/>
        <w:autoSpaceDE/>
        <w:autoSpaceDN/>
        <w:bidi w:val="0"/>
        <w:adjustRightInd/>
        <w:snapToGrid/>
        <w:spacing w:line="360" w:lineRule="auto"/>
        <w:ind w:left="-280" w:leftChars="-100" w:right="-280" w:rightChars="-100"/>
        <w:jc w:val="center"/>
        <w:textAlignment w:val="auto"/>
        <w:rPr>
          <w:rFonts w:hint="eastAsia" w:ascii="黑体" w:hAnsi="黑体" w:eastAsia="黑体" w:cs="黑体"/>
          <w:b w:val="0"/>
          <w:bCs w:val="0"/>
          <w:color w:val="auto"/>
          <w:sz w:val="36"/>
          <w:szCs w:val="36"/>
          <w:highlight w:val="none"/>
          <w:lang w:eastAsia="zh-CN"/>
        </w:rPr>
      </w:pPr>
      <w:r>
        <w:rPr>
          <w:rFonts w:hint="eastAsia" w:ascii="黑体" w:hAnsi="黑体" w:eastAsia="黑体" w:cs="黑体"/>
          <w:b w:val="0"/>
          <w:bCs w:val="0"/>
          <w:color w:val="auto"/>
          <w:sz w:val="36"/>
          <w:szCs w:val="36"/>
          <w:highlight w:val="none"/>
          <w:lang w:eastAsia="zh-CN"/>
        </w:rPr>
        <w:t>“水运江苏”建设跨江竞技劳动技能竞赛服务项目</w:t>
      </w:r>
    </w:p>
    <w:p w14:paraId="6F59D88D">
      <w:pPr>
        <w:keepNext w:val="0"/>
        <w:keepLines w:val="0"/>
        <w:pageBreakBefore w:val="0"/>
        <w:widowControl w:val="0"/>
        <w:kinsoku/>
        <w:wordWrap/>
        <w:overflowPunct/>
        <w:topLinePunct w:val="0"/>
        <w:autoSpaceDE/>
        <w:autoSpaceDN/>
        <w:bidi w:val="0"/>
        <w:adjustRightInd/>
        <w:snapToGrid/>
        <w:spacing w:line="360" w:lineRule="auto"/>
        <w:ind w:left="-280" w:leftChars="-100" w:right="-280" w:rightChars="-100"/>
        <w:jc w:val="center"/>
        <w:textAlignment w:val="auto"/>
        <w:rPr>
          <w:rFonts w:hint="eastAsia" w:ascii="黑体" w:hAnsi="黑体" w:eastAsia="黑体" w:cs="黑体"/>
          <w:b w:val="0"/>
          <w:bCs w:val="0"/>
          <w:color w:val="auto"/>
          <w:sz w:val="36"/>
          <w:szCs w:val="36"/>
          <w:highlight w:val="none"/>
        </w:rPr>
      </w:pPr>
      <w:r>
        <w:rPr>
          <w:rFonts w:hint="eastAsia" w:ascii="黑体" w:hAnsi="黑体" w:eastAsia="黑体" w:cs="黑体"/>
          <w:b w:val="0"/>
          <w:bCs w:val="0"/>
          <w:color w:val="auto"/>
          <w:sz w:val="36"/>
          <w:szCs w:val="36"/>
          <w:highlight w:val="none"/>
          <w:u w:val="none"/>
          <w:lang w:eastAsia="zh-CN"/>
        </w:rPr>
        <w:t>SYJS-JNJS标段</w:t>
      </w:r>
    </w:p>
    <w:p w14:paraId="59086BC1">
      <w:pPr>
        <w:rPr>
          <w:rFonts w:hint="eastAsia" w:ascii="黑体" w:hAnsi="黑体" w:eastAsia="黑体" w:cs="黑体"/>
          <w:b w:val="0"/>
          <w:bCs w:val="0"/>
          <w:color w:val="auto"/>
          <w:highlight w:val="none"/>
        </w:rPr>
      </w:pPr>
    </w:p>
    <w:p w14:paraId="5642809F">
      <w:pPr>
        <w:rPr>
          <w:rFonts w:hint="eastAsia" w:ascii="黑体" w:hAnsi="黑体" w:eastAsia="黑体" w:cs="黑体"/>
          <w:b w:val="0"/>
          <w:bCs w:val="0"/>
          <w:color w:val="auto"/>
          <w:highlight w:val="none"/>
        </w:rPr>
      </w:pPr>
    </w:p>
    <w:p w14:paraId="4F4CE42F">
      <w:pPr>
        <w:rPr>
          <w:rFonts w:hint="eastAsia" w:ascii="黑体" w:hAnsi="黑体" w:eastAsia="黑体" w:cs="黑体"/>
          <w:b w:val="0"/>
          <w:bCs w:val="0"/>
          <w:color w:val="auto"/>
          <w:highlight w:val="none"/>
        </w:rPr>
      </w:pPr>
    </w:p>
    <w:p w14:paraId="6B32DED0">
      <w:pPr>
        <w:rPr>
          <w:rFonts w:hint="eastAsia" w:ascii="黑体" w:hAnsi="黑体" w:eastAsia="黑体" w:cs="黑体"/>
          <w:b w:val="0"/>
          <w:bCs w:val="0"/>
          <w:color w:val="auto"/>
          <w:highlight w:val="none"/>
        </w:rPr>
      </w:pPr>
    </w:p>
    <w:p w14:paraId="2344F852">
      <w:pPr>
        <w:spacing w:line="1100" w:lineRule="exact"/>
        <w:jc w:val="center"/>
        <w:rPr>
          <w:rFonts w:hint="eastAsia" w:ascii="黑体" w:hAnsi="黑体" w:eastAsia="黑体" w:cs="黑体"/>
          <w:b w:val="0"/>
          <w:bCs w:val="0"/>
          <w:color w:val="auto"/>
          <w:kern w:val="72"/>
          <w:sz w:val="84"/>
          <w:szCs w:val="84"/>
          <w:highlight w:val="none"/>
        </w:rPr>
      </w:pPr>
      <w:r>
        <w:rPr>
          <w:rFonts w:hint="eastAsia" w:ascii="黑体" w:hAnsi="黑体" w:eastAsia="黑体" w:cs="黑体"/>
          <w:b w:val="0"/>
          <w:bCs w:val="0"/>
          <w:color w:val="auto"/>
          <w:kern w:val="72"/>
          <w:sz w:val="84"/>
          <w:szCs w:val="84"/>
          <w:highlight w:val="none"/>
        </w:rPr>
        <w:t>招 标 文 件</w:t>
      </w:r>
    </w:p>
    <w:p w14:paraId="245BD978">
      <w:pPr>
        <w:rPr>
          <w:rFonts w:hint="eastAsia" w:ascii="黑体" w:hAnsi="黑体" w:eastAsia="黑体" w:cs="黑体"/>
          <w:b w:val="0"/>
          <w:bCs w:val="0"/>
          <w:color w:val="auto"/>
          <w:highlight w:val="none"/>
        </w:rPr>
      </w:pPr>
    </w:p>
    <w:p w14:paraId="3BCD130A">
      <w:pPr>
        <w:rPr>
          <w:rFonts w:hint="eastAsia" w:ascii="黑体" w:hAnsi="黑体" w:eastAsia="黑体" w:cs="黑体"/>
          <w:b w:val="0"/>
          <w:bCs w:val="0"/>
          <w:color w:val="auto"/>
          <w:highlight w:val="none"/>
        </w:rPr>
      </w:pPr>
    </w:p>
    <w:p w14:paraId="46551DE8">
      <w:pPr>
        <w:rPr>
          <w:rFonts w:hint="eastAsia" w:ascii="黑体" w:hAnsi="黑体" w:eastAsia="黑体" w:cs="黑体"/>
          <w:b w:val="0"/>
          <w:bCs w:val="0"/>
          <w:color w:val="auto"/>
          <w:highlight w:val="none"/>
        </w:rPr>
      </w:pPr>
    </w:p>
    <w:p w14:paraId="69C312BD">
      <w:pPr>
        <w:rPr>
          <w:rFonts w:hint="eastAsia" w:ascii="黑体" w:hAnsi="黑体" w:eastAsia="黑体" w:cs="黑体"/>
          <w:b w:val="0"/>
          <w:bCs w:val="0"/>
          <w:color w:val="auto"/>
          <w:highlight w:val="none"/>
        </w:rPr>
      </w:pPr>
    </w:p>
    <w:p w14:paraId="39230993">
      <w:pPr>
        <w:rPr>
          <w:rFonts w:hint="eastAsia" w:ascii="黑体" w:hAnsi="黑体" w:eastAsia="黑体" w:cs="黑体"/>
          <w:b w:val="0"/>
          <w:bCs w:val="0"/>
          <w:color w:val="auto"/>
          <w:highlight w:val="none"/>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2028825</wp:posOffset>
            </wp:positionH>
            <wp:positionV relativeFrom="paragraph">
              <wp:posOffset>123190</wp:posOffset>
            </wp:positionV>
            <wp:extent cx="2096135" cy="1764665"/>
            <wp:effectExtent l="0" t="0" r="0" b="0"/>
            <wp:wrapNone/>
            <wp:docPr id="5" name="图片 5" descr="1677630462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7630462226"/>
                    <pic:cNvPicPr>
                      <a:picLocks noChangeAspect="1"/>
                    </pic:cNvPicPr>
                  </pic:nvPicPr>
                  <pic:blipFill>
                    <a:blip r:embed="rId11">
                      <a:clrChange>
                        <a:clrFrom>
                          <a:srgbClr val="FFFFFF">
                            <a:alpha val="100000"/>
                          </a:srgbClr>
                        </a:clrFrom>
                        <a:clrTo>
                          <a:srgbClr val="FFFFFF">
                            <a:alpha val="100000"/>
                            <a:alpha val="0"/>
                          </a:srgbClr>
                        </a:clrTo>
                      </a:clrChange>
                    </a:blip>
                    <a:stretch>
                      <a:fillRect/>
                    </a:stretch>
                  </pic:blipFill>
                  <pic:spPr>
                    <a:xfrm>
                      <a:off x="0" y="0"/>
                      <a:ext cx="2096135" cy="1764665"/>
                    </a:xfrm>
                    <a:prstGeom prst="rect">
                      <a:avLst/>
                    </a:prstGeom>
                  </pic:spPr>
                </pic:pic>
              </a:graphicData>
            </a:graphic>
          </wp:anchor>
        </w:drawing>
      </w:r>
    </w:p>
    <w:tbl>
      <w:tblPr>
        <w:tblStyle w:val="30"/>
        <w:tblW w:w="0" w:type="auto"/>
        <w:jc w:val="center"/>
        <w:tblLayout w:type="fixed"/>
        <w:tblCellMar>
          <w:top w:w="0" w:type="dxa"/>
          <w:left w:w="108" w:type="dxa"/>
          <w:bottom w:w="0" w:type="dxa"/>
          <w:right w:w="108" w:type="dxa"/>
        </w:tblCellMar>
      </w:tblPr>
      <w:tblGrid>
        <w:gridCol w:w="1495"/>
        <w:gridCol w:w="491"/>
        <w:gridCol w:w="4993"/>
      </w:tblGrid>
      <w:tr w14:paraId="09CF99F4">
        <w:tblPrEx>
          <w:tblCellMar>
            <w:top w:w="0" w:type="dxa"/>
            <w:left w:w="108" w:type="dxa"/>
            <w:bottom w:w="0" w:type="dxa"/>
            <w:right w:w="108" w:type="dxa"/>
          </w:tblCellMar>
        </w:tblPrEx>
        <w:trPr>
          <w:jc w:val="center"/>
        </w:trPr>
        <w:tc>
          <w:tcPr>
            <w:tcW w:w="1495" w:type="dxa"/>
            <w:noWrap w:val="0"/>
            <w:vAlign w:val="top"/>
          </w:tcPr>
          <w:p w14:paraId="2829C573">
            <w:pPr>
              <w:jc w:val="distribute"/>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招标人</w:t>
            </w:r>
          </w:p>
        </w:tc>
        <w:tc>
          <w:tcPr>
            <w:tcW w:w="491" w:type="dxa"/>
            <w:noWrap w:val="0"/>
            <w:vAlign w:val="top"/>
          </w:tcPr>
          <w:p w14:paraId="6DA8320C">
            <w:pPr>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w:t>
            </w:r>
          </w:p>
        </w:tc>
        <w:tc>
          <w:tcPr>
            <w:tcW w:w="4993" w:type="dxa"/>
            <w:noWrap w:val="0"/>
            <w:vAlign w:val="top"/>
          </w:tcPr>
          <w:p w14:paraId="1E9AFC70">
            <w:pPr>
              <w:keepNext w:val="0"/>
              <w:keepLines w:val="0"/>
              <w:pageBreakBefore w:val="0"/>
              <w:widowControl w:val="0"/>
              <w:kinsoku/>
              <w:wordWrap/>
              <w:overflowPunct/>
              <w:topLinePunct w:val="0"/>
              <w:autoSpaceDE/>
              <w:autoSpaceDN/>
              <w:bidi w:val="0"/>
              <w:adjustRightInd/>
              <w:snapToGrid/>
              <w:spacing w:line="500" w:lineRule="exact"/>
              <w:jc w:val="distribute"/>
              <w:textAlignment w:val="auto"/>
              <w:rPr>
                <w:rFonts w:hint="eastAsia" w:ascii="黑体" w:hAnsi="黑体" w:eastAsia="黑体" w:cs="黑体"/>
                <w:b w:val="0"/>
                <w:bCs w:val="0"/>
                <w:color w:val="auto"/>
                <w:sz w:val="28"/>
                <w:szCs w:val="28"/>
                <w:highlight w:val="none"/>
                <w:lang w:eastAsia="zh-CN"/>
              </w:rPr>
            </w:pPr>
            <w:r>
              <w:rPr>
                <w:rFonts w:hint="eastAsia" w:ascii="黑体" w:hAnsi="黑体" w:eastAsia="黑体" w:cs="黑体"/>
                <w:b w:val="0"/>
                <w:bCs w:val="0"/>
                <w:color w:val="auto"/>
                <w:kern w:val="0"/>
                <w:sz w:val="28"/>
                <w:szCs w:val="28"/>
                <w:highlight w:val="none"/>
                <w:lang w:eastAsia="zh-CN"/>
              </w:rPr>
              <w:t>南通市江海河联运项目建设指挥部</w:t>
            </w:r>
          </w:p>
        </w:tc>
      </w:tr>
      <w:tr w14:paraId="33A9AFBF">
        <w:tblPrEx>
          <w:tblCellMar>
            <w:top w:w="0" w:type="dxa"/>
            <w:left w:w="108" w:type="dxa"/>
            <w:bottom w:w="0" w:type="dxa"/>
            <w:right w:w="108" w:type="dxa"/>
          </w:tblCellMar>
        </w:tblPrEx>
        <w:trPr>
          <w:jc w:val="center"/>
        </w:trPr>
        <w:tc>
          <w:tcPr>
            <w:tcW w:w="1495" w:type="dxa"/>
            <w:noWrap w:val="0"/>
            <w:vAlign w:val="top"/>
          </w:tcPr>
          <w:p w14:paraId="1EC41B40">
            <w:pPr>
              <w:jc w:val="distribute"/>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招标代理</w:t>
            </w:r>
          </w:p>
        </w:tc>
        <w:tc>
          <w:tcPr>
            <w:tcW w:w="491" w:type="dxa"/>
            <w:noWrap w:val="0"/>
            <w:vAlign w:val="top"/>
          </w:tcPr>
          <w:p w14:paraId="49A93CED">
            <w:pPr>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w:t>
            </w:r>
          </w:p>
        </w:tc>
        <w:tc>
          <w:tcPr>
            <w:tcW w:w="4993" w:type="dxa"/>
            <w:noWrap w:val="0"/>
            <w:vAlign w:val="top"/>
          </w:tcPr>
          <w:p w14:paraId="65816710">
            <w:pPr>
              <w:jc w:val="distribute"/>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国信国际工程咨询集团股份有限公司</w:t>
            </w:r>
          </w:p>
        </w:tc>
      </w:tr>
      <w:tr w14:paraId="114651AF">
        <w:tblPrEx>
          <w:tblCellMar>
            <w:top w:w="0" w:type="dxa"/>
            <w:left w:w="108" w:type="dxa"/>
            <w:bottom w:w="0" w:type="dxa"/>
            <w:right w:w="108" w:type="dxa"/>
          </w:tblCellMar>
        </w:tblPrEx>
        <w:trPr>
          <w:jc w:val="center"/>
        </w:trPr>
        <w:tc>
          <w:tcPr>
            <w:tcW w:w="6979" w:type="dxa"/>
            <w:gridSpan w:val="3"/>
            <w:noWrap w:val="0"/>
            <w:vAlign w:val="top"/>
          </w:tcPr>
          <w:p w14:paraId="15300C01">
            <w:pPr>
              <w:jc w:val="center"/>
              <w:rPr>
                <w:rFonts w:hint="eastAsia" w:ascii="黑体" w:hAnsi="黑体" w:eastAsia="黑体" w:cs="黑体"/>
                <w:b w:val="0"/>
                <w:bCs w:val="0"/>
                <w:color w:val="auto"/>
                <w:kern w:val="0"/>
                <w:sz w:val="28"/>
                <w:szCs w:val="28"/>
                <w:highlight w:val="none"/>
              </w:rPr>
            </w:pPr>
            <w:r>
              <w:rPr>
                <w:rFonts w:hint="eastAsia" w:ascii="黑体" w:hAnsi="黑体" w:eastAsia="黑体" w:cs="黑体"/>
                <w:b w:val="0"/>
                <w:bCs w:val="0"/>
                <w:color w:val="auto"/>
                <w:kern w:val="0"/>
                <w:sz w:val="28"/>
                <w:szCs w:val="28"/>
                <w:highlight w:val="none"/>
              </w:rPr>
              <w:t>二〇二</w:t>
            </w:r>
            <w:r>
              <w:rPr>
                <w:rFonts w:hint="eastAsia" w:ascii="黑体" w:hAnsi="黑体" w:eastAsia="黑体" w:cs="黑体"/>
                <w:b w:val="0"/>
                <w:bCs w:val="0"/>
                <w:color w:val="auto"/>
                <w:kern w:val="0"/>
                <w:sz w:val="28"/>
                <w:szCs w:val="28"/>
                <w:highlight w:val="none"/>
                <w:lang w:val="en-US" w:eastAsia="zh-CN"/>
              </w:rPr>
              <w:t>五</w:t>
            </w:r>
            <w:r>
              <w:rPr>
                <w:rFonts w:hint="eastAsia" w:ascii="黑体" w:hAnsi="黑体" w:eastAsia="黑体" w:cs="黑体"/>
                <w:b w:val="0"/>
                <w:bCs w:val="0"/>
                <w:color w:val="auto"/>
                <w:kern w:val="0"/>
                <w:sz w:val="28"/>
                <w:szCs w:val="28"/>
                <w:highlight w:val="none"/>
              </w:rPr>
              <w:t>年</w:t>
            </w:r>
            <w:r>
              <w:rPr>
                <w:rFonts w:hint="eastAsia" w:ascii="黑体" w:hAnsi="黑体" w:eastAsia="黑体" w:cs="黑体"/>
                <w:b w:val="0"/>
                <w:bCs w:val="0"/>
                <w:color w:val="auto"/>
                <w:kern w:val="0"/>
                <w:sz w:val="28"/>
                <w:szCs w:val="28"/>
                <w:highlight w:val="none"/>
                <w:lang w:val="en-US" w:eastAsia="zh-CN"/>
              </w:rPr>
              <w:t>六</w:t>
            </w:r>
            <w:r>
              <w:rPr>
                <w:rFonts w:hint="eastAsia" w:ascii="黑体" w:hAnsi="黑体" w:eastAsia="黑体" w:cs="黑体"/>
                <w:b w:val="0"/>
                <w:bCs w:val="0"/>
                <w:color w:val="auto"/>
                <w:kern w:val="0"/>
                <w:sz w:val="28"/>
                <w:szCs w:val="28"/>
                <w:highlight w:val="none"/>
              </w:rPr>
              <w:t>月</w:t>
            </w:r>
          </w:p>
        </w:tc>
      </w:tr>
    </w:tbl>
    <w:p w14:paraId="64EE830C">
      <w:pPr>
        <w:jc w:val="center"/>
        <w:rPr>
          <w:rFonts w:hint="eastAsia" w:ascii="宋体" w:hAnsi="宋体" w:cs="宋体"/>
          <w:color w:val="auto"/>
          <w:highlight w:val="none"/>
        </w:rPr>
      </w:pPr>
    </w:p>
    <w:p w14:paraId="6D66DAE7">
      <w:pPr>
        <w:pStyle w:val="28"/>
        <w:rPr>
          <w:rFonts w:hint="eastAsia" w:ascii="宋体" w:hAnsi="宋体" w:cs="宋体"/>
          <w:color w:val="auto"/>
          <w:highlight w:val="none"/>
        </w:rPr>
      </w:pPr>
      <w:bookmarkStart w:id="1" w:name="_Toc300760817"/>
      <w:r>
        <w:rPr>
          <w:rFonts w:hint="eastAsia" w:ascii="宋体" w:hAnsi="宋体" w:cs="宋体"/>
          <w:color w:val="auto"/>
          <w:highlight w:val="none"/>
        </w:rPr>
        <w:br w:type="page"/>
      </w:r>
      <w:bookmarkStart w:id="2" w:name="_Toc33625852"/>
      <w:bookmarkStart w:id="3" w:name="_Toc372633010"/>
      <w:bookmarkStart w:id="4" w:name="_Toc436730360"/>
      <w:bookmarkStart w:id="5" w:name="_Toc369273746"/>
    </w:p>
    <w:p w14:paraId="6C33DC0E">
      <w:pPr>
        <w:pStyle w:val="28"/>
        <w:rPr>
          <w:rFonts w:hint="eastAsia" w:ascii="宋体" w:hAnsi="宋体" w:cs="宋体"/>
          <w:color w:val="auto"/>
          <w:sz w:val="28"/>
          <w:szCs w:val="28"/>
          <w:highlight w:val="none"/>
        </w:rPr>
      </w:pPr>
    </w:p>
    <w:p w14:paraId="253A4E22">
      <w:pPr>
        <w:pStyle w:val="28"/>
        <w:rPr>
          <w:rFonts w:hint="eastAsia" w:ascii="宋体" w:hAnsi="宋体" w:cs="宋体"/>
          <w:color w:val="auto"/>
          <w:sz w:val="32"/>
          <w:szCs w:val="32"/>
          <w:highlight w:val="none"/>
        </w:rPr>
      </w:pPr>
      <w:r>
        <w:rPr>
          <w:rFonts w:hint="eastAsia" w:ascii="宋体" w:hAnsi="宋体" w:cs="宋体"/>
          <w:color w:val="auto"/>
          <w:sz w:val="32"/>
          <w:szCs w:val="32"/>
          <w:highlight w:val="none"/>
        </w:rPr>
        <w:t xml:space="preserve">目 </w:t>
      </w:r>
      <w:r>
        <w:rPr>
          <w:rFonts w:hint="eastAsia" w:ascii="宋体" w:hAnsi="宋体" w:cs="宋体"/>
          <w:color w:val="auto"/>
          <w:sz w:val="32"/>
          <w:szCs w:val="32"/>
          <w:highlight w:val="none"/>
          <w:lang w:val="en-US" w:eastAsia="zh-CN"/>
        </w:rPr>
        <w:t xml:space="preserve"> </w:t>
      </w:r>
      <w:r>
        <w:rPr>
          <w:rFonts w:hint="eastAsia" w:ascii="宋体" w:hAnsi="宋体" w:cs="宋体"/>
          <w:color w:val="auto"/>
          <w:sz w:val="32"/>
          <w:szCs w:val="32"/>
          <w:highlight w:val="none"/>
        </w:rPr>
        <w:t>录</w:t>
      </w:r>
      <w:bookmarkEnd w:id="1"/>
      <w:bookmarkEnd w:id="2"/>
      <w:bookmarkEnd w:id="3"/>
      <w:bookmarkEnd w:id="4"/>
      <w:bookmarkEnd w:id="5"/>
    </w:p>
    <w:p w14:paraId="52216E24">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TOC \o "1-3" \h \z \u </w:instrText>
      </w:r>
      <w:r>
        <w:rPr>
          <w:rFonts w:hint="eastAsia" w:ascii="宋体" w:hAnsi="宋体" w:cs="宋体"/>
          <w:b/>
          <w:bCs/>
          <w:color w:val="auto"/>
          <w:sz w:val="28"/>
          <w:szCs w:val="28"/>
          <w:highlight w:val="none"/>
        </w:rPr>
        <w:fldChar w:fldCharType="separate"/>
      </w:r>
    </w:p>
    <w:p w14:paraId="5EED8082">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"_Toc33625853"</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第一章 招标公告</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 PAGEREF _Toc33625853 \h </w:instrText>
      </w:r>
      <w:r>
        <w:rPr>
          <w:rFonts w:hint="eastAsia" w:ascii="宋体" w:hAnsi="宋体" w:cs="宋体"/>
          <w:b/>
          <w:bCs/>
          <w:color w:val="auto"/>
          <w:sz w:val="28"/>
          <w:szCs w:val="28"/>
          <w:highlight w:val="none"/>
        </w:rPr>
        <w:fldChar w:fldCharType="separate"/>
      </w:r>
      <w:r>
        <w:rPr>
          <w:rFonts w:hint="eastAsia" w:ascii="宋体" w:hAnsi="宋体" w:cs="宋体"/>
          <w:b/>
          <w:bCs/>
          <w:color w:val="auto"/>
          <w:sz w:val="28"/>
          <w:szCs w:val="28"/>
          <w:highlight w:val="none"/>
        </w:rPr>
        <w:t>1</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rPr>
        <w:fldChar w:fldCharType="end"/>
      </w:r>
    </w:p>
    <w:p w14:paraId="22467246">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"_Toc33625854"</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第二章 投标人须知</w:t>
      </w:r>
      <w:bookmarkStart w:id="6" w:name="_Hlt60013643"/>
      <w:bookmarkStart w:id="7" w:name="_Hlt60013642"/>
      <w:r>
        <w:rPr>
          <w:rFonts w:hint="eastAsia" w:ascii="宋体" w:hAnsi="宋体" w:cs="宋体"/>
          <w:b/>
          <w:bCs/>
          <w:color w:val="auto"/>
          <w:sz w:val="28"/>
          <w:szCs w:val="28"/>
          <w:highlight w:val="none"/>
        </w:rPr>
        <w:tab/>
      </w:r>
      <w:bookmarkEnd w:id="6"/>
      <w:bookmarkEnd w:id="7"/>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 PAGEREF _Toc33625854 \h </w:instrText>
      </w:r>
      <w:r>
        <w:rPr>
          <w:rFonts w:hint="eastAsia" w:ascii="宋体" w:hAnsi="宋体" w:cs="宋体"/>
          <w:b/>
          <w:bCs/>
          <w:color w:val="auto"/>
          <w:sz w:val="28"/>
          <w:szCs w:val="28"/>
          <w:highlight w:val="none"/>
        </w:rPr>
        <w:fldChar w:fldCharType="separate"/>
      </w:r>
      <w:r>
        <w:rPr>
          <w:rFonts w:hint="eastAsia" w:ascii="宋体" w:hAnsi="宋体" w:cs="宋体"/>
          <w:b/>
          <w:bCs/>
          <w:color w:val="auto"/>
          <w:sz w:val="28"/>
          <w:szCs w:val="28"/>
          <w:highlight w:val="none"/>
        </w:rPr>
        <w:t>4</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rPr>
        <w:fldChar w:fldCharType="end"/>
      </w:r>
    </w:p>
    <w:p w14:paraId="515668FE">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"_Toc33625855"</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第三章 评标办法</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 PAGEREF _Toc33625855 \h </w:instrText>
      </w:r>
      <w:r>
        <w:rPr>
          <w:rFonts w:hint="eastAsia" w:ascii="宋体" w:hAnsi="宋体" w:cs="宋体"/>
          <w:b/>
          <w:bCs/>
          <w:color w:val="auto"/>
          <w:sz w:val="28"/>
          <w:szCs w:val="28"/>
          <w:highlight w:val="none"/>
        </w:rPr>
        <w:fldChar w:fldCharType="separate"/>
      </w:r>
      <w:r>
        <w:rPr>
          <w:rFonts w:hint="eastAsia" w:ascii="宋体" w:hAnsi="宋体" w:cs="宋体"/>
          <w:b/>
          <w:bCs/>
          <w:color w:val="auto"/>
          <w:sz w:val="28"/>
          <w:szCs w:val="28"/>
          <w:highlight w:val="none"/>
        </w:rPr>
        <w:t>13</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rPr>
        <w:fldChar w:fldCharType="end"/>
      </w:r>
    </w:p>
    <w:p w14:paraId="52271D60">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"_Toc33625856"</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第四章 合同条款及格式</w:t>
      </w:r>
      <w:r>
        <w:rPr>
          <w:rFonts w:hint="eastAsia" w:ascii="宋体" w:hAnsi="宋体" w:cs="宋体"/>
          <w:b/>
          <w:bCs/>
          <w:color w:val="auto"/>
          <w:sz w:val="28"/>
          <w:szCs w:val="28"/>
          <w:highlight w:val="none"/>
        </w:rPr>
        <w:tab/>
      </w: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 PAGEREF _Toc33625856 \h </w:instrText>
      </w:r>
      <w:r>
        <w:rPr>
          <w:rFonts w:hint="eastAsia" w:ascii="宋体" w:hAnsi="宋体" w:cs="宋体"/>
          <w:b/>
          <w:bCs/>
          <w:color w:val="auto"/>
          <w:sz w:val="28"/>
          <w:szCs w:val="28"/>
          <w:highlight w:val="none"/>
        </w:rPr>
        <w:fldChar w:fldCharType="separate"/>
      </w:r>
      <w:r>
        <w:rPr>
          <w:rFonts w:hint="eastAsia" w:ascii="宋体" w:hAnsi="宋体" w:cs="宋体"/>
          <w:b/>
          <w:bCs/>
          <w:color w:val="auto"/>
          <w:sz w:val="28"/>
          <w:szCs w:val="28"/>
          <w:highlight w:val="none"/>
        </w:rPr>
        <w:t>21</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rPr>
        <w:fldChar w:fldCharType="end"/>
      </w:r>
    </w:p>
    <w:p w14:paraId="77702170">
      <w:pPr>
        <w:pStyle w:val="22"/>
        <w:rPr>
          <w:rFonts w:hint="eastAsia" w:ascii="宋体" w:hAnsi="宋体" w:eastAsia="宋体" w:cs="宋体"/>
          <w:b/>
          <w:bCs/>
          <w:color w:val="auto"/>
          <w:sz w:val="28"/>
          <w:szCs w:val="28"/>
          <w:highlight w:val="none"/>
          <w:lang w:val="en-US" w:eastAsia="zh-CN"/>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"_Toc33625862"</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 xml:space="preserve">第五章 </w:t>
      </w:r>
      <w:bookmarkStart w:id="8" w:name="_Hlt50981153"/>
      <w:bookmarkStart w:id="9" w:name="_Hlt50981154"/>
      <w:bookmarkStart w:id="10" w:name="_Hlt33625890"/>
      <w:bookmarkStart w:id="11" w:name="_Hlt33625891"/>
      <w:r>
        <w:rPr>
          <w:rStyle w:val="41"/>
          <w:rFonts w:hint="eastAsia" w:ascii="宋体" w:hAnsi="宋体" w:cs="宋体"/>
          <w:b/>
          <w:bCs/>
          <w:color w:val="auto"/>
          <w:sz w:val="28"/>
          <w:szCs w:val="28"/>
          <w:highlight w:val="none"/>
          <w:lang w:val="en-US" w:eastAsia="zh-CN"/>
        </w:rPr>
        <w:t>技术规范</w:t>
      </w:r>
      <w:r>
        <w:rPr>
          <w:rFonts w:hint="eastAsia" w:ascii="宋体" w:hAnsi="宋体" w:cs="宋体"/>
          <w:b/>
          <w:bCs/>
          <w:color w:val="auto"/>
          <w:sz w:val="28"/>
          <w:szCs w:val="28"/>
          <w:highlight w:val="none"/>
        </w:rPr>
        <w:tab/>
      </w:r>
      <w:bookmarkEnd w:id="8"/>
      <w:bookmarkEnd w:id="9"/>
      <w:bookmarkEnd w:id="10"/>
      <w:bookmarkEnd w:id="11"/>
      <w:r>
        <w:rPr>
          <w:rFonts w:hint="eastAsia" w:ascii="宋体" w:hAnsi="宋体" w:cs="宋体"/>
          <w:b/>
          <w:bCs/>
          <w:color w:val="auto"/>
          <w:sz w:val="28"/>
          <w:szCs w:val="28"/>
          <w:highlight w:val="none"/>
          <w:lang w:val="en-US" w:eastAsia="zh-CN"/>
        </w:rPr>
        <w:t>3</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lang w:val="en-US" w:eastAsia="zh-CN"/>
        </w:rPr>
        <w:t>2</w:t>
      </w:r>
    </w:p>
    <w:p w14:paraId="21E8185E">
      <w:pPr>
        <w:pStyle w:val="22"/>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fldChar w:fldCharType="begin"/>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instrText xml:space="preserve">HYPERLINK \l "_Toc33625863"</w:instrText>
      </w:r>
      <w:r>
        <w:rPr>
          <w:rStyle w:val="41"/>
          <w:rFonts w:hint="eastAsia" w:ascii="宋体" w:hAnsi="宋体" w:cs="宋体"/>
          <w:b/>
          <w:bCs/>
          <w:color w:val="auto"/>
          <w:sz w:val="28"/>
          <w:szCs w:val="28"/>
          <w:highlight w:val="none"/>
        </w:rPr>
        <w:instrText xml:space="preserve"> </w:instrText>
      </w:r>
      <w:r>
        <w:rPr>
          <w:rFonts w:hint="eastAsia" w:ascii="宋体" w:hAnsi="宋体" w:cs="宋体"/>
          <w:b/>
          <w:bCs/>
          <w:color w:val="auto"/>
          <w:sz w:val="28"/>
          <w:szCs w:val="28"/>
          <w:highlight w:val="none"/>
        </w:rPr>
        <w:fldChar w:fldCharType="separate"/>
      </w:r>
      <w:r>
        <w:rPr>
          <w:rStyle w:val="41"/>
          <w:rFonts w:hint="eastAsia" w:ascii="宋体" w:hAnsi="宋体" w:cs="宋体"/>
          <w:b/>
          <w:bCs/>
          <w:color w:val="auto"/>
          <w:sz w:val="28"/>
          <w:szCs w:val="28"/>
          <w:highlight w:val="none"/>
        </w:rPr>
        <w:t>第六章 投标文件格式</w:t>
      </w:r>
      <w:bookmarkStart w:id="12" w:name="_Hlt38355084"/>
      <w:bookmarkStart w:id="13" w:name="_Hlt38355083"/>
      <w:r>
        <w:rPr>
          <w:rFonts w:hint="eastAsia" w:ascii="宋体" w:hAnsi="宋体" w:cs="宋体"/>
          <w:b/>
          <w:bCs/>
          <w:color w:val="auto"/>
          <w:sz w:val="28"/>
          <w:szCs w:val="28"/>
          <w:highlight w:val="none"/>
        </w:rPr>
        <w:tab/>
      </w:r>
      <w:bookmarkEnd w:id="12"/>
      <w:bookmarkEnd w:id="13"/>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 PAGEREF _Toc33625863 \h </w:instrText>
      </w:r>
      <w:r>
        <w:rPr>
          <w:rFonts w:hint="eastAsia" w:ascii="宋体" w:hAnsi="宋体" w:cs="宋体"/>
          <w:b/>
          <w:bCs/>
          <w:color w:val="auto"/>
          <w:sz w:val="28"/>
          <w:szCs w:val="28"/>
          <w:highlight w:val="none"/>
        </w:rPr>
        <w:fldChar w:fldCharType="separate"/>
      </w:r>
      <w:r>
        <w:rPr>
          <w:rFonts w:hint="eastAsia" w:ascii="宋体" w:hAnsi="宋体" w:cs="宋体"/>
          <w:b/>
          <w:bCs/>
          <w:color w:val="auto"/>
          <w:sz w:val="28"/>
          <w:szCs w:val="28"/>
          <w:highlight w:val="none"/>
        </w:rPr>
        <w:t>38</w:t>
      </w:r>
      <w:r>
        <w:rPr>
          <w:rFonts w:hint="eastAsia" w:ascii="宋体" w:hAnsi="宋体" w:cs="宋体"/>
          <w:b/>
          <w:bCs/>
          <w:color w:val="auto"/>
          <w:sz w:val="28"/>
          <w:szCs w:val="28"/>
          <w:highlight w:val="none"/>
        </w:rPr>
        <w:fldChar w:fldCharType="end"/>
      </w:r>
      <w:r>
        <w:rPr>
          <w:rFonts w:hint="eastAsia" w:ascii="宋体" w:hAnsi="宋体" w:cs="宋体"/>
          <w:b/>
          <w:bCs/>
          <w:color w:val="auto"/>
          <w:sz w:val="28"/>
          <w:szCs w:val="28"/>
          <w:highlight w:val="none"/>
        </w:rPr>
        <w:fldChar w:fldCharType="end"/>
      </w:r>
    </w:p>
    <w:p w14:paraId="1CDEA5E1">
      <w:pPr>
        <w:pStyle w:val="22"/>
        <w:rPr>
          <w:rFonts w:ascii="宋体" w:hAnsi="宋体"/>
          <w:color w:val="auto"/>
          <w:highlight w:val="none"/>
        </w:rPr>
        <w:sectPr>
          <w:footerReference r:id="rId5" w:type="default"/>
          <w:pgSz w:w="11906" w:h="16838"/>
          <w:pgMar w:top="1361" w:right="1361" w:bottom="1361" w:left="1361" w:header="850" w:footer="964" w:gutter="170"/>
          <w:pgNumType w:start="1"/>
          <w:cols w:space="720" w:num="1"/>
          <w:docGrid w:linePitch="381" w:charSpace="0"/>
        </w:sectPr>
      </w:pPr>
      <w:r>
        <w:rPr>
          <w:rFonts w:hint="eastAsia" w:ascii="宋体" w:hAnsi="宋体" w:cs="宋体"/>
          <w:b/>
          <w:bCs/>
          <w:color w:val="auto"/>
          <w:sz w:val="28"/>
          <w:szCs w:val="28"/>
          <w:highlight w:val="none"/>
        </w:rPr>
        <w:fldChar w:fldCharType="end"/>
      </w:r>
      <w:bookmarkStart w:id="14" w:name="_Toc300760818"/>
    </w:p>
    <w:p w14:paraId="767FF77B">
      <w:pPr>
        <w:pStyle w:val="28"/>
        <w:spacing w:before="120" w:beforeLines="50" w:after="0" w:line="360" w:lineRule="auto"/>
        <w:rPr>
          <w:color w:val="auto"/>
          <w:sz w:val="32"/>
          <w:szCs w:val="22"/>
          <w:highlight w:val="none"/>
        </w:rPr>
      </w:pPr>
      <w:bookmarkStart w:id="15" w:name="_Toc33625853"/>
      <w:r>
        <w:rPr>
          <w:rFonts w:hint="eastAsia"/>
          <w:color w:val="auto"/>
          <w:sz w:val="32"/>
          <w:szCs w:val="22"/>
          <w:highlight w:val="none"/>
        </w:rPr>
        <w:t xml:space="preserve">第一章 </w:t>
      </w:r>
      <w:bookmarkEnd w:id="14"/>
      <w:r>
        <w:rPr>
          <w:rFonts w:hint="eastAsia"/>
          <w:color w:val="auto"/>
          <w:sz w:val="32"/>
          <w:szCs w:val="22"/>
          <w:highlight w:val="none"/>
        </w:rPr>
        <w:t>招标公告</w:t>
      </w:r>
      <w:bookmarkEnd w:id="15"/>
    </w:p>
    <w:p w14:paraId="3D3020CC">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bookmarkStart w:id="16" w:name="_Toc300760819"/>
      <w:r>
        <w:rPr>
          <w:rFonts w:hint="eastAsia" w:ascii="宋体" w:hAnsi="宋体" w:eastAsia="宋体" w:cs="宋体"/>
          <w:b/>
          <w:bCs/>
          <w:color w:val="auto"/>
          <w:sz w:val="22"/>
          <w:szCs w:val="22"/>
          <w:highlight w:val="none"/>
        </w:rPr>
        <w:t>1、招标条件</w:t>
      </w:r>
    </w:p>
    <w:p w14:paraId="737E3AD1">
      <w:pPr>
        <w:adjustRightInd w:val="0"/>
        <w:snapToGrid w:val="0"/>
        <w:spacing w:line="360" w:lineRule="auto"/>
        <w:ind w:firstLine="440" w:firstLineChars="200"/>
        <w:rPr>
          <w:rFonts w:ascii="宋体" w:hAnsi="宋体" w:cs="Times New Roman"/>
          <w:color w:val="auto"/>
          <w:sz w:val="22"/>
          <w:szCs w:val="22"/>
          <w:highlight w:val="none"/>
        </w:rPr>
      </w:pPr>
      <w:r>
        <w:rPr>
          <w:rFonts w:hint="eastAsia" w:ascii="宋体" w:hAnsi="宋体" w:cs="Times New Roman"/>
          <w:color w:val="auto"/>
          <w:sz w:val="22"/>
          <w:szCs w:val="22"/>
          <w:highlight w:val="none"/>
          <w:u w:val="single"/>
          <w:lang w:eastAsia="zh-CN"/>
        </w:rPr>
        <w:t>“水运江苏”建设跨江竞技劳动技能竞赛服务项目</w:t>
      </w:r>
      <w:r>
        <w:rPr>
          <w:rFonts w:hint="eastAsia" w:ascii="宋体" w:hAnsi="宋体" w:cs="Times New Roman"/>
          <w:color w:val="auto"/>
          <w:sz w:val="22"/>
          <w:szCs w:val="22"/>
          <w:highlight w:val="none"/>
        </w:rPr>
        <w:t>资金已落实</w:t>
      </w:r>
      <w:r>
        <w:rPr>
          <w:rFonts w:hint="eastAsia" w:ascii="宋体" w:hAnsi="宋体" w:cs="Times New Roman"/>
          <w:color w:val="auto"/>
          <w:sz w:val="22"/>
          <w:szCs w:val="22"/>
          <w:highlight w:val="none"/>
          <w:lang w:eastAsia="zh-CN"/>
        </w:rPr>
        <w:t>，</w:t>
      </w:r>
      <w:r>
        <w:rPr>
          <w:rFonts w:hint="eastAsia" w:ascii="宋体" w:hAnsi="宋体" w:cs="Times New Roman"/>
          <w:color w:val="auto"/>
          <w:sz w:val="22"/>
          <w:szCs w:val="22"/>
          <w:highlight w:val="none"/>
        </w:rPr>
        <w:t>招标人为</w:t>
      </w:r>
      <w:r>
        <w:rPr>
          <w:rFonts w:hint="eastAsia" w:ascii="宋体" w:hAnsi="宋体" w:cs="Times New Roman"/>
          <w:color w:val="auto"/>
          <w:sz w:val="22"/>
          <w:szCs w:val="22"/>
          <w:highlight w:val="none"/>
          <w:u w:val="single"/>
        </w:rPr>
        <w:t>南通市江海河联运项目建设指挥部</w:t>
      </w:r>
      <w:r>
        <w:rPr>
          <w:rFonts w:hint="eastAsia" w:ascii="宋体" w:hAnsi="宋体" w:cs="Times New Roman"/>
          <w:color w:val="auto"/>
          <w:sz w:val="22"/>
          <w:szCs w:val="22"/>
          <w:highlight w:val="none"/>
        </w:rPr>
        <w:t>。现招标人委托招标代理</w:t>
      </w:r>
      <w:bookmarkStart w:id="17" w:name="OLE_LINK12"/>
      <w:r>
        <w:rPr>
          <w:rFonts w:hint="eastAsia" w:ascii="宋体" w:hAnsi="宋体" w:cs="Times New Roman"/>
          <w:color w:val="auto"/>
          <w:sz w:val="22"/>
          <w:szCs w:val="22"/>
          <w:highlight w:val="none"/>
          <w:u w:val="single"/>
        </w:rPr>
        <w:t>国信国际工程咨询集团股份有限公司</w:t>
      </w:r>
      <w:bookmarkEnd w:id="17"/>
      <w:r>
        <w:rPr>
          <w:rFonts w:hint="eastAsia" w:ascii="宋体" w:hAnsi="宋体" w:cs="Times New Roman"/>
          <w:color w:val="auto"/>
          <w:sz w:val="22"/>
          <w:szCs w:val="22"/>
          <w:highlight w:val="none"/>
        </w:rPr>
        <w:t>对</w:t>
      </w:r>
      <w:bookmarkStart w:id="18" w:name="_Hlk109913398"/>
      <w:r>
        <w:rPr>
          <w:rFonts w:hint="eastAsia" w:ascii="宋体" w:hAnsi="宋体" w:cs="Times New Roman"/>
          <w:color w:val="auto"/>
          <w:sz w:val="22"/>
          <w:szCs w:val="22"/>
          <w:highlight w:val="none"/>
          <w:u w:val="single"/>
          <w:lang w:eastAsia="zh-CN"/>
        </w:rPr>
        <w:t>“水运江苏”建设跨江竞技劳动技能竞赛服务项目SYJS-JNJS</w:t>
      </w:r>
      <w:r>
        <w:rPr>
          <w:rFonts w:hint="eastAsia" w:ascii="宋体" w:hAnsi="宋体" w:cs="Times New Roman"/>
          <w:color w:val="auto"/>
          <w:sz w:val="22"/>
          <w:szCs w:val="22"/>
          <w:highlight w:val="none"/>
          <w:u w:val="single"/>
        </w:rPr>
        <w:t>标段</w:t>
      </w:r>
      <w:bookmarkEnd w:id="18"/>
      <w:r>
        <w:rPr>
          <w:rFonts w:hint="eastAsia" w:ascii="宋体" w:hAnsi="宋体" w:cs="Times New Roman"/>
          <w:color w:val="auto"/>
          <w:sz w:val="22"/>
          <w:szCs w:val="22"/>
          <w:highlight w:val="none"/>
        </w:rPr>
        <w:t>进行国内公开招标</w:t>
      </w:r>
      <w:r>
        <w:rPr>
          <w:rFonts w:hint="eastAsia" w:ascii="宋体" w:hAnsi="宋体" w:cs="Times New Roman"/>
          <w:color w:val="auto"/>
          <w:sz w:val="22"/>
          <w:szCs w:val="22"/>
          <w:highlight w:val="none"/>
          <w:lang w:eastAsia="zh-CN"/>
        </w:rPr>
        <w:t>，</w:t>
      </w:r>
      <w:r>
        <w:rPr>
          <w:rFonts w:hint="eastAsia" w:ascii="宋体" w:hAnsi="宋体" w:cs="Times New Roman"/>
          <w:color w:val="auto"/>
          <w:sz w:val="22"/>
          <w:szCs w:val="22"/>
          <w:highlight w:val="none"/>
        </w:rPr>
        <w:t>欢迎符合本项目资格要求的单位按招标文件规定的内容和时间要求</w:t>
      </w:r>
      <w:r>
        <w:rPr>
          <w:rFonts w:hint="eastAsia" w:ascii="宋体" w:hAnsi="宋体" w:cs="Times New Roman"/>
          <w:color w:val="auto"/>
          <w:sz w:val="22"/>
          <w:szCs w:val="22"/>
          <w:highlight w:val="none"/>
          <w:lang w:eastAsia="zh-CN"/>
        </w:rPr>
        <w:t>，</w:t>
      </w:r>
      <w:r>
        <w:rPr>
          <w:rFonts w:hint="eastAsia" w:ascii="宋体" w:hAnsi="宋体" w:cs="Times New Roman"/>
          <w:color w:val="auto"/>
          <w:sz w:val="22"/>
          <w:szCs w:val="22"/>
          <w:highlight w:val="none"/>
        </w:rPr>
        <w:t>参加本项目的投标。</w:t>
      </w:r>
    </w:p>
    <w:p w14:paraId="6E504365">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2、项目概况与招标范围</w:t>
      </w:r>
    </w:p>
    <w:p w14:paraId="49945EDA">
      <w:pPr>
        <w:adjustRightInd w:val="0"/>
        <w:snapToGrid w:val="0"/>
        <w:spacing w:line="360" w:lineRule="auto"/>
        <w:ind w:firstLine="442" w:firstLineChars="200"/>
        <w:rPr>
          <w:rFonts w:hint="eastAsia" w:ascii="宋体" w:hAnsi="宋体" w:cs="Times New Roman"/>
          <w:b/>
          <w:bCs/>
          <w:color w:val="auto"/>
          <w:sz w:val="22"/>
          <w:szCs w:val="22"/>
          <w:highlight w:val="none"/>
        </w:rPr>
      </w:pPr>
      <w:bookmarkStart w:id="19" w:name="OLE_LINK13"/>
      <w:r>
        <w:rPr>
          <w:rFonts w:hint="eastAsia" w:ascii="宋体" w:hAnsi="宋体" w:cs="Times New Roman"/>
          <w:b/>
          <w:bCs/>
          <w:color w:val="auto"/>
          <w:sz w:val="22"/>
          <w:szCs w:val="22"/>
          <w:highlight w:val="none"/>
        </w:rPr>
        <w:t>2</w:t>
      </w:r>
      <w:r>
        <w:rPr>
          <w:rFonts w:ascii="宋体" w:hAnsi="宋体" w:cs="Times New Roman"/>
          <w:b/>
          <w:bCs/>
          <w:color w:val="auto"/>
          <w:sz w:val="22"/>
          <w:szCs w:val="22"/>
          <w:highlight w:val="none"/>
        </w:rPr>
        <w:t>.1</w:t>
      </w:r>
      <w:r>
        <w:rPr>
          <w:rFonts w:hint="eastAsia" w:ascii="宋体" w:hAnsi="宋体" w:cs="Times New Roman"/>
          <w:b/>
          <w:bCs/>
          <w:color w:val="auto"/>
          <w:sz w:val="22"/>
          <w:szCs w:val="22"/>
          <w:highlight w:val="none"/>
        </w:rPr>
        <w:t>项目概况</w:t>
      </w:r>
    </w:p>
    <w:p w14:paraId="5D9979D5">
      <w:pPr>
        <w:numPr>
          <w:ilvl w:val="0"/>
          <w:numId w:val="0"/>
        </w:numPr>
        <w:adjustRightInd w:val="0"/>
        <w:snapToGrid w:val="0"/>
        <w:spacing w:line="360" w:lineRule="auto"/>
        <w:ind w:firstLine="440" w:firstLineChars="200"/>
        <w:rPr>
          <w:rFonts w:hint="eastAsia" w:ascii="宋体" w:hAnsi="宋体" w:eastAsia="宋体" w:cs="Times New Roman"/>
          <w:color w:val="auto"/>
          <w:kern w:val="2"/>
          <w:sz w:val="22"/>
          <w:szCs w:val="22"/>
          <w:highlight w:val="none"/>
          <w:lang w:val="en-US" w:eastAsia="zh-CN" w:bidi="ar-SA"/>
        </w:rPr>
      </w:pPr>
      <w:r>
        <w:rPr>
          <w:rFonts w:hint="eastAsia" w:cs="宋体"/>
          <w:b w:val="0"/>
          <w:bCs w:val="0"/>
          <w:color w:val="auto"/>
          <w:sz w:val="22"/>
          <w:szCs w:val="22"/>
          <w:highlight w:val="none"/>
        </w:rPr>
        <w:t>为大力弘扬劳模精神、劳动精神、工匠精神，组织动员广大交通职工为加快打造更具特色的“水运江苏”，</w:t>
      </w:r>
      <w:r>
        <w:rPr>
          <w:rFonts w:hint="eastAsia" w:cs="宋体"/>
          <w:b w:val="0"/>
          <w:bCs w:val="0"/>
          <w:color w:val="auto"/>
          <w:sz w:val="22"/>
          <w:szCs w:val="22"/>
          <w:highlight w:val="none"/>
          <w:lang w:val="en-US" w:eastAsia="zh-CN"/>
        </w:rPr>
        <w:t>本项目依托</w:t>
      </w:r>
      <w:r>
        <w:rPr>
          <w:rFonts w:hint="eastAsia" w:ascii="宋体" w:hAnsi="宋体" w:eastAsia="宋体" w:cs="Times New Roman"/>
          <w:color w:val="auto"/>
          <w:sz w:val="22"/>
          <w:szCs w:val="22"/>
          <w:highlight w:val="none"/>
          <w:u w:val="none"/>
          <w:lang w:val="en-US" w:eastAsia="zh-CN"/>
        </w:rPr>
        <w:t>通海港区-通州湾港区疏港航道双桥枢纽工程，</w:t>
      </w:r>
      <w:r>
        <w:rPr>
          <w:rFonts w:hint="eastAsia" w:cs="宋体"/>
          <w:b w:val="0"/>
          <w:bCs w:val="0"/>
          <w:color w:val="auto"/>
          <w:sz w:val="22"/>
          <w:szCs w:val="22"/>
          <w:highlight w:val="none"/>
        </w:rPr>
        <w:t>通过竞赛活动，提升南通港航和苏州港航从业人员的业务能力和技能水平，促进水运江苏建设的高质量发展。经研究决定举办“水运江苏”建设跨江竞技劳动技能竞赛。竞赛分为笔试和实操</w:t>
      </w:r>
      <w:r>
        <w:rPr>
          <w:rFonts w:hint="eastAsia" w:cs="宋体"/>
          <w:b w:val="0"/>
          <w:bCs w:val="0"/>
          <w:color w:val="auto"/>
          <w:sz w:val="22"/>
          <w:szCs w:val="22"/>
          <w:highlight w:val="none"/>
          <w:lang w:eastAsia="zh-CN"/>
        </w:rPr>
        <w:t>（</w:t>
      </w:r>
      <w:r>
        <w:rPr>
          <w:rFonts w:hint="eastAsia" w:cs="宋体"/>
          <w:b w:val="0"/>
          <w:bCs w:val="0"/>
          <w:color w:val="auto"/>
          <w:sz w:val="22"/>
          <w:szCs w:val="22"/>
          <w:highlight w:val="none"/>
        </w:rPr>
        <w:t>实操：工程项目临时用电、工程试验检测</w:t>
      </w:r>
      <w:r>
        <w:rPr>
          <w:rFonts w:hint="eastAsia" w:cs="宋体"/>
          <w:b w:val="0"/>
          <w:bCs w:val="0"/>
          <w:color w:val="auto"/>
          <w:sz w:val="22"/>
          <w:szCs w:val="22"/>
          <w:highlight w:val="none"/>
          <w:lang w:eastAsia="zh-CN"/>
        </w:rPr>
        <w:t>、</w:t>
      </w:r>
      <w:r>
        <w:rPr>
          <w:rFonts w:hint="eastAsia" w:cs="宋体"/>
          <w:b w:val="0"/>
          <w:bCs w:val="0"/>
          <w:color w:val="auto"/>
          <w:sz w:val="22"/>
          <w:szCs w:val="22"/>
          <w:highlight w:val="none"/>
        </w:rPr>
        <w:t>航道测量、船闸机电操作</w:t>
      </w:r>
      <w:r>
        <w:rPr>
          <w:rFonts w:hint="eastAsia" w:cs="宋体"/>
          <w:b w:val="0"/>
          <w:bCs w:val="0"/>
          <w:color w:val="auto"/>
          <w:sz w:val="22"/>
          <w:szCs w:val="22"/>
          <w:highlight w:val="none"/>
          <w:lang w:eastAsia="zh-CN"/>
        </w:rPr>
        <w:t>）</w:t>
      </w:r>
      <w:r>
        <w:rPr>
          <w:rFonts w:hint="eastAsia" w:cs="宋体"/>
          <w:b w:val="0"/>
          <w:bCs w:val="0"/>
          <w:color w:val="auto"/>
          <w:sz w:val="22"/>
          <w:szCs w:val="22"/>
          <w:highlight w:val="none"/>
        </w:rPr>
        <w:t>两部分</w:t>
      </w:r>
      <w:r>
        <w:rPr>
          <w:rFonts w:hint="eastAsia" w:cs="宋体"/>
          <w:b w:val="0"/>
          <w:bCs w:val="0"/>
          <w:color w:val="auto"/>
          <w:sz w:val="22"/>
          <w:szCs w:val="22"/>
          <w:highlight w:val="none"/>
          <w:lang w:eastAsia="zh-CN"/>
        </w:rPr>
        <w:t>。</w:t>
      </w:r>
      <w:r>
        <w:rPr>
          <w:rFonts w:hint="eastAsia" w:cs="宋体"/>
          <w:b w:val="0"/>
          <w:bCs w:val="0"/>
          <w:color w:val="auto"/>
          <w:sz w:val="22"/>
          <w:szCs w:val="22"/>
          <w:highlight w:val="none"/>
          <w:lang w:val="en-US" w:eastAsia="zh-CN"/>
        </w:rPr>
        <w:t>赛事由南通和苏州轮流主办，</w:t>
      </w:r>
      <w:r>
        <w:rPr>
          <w:rFonts w:hint="eastAsia" w:cs="宋体"/>
          <w:b w:val="0"/>
          <w:bCs w:val="0"/>
          <w:color w:val="auto"/>
          <w:sz w:val="22"/>
          <w:szCs w:val="22"/>
          <w:highlight w:val="none"/>
          <w:lang w:eastAsia="zh-CN"/>
        </w:rPr>
        <w:t>2025年比赛</w:t>
      </w:r>
      <w:r>
        <w:rPr>
          <w:rFonts w:hint="eastAsia" w:cs="宋体"/>
          <w:b w:val="0"/>
          <w:bCs w:val="0"/>
          <w:color w:val="auto"/>
          <w:sz w:val="22"/>
          <w:szCs w:val="22"/>
          <w:highlight w:val="none"/>
          <w:lang w:val="en-US" w:eastAsia="zh-CN"/>
        </w:rPr>
        <w:t>主办方为南通市江海河联运项目建设指挥部，比赛地点设在通海港区-通州湾港区疏港航道双桥枢纽施工现场</w:t>
      </w:r>
      <w:r>
        <w:rPr>
          <w:rFonts w:hint="eastAsia" w:cs="宋体"/>
          <w:b w:val="0"/>
          <w:bCs w:val="0"/>
          <w:color w:val="auto"/>
          <w:sz w:val="22"/>
          <w:szCs w:val="22"/>
          <w:highlight w:val="none"/>
          <w:lang w:eastAsia="zh-CN"/>
        </w:rPr>
        <w:t>。</w:t>
      </w:r>
    </w:p>
    <w:p w14:paraId="08859BC2">
      <w:pPr>
        <w:adjustRightInd w:val="0"/>
        <w:snapToGrid w:val="0"/>
        <w:spacing w:line="360" w:lineRule="auto"/>
        <w:ind w:firstLine="442" w:firstLineChars="200"/>
        <w:rPr>
          <w:rFonts w:hint="eastAsia" w:ascii="宋体" w:hAnsi="宋体" w:cs="Times New Roman"/>
          <w:b/>
          <w:bCs/>
          <w:color w:val="auto"/>
          <w:sz w:val="22"/>
          <w:szCs w:val="22"/>
          <w:highlight w:val="none"/>
        </w:rPr>
      </w:pPr>
      <w:r>
        <w:rPr>
          <w:rFonts w:hint="eastAsia" w:ascii="宋体" w:hAnsi="宋体" w:cs="Times New Roman"/>
          <w:b/>
          <w:bCs/>
          <w:color w:val="auto"/>
          <w:sz w:val="22"/>
          <w:szCs w:val="22"/>
          <w:highlight w:val="none"/>
        </w:rPr>
        <w:t>2.</w:t>
      </w:r>
      <w:r>
        <w:rPr>
          <w:rFonts w:ascii="宋体" w:hAnsi="宋体" w:cs="Times New Roman"/>
          <w:b/>
          <w:bCs/>
          <w:color w:val="auto"/>
          <w:sz w:val="22"/>
          <w:szCs w:val="22"/>
          <w:highlight w:val="none"/>
        </w:rPr>
        <w:t>2</w:t>
      </w:r>
      <w:r>
        <w:rPr>
          <w:rFonts w:hint="eastAsia" w:ascii="宋体" w:hAnsi="宋体" w:cs="Times New Roman"/>
          <w:b/>
          <w:bCs/>
          <w:color w:val="auto"/>
          <w:sz w:val="22"/>
          <w:szCs w:val="22"/>
          <w:highlight w:val="none"/>
        </w:rPr>
        <w:t>招标范围</w:t>
      </w:r>
    </w:p>
    <w:p w14:paraId="56F703B3">
      <w:pPr>
        <w:numPr>
          <w:ilvl w:val="0"/>
          <w:numId w:val="0"/>
        </w:numPr>
        <w:adjustRightInd w:val="0"/>
        <w:snapToGrid w:val="0"/>
        <w:spacing w:line="360" w:lineRule="auto"/>
        <w:ind w:firstLine="440" w:firstLineChars="200"/>
        <w:rPr>
          <w:rFonts w:hint="eastAsia" w:ascii="宋体" w:hAnsi="宋体" w:eastAsia="宋体" w:cs="Times New Roman"/>
          <w:b w:val="0"/>
          <w:bCs w:val="0"/>
          <w:color w:val="auto"/>
          <w:kern w:val="2"/>
          <w:sz w:val="22"/>
          <w:szCs w:val="22"/>
          <w:highlight w:val="none"/>
          <w:lang w:val="en-US" w:eastAsia="zh-CN" w:bidi="ar-SA"/>
        </w:rPr>
      </w:pPr>
      <w:bookmarkStart w:id="20" w:name="OLE_LINK2"/>
      <w:r>
        <w:rPr>
          <w:rFonts w:hint="eastAsia" w:ascii="宋体" w:hAnsi="宋体" w:eastAsia="宋体" w:cs="Times New Roman"/>
          <w:b w:val="0"/>
          <w:bCs w:val="0"/>
          <w:color w:val="auto"/>
          <w:kern w:val="2"/>
          <w:sz w:val="22"/>
          <w:szCs w:val="22"/>
          <w:highlight w:val="none"/>
          <w:lang w:val="en-US" w:eastAsia="zh-CN" w:bidi="ar-SA"/>
        </w:rPr>
        <w:t>本次招标共设1个标段</w:t>
      </w:r>
      <w:r>
        <w:rPr>
          <w:rFonts w:hint="eastAsia" w:ascii="宋体" w:hAnsi="宋体" w:cs="Times New Roman"/>
          <w:b w:val="0"/>
          <w:bCs w:val="0"/>
          <w:color w:val="auto"/>
          <w:kern w:val="2"/>
          <w:sz w:val="22"/>
          <w:szCs w:val="22"/>
          <w:highlight w:val="none"/>
          <w:lang w:val="en-US" w:eastAsia="zh-CN" w:bidi="ar-SA"/>
        </w:rPr>
        <w:t>，</w:t>
      </w:r>
      <w:r>
        <w:rPr>
          <w:rFonts w:hint="eastAsia" w:ascii="宋体" w:hAnsi="宋体" w:eastAsia="宋体" w:cs="Times New Roman"/>
          <w:b w:val="0"/>
          <w:bCs w:val="0"/>
          <w:color w:val="auto"/>
          <w:kern w:val="2"/>
          <w:sz w:val="22"/>
          <w:szCs w:val="22"/>
          <w:highlight w:val="none"/>
          <w:lang w:val="en-US" w:eastAsia="zh-CN" w:bidi="ar-SA"/>
        </w:rPr>
        <w:t>即</w:t>
      </w:r>
      <w:r>
        <w:rPr>
          <w:rFonts w:hint="eastAsia" w:ascii="宋体" w:hAnsi="宋体" w:cs="Times New Roman"/>
          <w:b w:val="0"/>
          <w:bCs w:val="0"/>
          <w:color w:val="auto"/>
          <w:kern w:val="2"/>
          <w:sz w:val="22"/>
          <w:szCs w:val="22"/>
          <w:highlight w:val="none"/>
          <w:lang w:val="en-US" w:eastAsia="zh-CN" w:bidi="ar-SA"/>
        </w:rPr>
        <w:t>SYJS-JNJS</w:t>
      </w:r>
      <w:r>
        <w:rPr>
          <w:rFonts w:hint="eastAsia" w:ascii="宋体" w:hAnsi="宋体" w:eastAsia="宋体" w:cs="Times New Roman"/>
          <w:b w:val="0"/>
          <w:bCs w:val="0"/>
          <w:color w:val="auto"/>
          <w:kern w:val="2"/>
          <w:sz w:val="22"/>
          <w:szCs w:val="22"/>
          <w:highlight w:val="none"/>
          <w:lang w:val="en-US" w:eastAsia="zh-CN" w:bidi="ar-SA"/>
        </w:rPr>
        <w:t>标段</w:t>
      </w:r>
      <w:r>
        <w:rPr>
          <w:rFonts w:hint="eastAsia" w:ascii="宋体" w:hAnsi="宋体" w:cs="Times New Roman"/>
          <w:b w:val="0"/>
          <w:bCs w:val="0"/>
          <w:color w:val="auto"/>
          <w:kern w:val="2"/>
          <w:sz w:val="22"/>
          <w:szCs w:val="22"/>
          <w:highlight w:val="none"/>
          <w:lang w:val="en-US" w:eastAsia="zh-CN" w:bidi="ar-SA"/>
        </w:rPr>
        <w:t>，</w:t>
      </w:r>
      <w:r>
        <w:rPr>
          <w:rFonts w:hint="eastAsia" w:ascii="宋体" w:hAnsi="宋体" w:eastAsia="宋体" w:cs="Times New Roman"/>
          <w:b w:val="0"/>
          <w:bCs w:val="0"/>
          <w:color w:val="auto"/>
          <w:kern w:val="2"/>
          <w:sz w:val="22"/>
          <w:szCs w:val="22"/>
          <w:highlight w:val="none"/>
          <w:lang w:val="en-US" w:eastAsia="zh-CN" w:bidi="ar-SA"/>
        </w:rPr>
        <w:t>主要</w:t>
      </w:r>
      <w:r>
        <w:rPr>
          <w:rFonts w:hint="eastAsia" w:ascii="宋体" w:hAnsi="宋体" w:cs="Times New Roman"/>
          <w:b w:val="0"/>
          <w:bCs w:val="0"/>
          <w:color w:val="auto"/>
          <w:kern w:val="2"/>
          <w:sz w:val="22"/>
          <w:szCs w:val="22"/>
          <w:highlight w:val="none"/>
          <w:lang w:val="en-US" w:eastAsia="zh-CN" w:bidi="ar-SA"/>
        </w:rPr>
        <w:t>服务</w:t>
      </w:r>
      <w:r>
        <w:rPr>
          <w:rFonts w:hint="eastAsia" w:ascii="宋体" w:hAnsi="宋体" w:eastAsia="宋体" w:cs="Times New Roman"/>
          <w:b w:val="0"/>
          <w:bCs w:val="0"/>
          <w:color w:val="auto"/>
          <w:kern w:val="2"/>
          <w:sz w:val="22"/>
          <w:szCs w:val="22"/>
          <w:highlight w:val="none"/>
          <w:lang w:val="en-US" w:eastAsia="zh-CN" w:bidi="ar-SA"/>
        </w:rPr>
        <w:t>内容（包括但不限于）：</w:t>
      </w:r>
    </w:p>
    <w:p w14:paraId="1D49C6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（1）竞赛策划与组织服务。</w:t>
      </w:r>
    </w:p>
    <w:p w14:paraId="4EADF15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（2）赛前组织培训及培训考核。</w:t>
      </w:r>
    </w:p>
    <w:p w14:paraId="7087383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（3）竞赛设备与物资供应。</w:t>
      </w:r>
    </w:p>
    <w:p w14:paraId="38EEF7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（4）竞赛评委与专家服务。​</w:t>
      </w:r>
    </w:p>
    <w:p w14:paraId="207C1D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（5）后勤保障服务。</w:t>
      </w:r>
    </w:p>
    <w:p w14:paraId="396F70E7">
      <w:pPr>
        <w:adjustRightInd w:val="0"/>
        <w:snapToGrid w:val="0"/>
        <w:spacing w:line="360" w:lineRule="auto"/>
        <w:ind w:firstLine="442" w:firstLineChars="200"/>
        <w:rPr>
          <w:rFonts w:hint="eastAsia" w:ascii="宋体" w:hAnsi="宋体" w:cs="Times New Roman"/>
          <w:b/>
          <w:bCs/>
          <w:color w:val="auto"/>
          <w:sz w:val="22"/>
          <w:szCs w:val="22"/>
          <w:highlight w:val="none"/>
        </w:rPr>
      </w:pPr>
      <w:r>
        <w:rPr>
          <w:rFonts w:hint="eastAsia" w:ascii="宋体" w:hAnsi="宋体" w:cs="Times New Roman"/>
          <w:b/>
          <w:bCs/>
          <w:color w:val="auto"/>
          <w:sz w:val="22"/>
          <w:szCs w:val="22"/>
          <w:highlight w:val="none"/>
        </w:rPr>
        <w:t>2.3服务期</w:t>
      </w:r>
    </w:p>
    <w:bookmarkEnd w:id="19"/>
    <w:bookmarkEnd w:id="20"/>
    <w:p w14:paraId="3CF7F7BC">
      <w:pPr>
        <w:wordWrap w:val="0"/>
        <w:adjustRightInd w:val="0"/>
        <w:snapToGrid w:val="0"/>
        <w:spacing w:line="360" w:lineRule="auto"/>
        <w:ind w:firstLine="440" w:firstLineChars="200"/>
        <w:rPr>
          <w:rFonts w:hint="eastAsia" w:ascii="宋体" w:hAnsi="宋体" w:eastAsia="宋体" w:cs="Times New Roman"/>
          <w:color w:val="auto"/>
          <w:sz w:val="22"/>
          <w:szCs w:val="22"/>
          <w:highlight w:val="none"/>
        </w:rPr>
      </w:pPr>
      <w:r>
        <w:rPr>
          <w:rFonts w:hint="eastAsia" w:ascii="宋体" w:hAnsi="宋体" w:cs="Times New Roman"/>
          <w:color w:val="auto"/>
          <w:sz w:val="22"/>
          <w:szCs w:val="22"/>
          <w:highlight w:val="none"/>
          <w:lang w:eastAsia="zh-CN"/>
        </w:rPr>
        <w:t>自签订合同之日起至技能竞赛结束为止。</w:t>
      </w:r>
    </w:p>
    <w:p w14:paraId="5018858F">
      <w:pPr>
        <w:keepNext w:val="0"/>
        <w:keepLines w:val="0"/>
        <w:pageBreakBefore w:val="0"/>
        <w:kinsoku/>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3</w:t>
      </w:r>
      <w:r>
        <w:rPr>
          <w:rFonts w:hint="eastAsia" w:ascii="宋体" w:hAnsi="宋体" w:eastAsia="宋体" w:cs="宋体"/>
          <w:b/>
          <w:bCs/>
          <w:color w:val="auto"/>
          <w:sz w:val="22"/>
          <w:szCs w:val="22"/>
          <w:highlight w:val="none"/>
          <w:lang w:eastAsia="zh-CN"/>
        </w:rPr>
        <w:t>、</w:t>
      </w:r>
      <w:r>
        <w:rPr>
          <w:rFonts w:hint="eastAsia" w:ascii="宋体" w:hAnsi="宋体" w:eastAsia="宋体" w:cs="宋体"/>
          <w:b/>
          <w:bCs/>
          <w:color w:val="auto"/>
          <w:sz w:val="22"/>
          <w:szCs w:val="22"/>
          <w:highlight w:val="none"/>
        </w:rPr>
        <w:t>投标人资格要求</w:t>
      </w:r>
    </w:p>
    <w:p w14:paraId="52E16603">
      <w:pPr>
        <w:keepNext w:val="0"/>
        <w:keepLines w:val="0"/>
        <w:pageBreakBefore w:val="0"/>
        <w:kinsoku/>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3.1资质要求：</w:t>
      </w:r>
    </w:p>
    <w:p w14:paraId="46FBCFF9">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投标人</w:t>
      </w:r>
      <w:r>
        <w:rPr>
          <w:rFonts w:hint="eastAsia" w:ascii="宋体" w:hAnsi="宋体" w:eastAsia="宋体" w:cs="宋体"/>
          <w:color w:val="auto"/>
          <w:sz w:val="22"/>
          <w:szCs w:val="22"/>
          <w:highlight w:val="none"/>
          <w:lang w:val="en-US" w:eastAsia="zh-CN"/>
        </w:rPr>
        <w:t>应</w:t>
      </w:r>
      <w:r>
        <w:rPr>
          <w:rFonts w:hint="eastAsia" w:ascii="宋体" w:hAnsi="宋体" w:eastAsia="宋体" w:cs="宋体"/>
          <w:color w:val="auto"/>
          <w:sz w:val="22"/>
          <w:szCs w:val="22"/>
          <w:highlight w:val="none"/>
        </w:rPr>
        <w:t>为独立企业法人或事业法人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具有</w:t>
      </w:r>
      <w:r>
        <w:rPr>
          <w:rFonts w:hint="eastAsia" w:ascii="宋体" w:hAnsi="宋体" w:eastAsia="宋体" w:cs="宋体"/>
          <w:color w:val="auto"/>
          <w:sz w:val="22"/>
          <w:szCs w:val="22"/>
          <w:highlight w:val="none"/>
          <w:lang w:val="en-US" w:eastAsia="zh-CN"/>
        </w:rPr>
        <w:t>有效的</w:t>
      </w:r>
      <w:r>
        <w:rPr>
          <w:rFonts w:hint="eastAsia" w:ascii="宋体" w:hAnsi="宋体" w:eastAsia="宋体" w:cs="宋体"/>
          <w:color w:val="auto"/>
          <w:sz w:val="22"/>
          <w:szCs w:val="22"/>
          <w:highlight w:val="none"/>
        </w:rPr>
        <w:t>企业法人营业执照或事业单位法人证书</w:t>
      </w:r>
      <w:r>
        <w:rPr>
          <w:rFonts w:hint="eastAsia" w:ascii="宋体" w:hAnsi="宋体" w:eastAsia="宋体" w:cs="宋体"/>
          <w:bCs/>
          <w:color w:val="auto"/>
          <w:sz w:val="22"/>
          <w:szCs w:val="22"/>
          <w:highlight w:val="none"/>
        </w:rPr>
        <w:t>。</w:t>
      </w:r>
      <w:r>
        <w:rPr>
          <w:rFonts w:hint="eastAsia" w:ascii="宋体" w:hAnsi="宋体" w:eastAsia="宋体" w:cs="宋体"/>
          <w:color w:val="auto"/>
          <w:sz w:val="22"/>
          <w:szCs w:val="22"/>
          <w:highlight w:val="none"/>
          <w:lang w:bidi="ar"/>
        </w:rPr>
        <w:t xml:space="preserve"> </w:t>
      </w:r>
    </w:p>
    <w:p w14:paraId="00FA65E8">
      <w:pPr>
        <w:keepNext w:val="0"/>
        <w:keepLines w:val="0"/>
        <w:pageBreakBefore w:val="0"/>
        <w:kinsoku/>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3.2信誉要求：</w:t>
      </w:r>
    </w:p>
    <w:p w14:paraId="04DBF9A8">
      <w:pPr>
        <w:keepNext w:val="0"/>
        <w:keepLines w:val="0"/>
        <w:pageBreakBefore w:val="0"/>
        <w:widowControl w:val="0"/>
        <w:kinsoku/>
        <w:wordWrap/>
        <w:overflowPunct/>
        <w:topLinePunct w:val="0"/>
        <w:autoSpaceDE/>
        <w:autoSpaceDN/>
        <w:bidi w:val="0"/>
        <w:adjustRightInd/>
        <w:snapToGrid/>
        <w:spacing w:line="360" w:lineRule="auto"/>
        <w:ind w:left="0" w:lef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①截止递交</w:t>
      </w:r>
      <w:r>
        <w:rPr>
          <w:rFonts w:hint="eastAsia" w:ascii="宋体" w:hAnsi="宋体" w:eastAsia="宋体" w:cs="宋体"/>
          <w:bCs/>
          <w:color w:val="auto"/>
          <w:sz w:val="22"/>
          <w:szCs w:val="22"/>
          <w:highlight w:val="none"/>
        </w:rPr>
        <w:t>投标</w:t>
      </w:r>
      <w:r>
        <w:rPr>
          <w:rFonts w:hint="eastAsia" w:ascii="宋体" w:hAnsi="宋体" w:eastAsia="宋体" w:cs="宋体"/>
          <w:color w:val="auto"/>
          <w:sz w:val="22"/>
          <w:szCs w:val="22"/>
          <w:highlight w:val="none"/>
        </w:rPr>
        <w:t>文件当日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未在“信用中国”网站（http</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//www.creditchina.gov.cn/）中被列为失信被执行人；</w:t>
      </w:r>
    </w:p>
    <w:p w14:paraId="7CECE410">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②截止递交</w:t>
      </w:r>
      <w:r>
        <w:rPr>
          <w:rFonts w:hint="eastAsia" w:ascii="宋体" w:hAnsi="宋体" w:eastAsia="宋体" w:cs="宋体"/>
          <w:bCs/>
          <w:color w:val="auto"/>
          <w:sz w:val="22"/>
          <w:szCs w:val="22"/>
          <w:highlight w:val="none"/>
        </w:rPr>
        <w:t>投标</w:t>
      </w:r>
      <w:r>
        <w:rPr>
          <w:rFonts w:hint="eastAsia" w:ascii="宋体" w:hAnsi="宋体" w:eastAsia="宋体" w:cs="宋体"/>
          <w:color w:val="auto"/>
          <w:sz w:val="22"/>
          <w:szCs w:val="22"/>
          <w:highlight w:val="none"/>
        </w:rPr>
        <w:t>文件当日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未在国家企业信用信息公示系统（http</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//www.gsxt.gov.cn/）中被列入严重违法失信企业名单</w:t>
      </w:r>
      <w:r>
        <w:rPr>
          <w:rFonts w:hint="eastAsia" w:ascii="宋体" w:hAnsi="宋体" w:cs="宋体"/>
          <w:color w:val="auto"/>
          <w:sz w:val="22"/>
          <w:szCs w:val="22"/>
          <w:highlight w:val="none"/>
          <w:lang w:eastAsia="zh-CN"/>
        </w:rPr>
        <w:t>；</w:t>
      </w:r>
    </w:p>
    <w:p w14:paraId="4FDA0EB0">
      <w:pPr>
        <w:keepNext w:val="0"/>
        <w:keepLines w:val="0"/>
        <w:pageBreakBefore w:val="0"/>
        <w:kinsoku/>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3.3业绩要求：</w:t>
      </w:r>
    </w:p>
    <w:p w14:paraId="1B6FF628">
      <w:pPr>
        <w:keepNext w:val="0"/>
        <w:keepLines w:val="0"/>
        <w:pageBreakBefore w:val="0"/>
        <w:kinsoku/>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lang w:eastAsia="zh-CN"/>
        </w:rPr>
      </w:pPr>
      <w:r>
        <w:rPr>
          <w:rFonts w:hint="eastAsia"/>
          <w:sz w:val="22"/>
          <w:szCs w:val="22"/>
          <w:highlight w:val="none"/>
          <w:lang w:val="en-US" w:eastAsia="zh-CN"/>
        </w:rPr>
        <w:t>自2020年1月1日以来（以合同签订时间为准），</w:t>
      </w:r>
      <w:r>
        <w:rPr>
          <w:rFonts w:hint="eastAsia"/>
          <w:sz w:val="22"/>
          <w:szCs w:val="22"/>
          <w:highlight w:val="none"/>
        </w:rPr>
        <w:t>投标人完成过一项技能竞赛或布展或水运工程咨询服务项目</w:t>
      </w:r>
      <w:r>
        <w:rPr>
          <w:rFonts w:hint="eastAsia" w:ascii="宋体" w:hAnsi="宋体" w:eastAsia="宋体" w:cs="宋体"/>
          <w:color w:val="auto"/>
          <w:sz w:val="22"/>
          <w:szCs w:val="22"/>
          <w:highlight w:val="none"/>
          <w:lang w:eastAsia="zh-CN"/>
        </w:rPr>
        <w:t>。</w:t>
      </w:r>
    </w:p>
    <w:p w14:paraId="332F2F20">
      <w:pPr>
        <w:keepNext w:val="0"/>
        <w:keepLines w:val="0"/>
        <w:pageBreakBefore w:val="0"/>
        <w:kinsoku/>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3.</w:t>
      </w:r>
      <w:r>
        <w:rPr>
          <w:rFonts w:hint="eastAsia" w:ascii="宋体" w:hAnsi="宋体" w:cs="宋体"/>
          <w:b/>
          <w:bCs/>
          <w:color w:val="auto"/>
          <w:sz w:val="22"/>
          <w:szCs w:val="22"/>
          <w:highlight w:val="none"/>
          <w:lang w:val="en-US" w:eastAsia="zh-CN"/>
        </w:rPr>
        <w:t>4</w:t>
      </w:r>
      <w:r>
        <w:rPr>
          <w:rFonts w:hint="eastAsia" w:ascii="宋体" w:hAnsi="宋体" w:eastAsia="宋体" w:cs="宋体"/>
          <w:b/>
          <w:bCs/>
          <w:color w:val="auto"/>
          <w:sz w:val="22"/>
          <w:szCs w:val="22"/>
          <w:highlight w:val="none"/>
        </w:rPr>
        <w:t>其他要求：</w:t>
      </w:r>
    </w:p>
    <w:p w14:paraId="7D9614FA">
      <w:pPr>
        <w:keepNext w:val="0"/>
        <w:keepLines w:val="0"/>
        <w:pageBreakBefore w:val="0"/>
        <w:kinsoku/>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r>
        <w:rPr>
          <w:rFonts w:hint="eastAsia" w:ascii="宋体" w:hAnsi="宋体" w:cs="宋体"/>
          <w:color w:val="auto"/>
          <w:sz w:val="22"/>
          <w:szCs w:val="22"/>
          <w:highlight w:val="none"/>
          <w:lang w:val="en-US" w:eastAsia="zh-CN"/>
        </w:rPr>
        <w:t>4</w:t>
      </w:r>
      <w:r>
        <w:rPr>
          <w:rFonts w:hint="eastAsia" w:ascii="宋体" w:hAnsi="宋体" w:eastAsia="宋体" w:cs="宋体"/>
          <w:color w:val="auto"/>
          <w:sz w:val="22"/>
          <w:szCs w:val="22"/>
          <w:highlight w:val="none"/>
        </w:rPr>
        <w:t>.1本次招标</w:t>
      </w:r>
      <w:r>
        <w:rPr>
          <w:rFonts w:hint="eastAsia" w:ascii="宋体" w:hAnsi="宋体" w:eastAsia="宋体" w:cs="宋体"/>
          <w:b/>
          <w:bCs/>
          <w:color w:val="auto"/>
          <w:sz w:val="22"/>
          <w:szCs w:val="22"/>
          <w:highlight w:val="none"/>
          <w:u w:val="single"/>
          <w:lang w:val="en-US" w:eastAsia="zh-CN"/>
        </w:rPr>
        <w:t>不</w:t>
      </w:r>
      <w:r>
        <w:rPr>
          <w:rFonts w:hint="eastAsia" w:ascii="宋体" w:hAnsi="宋体" w:eastAsia="宋体" w:cs="宋体"/>
          <w:b/>
          <w:bCs/>
          <w:color w:val="auto"/>
          <w:sz w:val="22"/>
          <w:szCs w:val="22"/>
          <w:highlight w:val="none"/>
          <w:u w:val="single"/>
        </w:rPr>
        <w:t>接受</w:t>
      </w:r>
      <w:r>
        <w:rPr>
          <w:rFonts w:hint="eastAsia" w:ascii="宋体" w:hAnsi="宋体" w:eastAsia="宋体" w:cs="宋体"/>
          <w:color w:val="auto"/>
          <w:sz w:val="22"/>
          <w:szCs w:val="22"/>
          <w:highlight w:val="none"/>
        </w:rPr>
        <w:t>联合体投标。</w:t>
      </w:r>
    </w:p>
    <w:p w14:paraId="2BEC3341">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r>
        <w:rPr>
          <w:rFonts w:hint="eastAsia" w:ascii="宋体" w:hAnsi="宋体" w:cs="宋体"/>
          <w:color w:val="auto"/>
          <w:sz w:val="22"/>
          <w:szCs w:val="22"/>
          <w:highlight w:val="none"/>
          <w:lang w:val="en-US" w:eastAsia="zh-CN"/>
        </w:rPr>
        <w:t>4</w:t>
      </w:r>
      <w:r>
        <w:rPr>
          <w:rFonts w:hint="eastAsia" w:ascii="宋体" w:hAnsi="宋体" w:eastAsia="宋体" w:cs="宋体"/>
          <w:color w:val="auto"/>
          <w:sz w:val="22"/>
          <w:szCs w:val="22"/>
          <w:highlight w:val="none"/>
        </w:rPr>
        <w:t>.2与招标人存在利害关系可能影响招标公正性的法人、其他组织或者个人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不得参加投标。单位负责人为同一人或者存在控股、管理关系的不同单位</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不得参加同一标段投标或者未划分标段的同一招标项目投标</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否则均按否决投标处理。</w:t>
      </w:r>
    </w:p>
    <w:p w14:paraId="05E51A78">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4、招标文件的获取</w:t>
      </w:r>
    </w:p>
    <w:p w14:paraId="47659836">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（1）获取时间：2025年</w:t>
      </w:r>
      <w:r>
        <w:rPr>
          <w:rFonts w:hint="eastAsia" w:ascii="宋体" w:hAnsi="宋体" w:cs="宋体"/>
          <w:color w:val="auto"/>
          <w:sz w:val="22"/>
          <w:szCs w:val="22"/>
          <w:highlight w:val="none"/>
          <w:lang w:val="en-US" w:eastAsia="zh-CN"/>
        </w:rPr>
        <w:t>6</w:t>
      </w:r>
      <w:r>
        <w:rPr>
          <w:rFonts w:hint="eastAsia" w:ascii="宋体" w:hAnsi="宋体" w:eastAsia="宋体" w:cs="宋体"/>
          <w:color w:val="auto"/>
          <w:sz w:val="22"/>
          <w:szCs w:val="22"/>
          <w:highlight w:val="none"/>
        </w:rPr>
        <w:t>月</w:t>
      </w:r>
      <w:r>
        <w:rPr>
          <w:rFonts w:hint="eastAsia" w:ascii="宋体" w:hAnsi="宋体" w:cs="宋体"/>
          <w:color w:val="auto"/>
          <w:sz w:val="22"/>
          <w:szCs w:val="22"/>
          <w:highlight w:val="none"/>
          <w:lang w:val="en-US" w:eastAsia="zh-CN"/>
        </w:rPr>
        <w:t>9</w:t>
      </w:r>
      <w:r>
        <w:rPr>
          <w:rFonts w:hint="eastAsia" w:ascii="宋体" w:hAnsi="宋体" w:eastAsia="宋体" w:cs="宋体"/>
          <w:color w:val="auto"/>
          <w:sz w:val="22"/>
          <w:szCs w:val="22"/>
          <w:highlight w:val="none"/>
        </w:rPr>
        <w:t>日17时30分-20</w:t>
      </w:r>
      <w:r>
        <w:rPr>
          <w:rFonts w:hint="eastAsia" w:ascii="宋体" w:hAnsi="宋体" w:cs="宋体"/>
          <w:color w:val="auto"/>
          <w:sz w:val="22"/>
          <w:szCs w:val="22"/>
          <w:highlight w:val="none"/>
          <w:lang w:val="en-US" w:eastAsia="zh-CN"/>
        </w:rPr>
        <w:t>2</w:t>
      </w:r>
      <w:r>
        <w:rPr>
          <w:rFonts w:hint="eastAsia" w:ascii="宋体" w:hAnsi="宋体" w:eastAsia="宋体" w:cs="宋体"/>
          <w:color w:val="auto"/>
          <w:sz w:val="22"/>
          <w:szCs w:val="22"/>
          <w:highlight w:val="none"/>
        </w:rPr>
        <w:t>5年</w:t>
      </w:r>
      <w:r>
        <w:rPr>
          <w:rFonts w:hint="eastAsia" w:ascii="宋体" w:hAnsi="宋体" w:cs="宋体"/>
          <w:color w:val="auto"/>
          <w:sz w:val="22"/>
          <w:szCs w:val="22"/>
          <w:highlight w:val="none"/>
          <w:lang w:val="en-US" w:eastAsia="zh-CN"/>
        </w:rPr>
        <w:t>6</w:t>
      </w:r>
      <w:r>
        <w:rPr>
          <w:rFonts w:hint="eastAsia" w:ascii="宋体" w:hAnsi="宋体" w:eastAsia="宋体" w:cs="宋体"/>
          <w:color w:val="auto"/>
          <w:sz w:val="22"/>
          <w:szCs w:val="22"/>
          <w:highlight w:val="none"/>
        </w:rPr>
        <w:t>月</w:t>
      </w:r>
      <w:r>
        <w:rPr>
          <w:rFonts w:hint="eastAsia" w:ascii="宋体" w:hAnsi="宋体" w:cs="宋体"/>
          <w:color w:val="auto"/>
          <w:sz w:val="22"/>
          <w:szCs w:val="22"/>
          <w:highlight w:val="none"/>
          <w:lang w:val="en-US" w:eastAsia="zh-CN"/>
        </w:rPr>
        <w:t>16</w:t>
      </w:r>
      <w:r>
        <w:rPr>
          <w:rFonts w:hint="eastAsia" w:ascii="宋体" w:hAnsi="宋体" w:eastAsia="宋体" w:cs="宋体"/>
          <w:color w:val="auto"/>
          <w:sz w:val="22"/>
          <w:szCs w:val="22"/>
          <w:highlight w:val="none"/>
        </w:rPr>
        <w:t>日17时30分。（法定节假日除外）。</w:t>
      </w:r>
    </w:p>
    <w:p w14:paraId="3DA2CED1">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（2）凡有意参加者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添加代理的工作QQ：</w:t>
      </w:r>
      <w:r>
        <w:rPr>
          <w:rFonts w:hint="eastAsia" w:ascii="宋体" w:hAnsi="宋体" w:cs="宋体"/>
          <w:color w:val="auto"/>
          <w:sz w:val="22"/>
          <w:szCs w:val="22"/>
          <w:highlight w:val="none"/>
          <w:lang w:eastAsia="zh-CN"/>
        </w:rPr>
        <w:t>3682434945，</w:t>
      </w:r>
      <w:r>
        <w:rPr>
          <w:rFonts w:hint="eastAsia" w:ascii="宋体" w:hAnsi="宋体" w:eastAsia="宋体" w:cs="宋体"/>
          <w:color w:val="auto"/>
          <w:sz w:val="22"/>
          <w:szCs w:val="22"/>
          <w:highlight w:val="none"/>
        </w:rPr>
        <w:t>请自行将以下相关资料：单位介绍信或授权书（加盖公章）、经办人身份证扫描件（加盖公章）</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lang w:val="en-US" w:eastAsia="zh-CN"/>
        </w:rPr>
        <w:t>申请函（加盖公章）</w:t>
      </w:r>
      <w:r>
        <w:rPr>
          <w:rFonts w:hint="eastAsia" w:ascii="宋体" w:hAnsi="宋体" w:eastAsia="宋体" w:cs="宋体"/>
          <w:color w:val="auto"/>
          <w:sz w:val="22"/>
          <w:szCs w:val="22"/>
          <w:highlight w:val="none"/>
        </w:rPr>
        <w:t>发送至代理的工作QQ</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经代理机构确认后获取谈判招标文件。</w:t>
      </w:r>
    </w:p>
    <w:p w14:paraId="068EFE81">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5、投标文件的递交及相关事宜</w:t>
      </w:r>
    </w:p>
    <w:p w14:paraId="625CABD0">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5.1招标人不统一组织进行工程现场踏勘及召开投标预备会。</w:t>
      </w:r>
    </w:p>
    <w:p w14:paraId="4CD5F116">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5.2投标人的投标文件将统一在投标会上送交。</w:t>
      </w:r>
    </w:p>
    <w:p w14:paraId="39A8B7DE">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送交投标文件的开始时间为：</w:t>
      </w:r>
      <w:r>
        <w:rPr>
          <w:rFonts w:hint="eastAsia" w:ascii="宋体" w:hAnsi="宋体" w:eastAsia="宋体" w:cs="宋体"/>
          <w:b/>
          <w:bCs/>
          <w:color w:val="auto"/>
          <w:sz w:val="22"/>
          <w:szCs w:val="22"/>
          <w:highlight w:val="none"/>
          <w:u w:val="single"/>
          <w:lang w:val="en-US" w:eastAsia="zh-CN"/>
        </w:rPr>
        <w:t>202</w:t>
      </w:r>
      <w:r>
        <w:rPr>
          <w:rFonts w:hint="eastAsia" w:ascii="宋体" w:hAnsi="宋体" w:cs="宋体"/>
          <w:b/>
          <w:bCs/>
          <w:color w:val="auto"/>
          <w:sz w:val="22"/>
          <w:szCs w:val="22"/>
          <w:highlight w:val="none"/>
          <w:u w:val="single"/>
          <w:lang w:val="en-US" w:eastAsia="zh-CN"/>
        </w:rPr>
        <w:t>5</w:t>
      </w:r>
      <w:r>
        <w:rPr>
          <w:rFonts w:hint="eastAsia" w:ascii="宋体" w:hAnsi="宋体" w:eastAsia="宋体" w:cs="宋体"/>
          <w:b/>
          <w:bCs/>
          <w:color w:val="auto"/>
          <w:sz w:val="22"/>
          <w:szCs w:val="22"/>
          <w:highlight w:val="none"/>
          <w:u w:val="single"/>
        </w:rPr>
        <w:t>年</w:t>
      </w:r>
      <w:r>
        <w:rPr>
          <w:rFonts w:hint="eastAsia" w:ascii="宋体" w:hAnsi="宋体" w:cs="宋体"/>
          <w:b/>
          <w:bCs/>
          <w:color w:val="auto"/>
          <w:sz w:val="22"/>
          <w:szCs w:val="22"/>
          <w:highlight w:val="none"/>
          <w:u w:val="single"/>
          <w:lang w:val="en-US" w:eastAsia="zh-CN"/>
        </w:rPr>
        <w:t>6</w:t>
      </w:r>
      <w:r>
        <w:rPr>
          <w:rFonts w:hint="eastAsia" w:ascii="宋体" w:hAnsi="宋体" w:eastAsia="宋体" w:cs="宋体"/>
          <w:b/>
          <w:bCs/>
          <w:color w:val="auto"/>
          <w:sz w:val="22"/>
          <w:szCs w:val="22"/>
          <w:highlight w:val="none"/>
          <w:u w:val="single"/>
        </w:rPr>
        <w:t>月</w:t>
      </w:r>
      <w:r>
        <w:rPr>
          <w:rFonts w:hint="eastAsia" w:ascii="宋体" w:hAnsi="宋体" w:cs="宋体"/>
          <w:b/>
          <w:bCs/>
          <w:color w:val="auto"/>
          <w:sz w:val="22"/>
          <w:szCs w:val="22"/>
          <w:highlight w:val="none"/>
          <w:u w:val="single"/>
          <w:lang w:val="en-US" w:eastAsia="zh-CN"/>
        </w:rPr>
        <w:t>30</w:t>
      </w:r>
      <w:r>
        <w:rPr>
          <w:rFonts w:hint="eastAsia" w:ascii="宋体" w:hAnsi="宋体" w:eastAsia="宋体" w:cs="宋体"/>
          <w:b/>
          <w:bCs/>
          <w:color w:val="auto"/>
          <w:sz w:val="22"/>
          <w:szCs w:val="22"/>
          <w:highlight w:val="none"/>
          <w:u w:val="single"/>
        </w:rPr>
        <w:t>日</w:t>
      </w:r>
      <w:r>
        <w:rPr>
          <w:rFonts w:hint="eastAsia" w:ascii="宋体" w:hAnsi="宋体" w:cs="宋体"/>
          <w:b/>
          <w:bCs/>
          <w:color w:val="auto"/>
          <w:sz w:val="22"/>
          <w:szCs w:val="22"/>
          <w:highlight w:val="none"/>
          <w:u w:val="single"/>
          <w:lang w:val="en-US" w:eastAsia="zh-CN"/>
        </w:rPr>
        <w:t>14</w:t>
      </w:r>
      <w:r>
        <w:rPr>
          <w:rFonts w:hint="eastAsia" w:ascii="宋体" w:hAnsi="宋体" w:eastAsia="宋体" w:cs="宋体"/>
          <w:b/>
          <w:bCs/>
          <w:color w:val="auto"/>
          <w:sz w:val="22"/>
          <w:szCs w:val="22"/>
          <w:highlight w:val="none"/>
          <w:u w:val="single"/>
          <w:lang w:val="en-US" w:eastAsia="zh-CN"/>
        </w:rPr>
        <w:t>时</w:t>
      </w:r>
      <w:r>
        <w:rPr>
          <w:rFonts w:hint="eastAsia" w:ascii="宋体" w:hAnsi="宋体" w:cs="宋体"/>
          <w:b/>
          <w:bCs/>
          <w:color w:val="auto"/>
          <w:sz w:val="22"/>
          <w:szCs w:val="22"/>
          <w:highlight w:val="none"/>
          <w:u w:val="single"/>
          <w:lang w:val="en-US" w:eastAsia="zh-CN"/>
        </w:rPr>
        <w:t>00</w:t>
      </w:r>
      <w:r>
        <w:rPr>
          <w:rFonts w:hint="eastAsia" w:ascii="宋体" w:hAnsi="宋体" w:eastAsia="宋体" w:cs="宋体"/>
          <w:b/>
          <w:bCs/>
          <w:color w:val="auto"/>
          <w:sz w:val="22"/>
          <w:szCs w:val="22"/>
          <w:highlight w:val="none"/>
          <w:u w:val="single"/>
          <w:lang w:val="en-US" w:eastAsia="zh-CN"/>
        </w:rPr>
        <w:t>分</w:t>
      </w:r>
      <w:r>
        <w:rPr>
          <w:rFonts w:hint="eastAsia" w:ascii="宋体" w:hAnsi="宋体" w:cs="宋体"/>
          <w:b/>
          <w:bCs/>
          <w:color w:val="auto"/>
          <w:sz w:val="22"/>
          <w:szCs w:val="22"/>
          <w:highlight w:val="none"/>
          <w:lang w:eastAsia="zh-CN"/>
        </w:rPr>
        <w:t>，</w:t>
      </w:r>
      <w:r>
        <w:rPr>
          <w:rFonts w:hint="eastAsia" w:ascii="宋体" w:hAnsi="宋体" w:eastAsia="宋体" w:cs="宋体"/>
          <w:color w:val="auto"/>
          <w:sz w:val="22"/>
          <w:szCs w:val="22"/>
          <w:highlight w:val="none"/>
        </w:rPr>
        <w:t>送交投标文件的截止时间为：</w:t>
      </w:r>
      <w:r>
        <w:rPr>
          <w:rFonts w:hint="eastAsia" w:ascii="宋体" w:hAnsi="宋体" w:eastAsia="宋体" w:cs="宋体"/>
          <w:b/>
          <w:bCs/>
          <w:color w:val="auto"/>
          <w:sz w:val="22"/>
          <w:szCs w:val="22"/>
          <w:highlight w:val="none"/>
          <w:u w:val="single"/>
          <w:lang w:val="en-US" w:eastAsia="zh-CN"/>
        </w:rPr>
        <w:t>202</w:t>
      </w:r>
      <w:r>
        <w:rPr>
          <w:rFonts w:hint="eastAsia" w:ascii="宋体" w:hAnsi="宋体" w:cs="宋体"/>
          <w:b/>
          <w:bCs/>
          <w:color w:val="auto"/>
          <w:sz w:val="22"/>
          <w:szCs w:val="22"/>
          <w:highlight w:val="none"/>
          <w:u w:val="single"/>
          <w:lang w:val="en-US" w:eastAsia="zh-CN"/>
        </w:rPr>
        <w:t>5</w:t>
      </w:r>
      <w:r>
        <w:rPr>
          <w:rFonts w:hint="eastAsia" w:ascii="宋体" w:hAnsi="宋体" w:eastAsia="宋体" w:cs="宋体"/>
          <w:b/>
          <w:bCs/>
          <w:color w:val="auto"/>
          <w:sz w:val="22"/>
          <w:szCs w:val="22"/>
          <w:highlight w:val="none"/>
          <w:u w:val="single"/>
        </w:rPr>
        <w:t>年</w:t>
      </w:r>
      <w:r>
        <w:rPr>
          <w:rFonts w:hint="eastAsia" w:ascii="宋体" w:hAnsi="宋体" w:cs="宋体"/>
          <w:b/>
          <w:bCs/>
          <w:color w:val="auto"/>
          <w:sz w:val="22"/>
          <w:szCs w:val="22"/>
          <w:highlight w:val="none"/>
          <w:u w:val="single"/>
          <w:lang w:val="en-US" w:eastAsia="zh-CN"/>
        </w:rPr>
        <w:t>6</w:t>
      </w:r>
      <w:r>
        <w:rPr>
          <w:rFonts w:hint="eastAsia" w:ascii="宋体" w:hAnsi="宋体" w:eastAsia="宋体" w:cs="宋体"/>
          <w:b/>
          <w:bCs/>
          <w:color w:val="auto"/>
          <w:sz w:val="22"/>
          <w:szCs w:val="22"/>
          <w:highlight w:val="none"/>
          <w:u w:val="single"/>
        </w:rPr>
        <w:t>月</w:t>
      </w:r>
      <w:r>
        <w:rPr>
          <w:rFonts w:hint="eastAsia" w:ascii="宋体" w:hAnsi="宋体" w:cs="宋体"/>
          <w:b/>
          <w:bCs/>
          <w:color w:val="auto"/>
          <w:sz w:val="22"/>
          <w:szCs w:val="22"/>
          <w:highlight w:val="none"/>
          <w:u w:val="single"/>
          <w:lang w:val="en-US" w:eastAsia="zh-CN"/>
        </w:rPr>
        <w:t>30</w:t>
      </w:r>
      <w:r>
        <w:rPr>
          <w:rFonts w:hint="eastAsia" w:ascii="宋体" w:hAnsi="宋体" w:eastAsia="宋体" w:cs="宋体"/>
          <w:b/>
          <w:bCs/>
          <w:color w:val="auto"/>
          <w:sz w:val="22"/>
          <w:szCs w:val="22"/>
          <w:highlight w:val="none"/>
          <w:u w:val="single"/>
        </w:rPr>
        <w:t>日</w:t>
      </w:r>
      <w:r>
        <w:rPr>
          <w:rFonts w:hint="eastAsia" w:ascii="宋体" w:hAnsi="宋体" w:cs="宋体"/>
          <w:b/>
          <w:bCs/>
          <w:color w:val="auto"/>
          <w:sz w:val="22"/>
          <w:szCs w:val="22"/>
          <w:highlight w:val="none"/>
          <w:u w:val="single"/>
          <w:lang w:val="en-US" w:eastAsia="zh-CN"/>
        </w:rPr>
        <w:t>14</w:t>
      </w:r>
      <w:r>
        <w:rPr>
          <w:rFonts w:hint="eastAsia" w:ascii="宋体" w:hAnsi="宋体" w:eastAsia="宋体" w:cs="宋体"/>
          <w:b/>
          <w:bCs/>
          <w:color w:val="auto"/>
          <w:sz w:val="22"/>
          <w:szCs w:val="22"/>
          <w:highlight w:val="none"/>
          <w:u w:val="single"/>
          <w:lang w:val="en-US" w:eastAsia="zh-CN"/>
        </w:rPr>
        <w:t>时</w:t>
      </w:r>
      <w:r>
        <w:rPr>
          <w:rFonts w:hint="eastAsia" w:ascii="宋体" w:hAnsi="宋体" w:cs="宋体"/>
          <w:b/>
          <w:bCs/>
          <w:color w:val="auto"/>
          <w:sz w:val="22"/>
          <w:szCs w:val="22"/>
          <w:highlight w:val="none"/>
          <w:u w:val="single"/>
          <w:lang w:val="en-US" w:eastAsia="zh-CN"/>
        </w:rPr>
        <w:t>30</w:t>
      </w:r>
      <w:r>
        <w:rPr>
          <w:rFonts w:hint="eastAsia" w:ascii="宋体" w:hAnsi="宋体" w:eastAsia="宋体" w:cs="宋体"/>
          <w:b/>
          <w:bCs/>
          <w:color w:val="auto"/>
          <w:sz w:val="22"/>
          <w:szCs w:val="22"/>
          <w:highlight w:val="none"/>
          <w:u w:val="single"/>
          <w:lang w:val="en-US" w:eastAsia="zh-CN"/>
        </w:rPr>
        <w:t>分</w:t>
      </w:r>
      <w:r>
        <w:rPr>
          <w:rFonts w:hint="eastAsia" w:ascii="宋体" w:hAnsi="宋体" w:eastAsia="宋体" w:cs="宋体"/>
          <w:b/>
          <w:bCs/>
          <w:color w:val="auto"/>
          <w:sz w:val="22"/>
          <w:szCs w:val="22"/>
          <w:highlight w:val="none"/>
          <w:u w:val="none"/>
        </w:rPr>
        <w:t>。</w:t>
      </w:r>
    </w:p>
    <w:p w14:paraId="1973E7B8">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投标文件必须在上述时间段内送交到投标会现场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递交地点为</w:t>
      </w:r>
      <w:r>
        <w:rPr>
          <w:rFonts w:hint="eastAsia" w:ascii="宋体" w:hAnsi="宋体" w:eastAsia="宋体" w:cs="宋体"/>
          <w:color w:val="auto"/>
          <w:sz w:val="22"/>
          <w:szCs w:val="22"/>
          <w:highlight w:val="none"/>
          <w:lang w:eastAsia="zh-CN"/>
        </w:rPr>
        <w:t>：</w:t>
      </w:r>
      <w:r>
        <w:rPr>
          <w:rFonts w:hint="eastAsia" w:ascii="宋体" w:hAnsi="宋体" w:cs="宋体"/>
          <w:color w:val="auto"/>
          <w:sz w:val="22"/>
          <w:szCs w:val="22"/>
          <w:highlight w:val="none"/>
          <w:u w:val="single"/>
          <w:lang w:val="en-US" w:eastAsia="zh-CN"/>
        </w:rPr>
        <w:t>南通市崇川区鸿运城市花苑18栋</w:t>
      </w:r>
      <w:r>
        <w:rPr>
          <w:rFonts w:hint="eastAsia" w:ascii="宋体" w:hAnsi="宋体" w:eastAsia="宋体" w:cs="宋体"/>
          <w:color w:val="auto"/>
          <w:sz w:val="22"/>
          <w:szCs w:val="22"/>
          <w:highlight w:val="none"/>
        </w:rPr>
        <w:t>。投标截止的同一时间</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同一地点举行开标会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投标人如对开标过程有异议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应在现场提出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未提出的视为默认开标结果。</w:t>
      </w:r>
    </w:p>
    <w:p w14:paraId="46D27FC0">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5.3逾期送达的或者未送达指定地点的投标文件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招标人不予受理。</w:t>
      </w:r>
    </w:p>
    <w:p w14:paraId="0E687996">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6、本项目实行资格后审</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评标办法采用综合评估法（双信封）。</w:t>
      </w:r>
    </w:p>
    <w:p w14:paraId="094F000E">
      <w:pPr>
        <w:keepNext w:val="0"/>
        <w:keepLines w:val="0"/>
        <w:pageBreakBefore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7、发布公告的媒介</w:t>
      </w:r>
    </w:p>
    <w:p w14:paraId="6A7D97CB">
      <w:pPr>
        <w:keepNext w:val="0"/>
        <w:keepLines w:val="0"/>
        <w:pageBreakBefore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本次招标公告在</w:t>
      </w:r>
      <w:r>
        <w:rPr>
          <w:rFonts w:hint="eastAsia" w:ascii="宋体" w:hAnsi="宋体" w:cs="宋体"/>
          <w:b/>
          <w:bCs w:val="0"/>
          <w:color w:val="auto"/>
          <w:sz w:val="22"/>
          <w:szCs w:val="22"/>
          <w:highlight w:val="none"/>
          <w:u w:val="single"/>
          <w:lang w:val="en-US" w:eastAsia="zh-CN"/>
        </w:rPr>
        <w:t>南通市交通运输局网站、江苏省招标投标公共服务平台</w:t>
      </w:r>
      <w:r>
        <w:rPr>
          <w:rFonts w:hint="eastAsia" w:ascii="宋体" w:hAnsi="宋体" w:eastAsia="宋体" w:cs="宋体"/>
          <w:bCs/>
          <w:color w:val="auto"/>
          <w:sz w:val="22"/>
          <w:szCs w:val="22"/>
          <w:highlight w:val="none"/>
        </w:rPr>
        <w:t>上发布。</w:t>
      </w:r>
    </w:p>
    <w:p w14:paraId="2A1A9C5B">
      <w:pPr>
        <w:keepNext w:val="0"/>
        <w:keepLines w:val="0"/>
        <w:pageBreakBefore w:val="0"/>
        <w:widowControl w:val="0"/>
        <w:kinsoku/>
        <w:wordWrap w:val="0"/>
        <w:overflowPunct/>
        <w:topLinePunct w:val="0"/>
        <w:autoSpaceDE/>
        <w:autoSpaceDN/>
        <w:bidi w:val="0"/>
        <w:adjustRightInd/>
        <w:snapToGrid/>
        <w:spacing w:line="360" w:lineRule="auto"/>
        <w:ind w:firstLine="442" w:firstLineChars="200"/>
        <w:jc w:val="both"/>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8、联系方式</w:t>
      </w:r>
    </w:p>
    <w:p w14:paraId="3EBD930C">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招</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标</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人：</w:t>
      </w:r>
      <w:r>
        <w:rPr>
          <w:rFonts w:hint="eastAsia" w:ascii="宋体" w:hAnsi="宋体" w:eastAsia="宋体" w:cs="宋体"/>
          <w:color w:val="auto"/>
          <w:sz w:val="22"/>
          <w:szCs w:val="22"/>
          <w:highlight w:val="none"/>
          <w:lang w:eastAsia="zh-CN"/>
        </w:rPr>
        <w:t>南通市江海河联运项目建设指挥部</w:t>
      </w:r>
    </w:p>
    <w:p w14:paraId="4DF0920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 xml:space="preserve">地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址：</w:t>
      </w:r>
      <w:r>
        <w:rPr>
          <w:rFonts w:hint="eastAsia" w:ascii="宋体" w:hAnsi="宋体" w:eastAsia="宋体" w:cs="宋体"/>
          <w:color w:val="auto"/>
          <w:sz w:val="22"/>
          <w:szCs w:val="22"/>
          <w:highlight w:val="none"/>
          <w:lang w:eastAsia="zh-CN"/>
        </w:rPr>
        <w:t>南通市外环西路99号</w:t>
      </w:r>
    </w:p>
    <w:p w14:paraId="7092803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联 系 人：</w:t>
      </w:r>
      <w:r>
        <w:rPr>
          <w:rFonts w:hint="eastAsia" w:ascii="宋体" w:hAnsi="宋体" w:cs="宋体"/>
          <w:color w:val="auto"/>
          <w:sz w:val="22"/>
          <w:szCs w:val="22"/>
          <w:highlight w:val="none"/>
          <w:lang w:val="en-US" w:eastAsia="zh-CN"/>
        </w:rPr>
        <w:t>蔚丰穗</w:t>
      </w:r>
    </w:p>
    <w:p w14:paraId="51CBFF09">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电    话：</w:t>
      </w:r>
      <w:r>
        <w:rPr>
          <w:rFonts w:hint="eastAsia" w:ascii="宋体" w:hAnsi="宋体" w:eastAsia="宋体" w:cs="宋体"/>
          <w:color w:val="auto"/>
          <w:sz w:val="22"/>
          <w:szCs w:val="22"/>
          <w:highlight w:val="none"/>
          <w:lang w:eastAsia="zh-CN"/>
        </w:rPr>
        <w:t>0513-83549373</w:t>
      </w:r>
    </w:p>
    <w:p w14:paraId="7D578DEE">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581A129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招标代理：国信国际工程咨询集团股份有限公司</w:t>
      </w:r>
    </w:p>
    <w:p w14:paraId="05C9BEDD">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地    址：南京市建邺区奥体大街68号新城科技园国际研发总部园2</w:t>
      </w:r>
      <w:r>
        <w:rPr>
          <w:rFonts w:hint="eastAsia" w:ascii="宋体" w:hAnsi="宋体" w:eastAsia="宋体" w:cs="宋体"/>
          <w:color w:val="auto"/>
          <w:sz w:val="22"/>
          <w:szCs w:val="22"/>
          <w:highlight w:val="none"/>
          <w:lang w:val="en-US" w:eastAsia="zh-CN"/>
        </w:rPr>
        <w:t>栋</w:t>
      </w:r>
      <w:r>
        <w:rPr>
          <w:rFonts w:hint="eastAsia" w:ascii="宋体" w:hAnsi="宋体" w:eastAsia="宋体" w:cs="宋体"/>
          <w:color w:val="auto"/>
          <w:sz w:val="22"/>
          <w:szCs w:val="22"/>
          <w:highlight w:val="none"/>
        </w:rPr>
        <w:t>7层</w:t>
      </w:r>
    </w:p>
    <w:p w14:paraId="7FB73450">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联 系 人：</w:t>
      </w:r>
      <w:r>
        <w:rPr>
          <w:rFonts w:hint="eastAsia" w:ascii="宋体" w:hAnsi="宋体" w:cs="宋体"/>
          <w:color w:val="auto"/>
          <w:sz w:val="22"/>
          <w:szCs w:val="22"/>
          <w:highlight w:val="none"/>
          <w:lang w:eastAsia="zh-CN"/>
        </w:rPr>
        <w:t>陈立鹏</w:t>
      </w:r>
      <w:r>
        <w:rPr>
          <w:rFonts w:hint="eastAsia" w:ascii="宋体" w:hAnsi="宋体" w:eastAsia="宋体" w:cs="宋体"/>
          <w:color w:val="auto"/>
          <w:sz w:val="22"/>
          <w:szCs w:val="22"/>
          <w:highlight w:val="none"/>
        </w:rPr>
        <w:t>、李学山</w:t>
      </w:r>
    </w:p>
    <w:p w14:paraId="7004C12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电    话：025-86602545-8012（分机号）</w:t>
      </w:r>
    </w:p>
    <w:p w14:paraId="7337EC0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工 作Q</w:t>
      </w:r>
      <w:r>
        <w:rPr>
          <w:rFonts w:hint="eastAsia" w:ascii="宋体" w:hAnsi="宋体" w:eastAsia="宋体" w:cs="宋体"/>
          <w:color w:val="auto"/>
          <w:sz w:val="10"/>
          <w:szCs w:val="10"/>
          <w:highlight w:val="none"/>
          <w:lang w:val="en-US" w:eastAsia="zh-CN"/>
        </w:rPr>
        <w:t xml:space="preserve"> </w:t>
      </w:r>
      <w:r>
        <w:rPr>
          <w:rFonts w:hint="eastAsia" w:ascii="宋体" w:hAnsi="宋体" w:eastAsia="宋体" w:cs="宋体"/>
          <w:color w:val="auto"/>
          <w:sz w:val="22"/>
          <w:szCs w:val="22"/>
          <w:highlight w:val="none"/>
        </w:rPr>
        <w:t>Q：</w:t>
      </w:r>
      <w:r>
        <w:rPr>
          <w:rFonts w:hint="eastAsia" w:ascii="宋体" w:hAnsi="宋体" w:cs="宋体"/>
          <w:color w:val="auto"/>
          <w:sz w:val="22"/>
          <w:szCs w:val="22"/>
          <w:highlight w:val="none"/>
          <w:lang w:eastAsia="zh-CN"/>
        </w:rPr>
        <w:t>3682434945</w:t>
      </w:r>
      <w:r>
        <w:rPr>
          <w:rFonts w:hint="eastAsia" w:ascii="宋体" w:hAnsi="宋体" w:eastAsia="宋体" w:cs="宋体"/>
          <w:color w:val="auto"/>
          <w:sz w:val="22"/>
          <w:szCs w:val="22"/>
          <w:highlight w:val="none"/>
        </w:rPr>
        <w:t xml:space="preserve">（投标申请人主动添加QQ） </w:t>
      </w:r>
    </w:p>
    <w:p w14:paraId="658AD948">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工作邮箱：</w:t>
      </w:r>
      <w:r>
        <w:rPr>
          <w:rFonts w:hint="eastAsia" w:ascii="宋体" w:hAnsi="宋体" w:cs="宋体"/>
          <w:color w:val="auto"/>
          <w:sz w:val="22"/>
          <w:szCs w:val="22"/>
          <w:highlight w:val="none"/>
          <w:lang w:eastAsia="zh-CN"/>
        </w:rPr>
        <w:t>3682434945</w:t>
      </w:r>
      <w:r>
        <w:rPr>
          <w:rFonts w:hint="eastAsia" w:ascii="宋体" w:hAnsi="宋体" w:eastAsia="宋体" w:cs="宋体"/>
          <w:color w:val="auto"/>
          <w:sz w:val="22"/>
          <w:szCs w:val="22"/>
          <w:highlight w:val="none"/>
        </w:rPr>
        <w:t>@qq.com</w:t>
      </w:r>
    </w:p>
    <w:p w14:paraId="42949970">
      <w:pPr>
        <w:keepNext w:val="0"/>
        <w:keepLines w:val="0"/>
        <w:pageBreakBefore w:val="0"/>
        <w:widowControl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本项目接收异议的联系人和联系方式：</w:t>
      </w:r>
      <w:r>
        <w:rPr>
          <w:rFonts w:hint="eastAsia" w:ascii="宋体" w:hAnsi="宋体" w:cs="宋体"/>
          <w:color w:val="auto"/>
          <w:sz w:val="22"/>
          <w:szCs w:val="22"/>
          <w:highlight w:val="none"/>
          <w:lang w:val="en-US" w:eastAsia="zh-CN"/>
        </w:rPr>
        <w:t>蔚丰穗</w:t>
      </w:r>
      <w:r>
        <w:rPr>
          <w:rFonts w:hint="eastAsia" w:ascii="宋体" w:hAnsi="宋体" w:eastAsia="宋体" w:cs="宋体"/>
          <w:color w:val="auto"/>
          <w:sz w:val="22"/>
          <w:szCs w:val="22"/>
          <w:highlight w:val="none"/>
        </w:rPr>
        <w:t>、</w:t>
      </w:r>
      <w:r>
        <w:rPr>
          <w:rFonts w:hint="eastAsia" w:ascii="宋体" w:hAnsi="宋体" w:cs="宋体"/>
          <w:color w:val="auto"/>
          <w:sz w:val="22"/>
          <w:szCs w:val="22"/>
          <w:highlight w:val="none"/>
          <w:lang w:eastAsia="zh-CN"/>
        </w:rPr>
        <w:t>陈立鹏</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0513-83549373</w:t>
      </w:r>
      <w:r>
        <w:rPr>
          <w:rFonts w:hint="eastAsia" w:ascii="宋体" w:hAnsi="宋体" w:eastAsia="宋体" w:cs="宋体"/>
          <w:color w:val="auto"/>
          <w:sz w:val="22"/>
          <w:szCs w:val="22"/>
          <w:highlight w:val="none"/>
        </w:rPr>
        <w:t>、025-86602545-8012（分机号）</w:t>
      </w:r>
      <w:bookmarkStart w:id="175" w:name="_GoBack"/>
      <w:bookmarkEnd w:id="175"/>
    </w:p>
    <w:p w14:paraId="48F94481">
      <w:pPr>
        <w:keepNext w:val="0"/>
        <w:keepLines w:val="0"/>
        <w:pageBreakBefore w:val="0"/>
        <w:widowControl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（注：以上时间均为北京时间</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具体事宜请与招标代理联系</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 xml:space="preserve">）                  </w:t>
      </w:r>
    </w:p>
    <w:p w14:paraId="381B1CAE">
      <w:pPr>
        <w:keepNext w:val="0"/>
        <w:keepLines w:val="0"/>
        <w:pageBreakBefore w:val="0"/>
        <w:kinsoku/>
        <w:wordWrap w:val="0"/>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7D1902E6">
      <w:pPr>
        <w:keepNext w:val="0"/>
        <w:keepLines w:val="0"/>
        <w:pageBreakBefore w:val="0"/>
        <w:kinsoku/>
        <w:wordWrap w:val="0"/>
        <w:overflowPunct/>
        <w:topLinePunct w:val="0"/>
        <w:autoSpaceDE/>
        <w:autoSpaceDN/>
        <w:bidi w:val="0"/>
        <w:adjustRightInd/>
        <w:snapToGrid/>
        <w:spacing w:line="360" w:lineRule="auto"/>
        <w:ind w:firstLine="44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b/>
          <w:bCs/>
          <w:color w:val="auto"/>
          <w:sz w:val="22"/>
          <w:szCs w:val="22"/>
          <w:highlight w:val="none"/>
          <w:lang w:val="en-US" w:eastAsia="zh-CN"/>
        </w:rPr>
        <w:t>202</w:t>
      </w:r>
      <w:r>
        <w:rPr>
          <w:rFonts w:hint="eastAsia" w:ascii="宋体" w:hAnsi="宋体" w:cs="宋体"/>
          <w:b/>
          <w:bCs/>
          <w:color w:val="auto"/>
          <w:sz w:val="22"/>
          <w:szCs w:val="22"/>
          <w:highlight w:val="none"/>
          <w:lang w:val="en-US" w:eastAsia="zh-CN"/>
        </w:rPr>
        <w:t>5</w:t>
      </w:r>
      <w:r>
        <w:rPr>
          <w:rFonts w:hint="eastAsia" w:ascii="宋体" w:hAnsi="宋体" w:eastAsia="宋体" w:cs="宋体"/>
          <w:b/>
          <w:bCs/>
          <w:color w:val="auto"/>
          <w:sz w:val="22"/>
          <w:szCs w:val="22"/>
          <w:highlight w:val="none"/>
        </w:rPr>
        <w:t>年</w:t>
      </w:r>
      <w:r>
        <w:rPr>
          <w:rFonts w:hint="eastAsia" w:ascii="宋体" w:hAnsi="宋体" w:cs="宋体"/>
          <w:b/>
          <w:bCs/>
          <w:color w:val="auto"/>
          <w:sz w:val="22"/>
          <w:szCs w:val="22"/>
          <w:highlight w:val="none"/>
          <w:lang w:val="en-US" w:eastAsia="zh-CN"/>
        </w:rPr>
        <w:t>6</w:t>
      </w:r>
      <w:r>
        <w:rPr>
          <w:rFonts w:hint="eastAsia" w:ascii="宋体" w:hAnsi="宋体" w:eastAsia="宋体" w:cs="宋体"/>
          <w:b/>
          <w:bCs/>
          <w:color w:val="auto"/>
          <w:sz w:val="22"/>
          <w:szCs w:val="22"/>
          <w:highlight w:val="none"/>
        </w:rPr>
        <w:t>月</w:t>
      </w:r>
      <w:r>
        <w:rPr>
          <w:rFonts w:hint="eastAsia" w:ascii="宋体" w:hAnsi="宋体" w:cs="宋体"/>
          <w:b/>
          <w:bCs/>
          <w:color w:val="auto"/>
          <w:sz w:val="22"/>
          <w:szCs w:val="22"/>
          <w:highlight w:val="none"/>
          <w:lang w:val="en-US" w:eastAsia="zh-CN"/>
        </w:rPr>
        <w:t>9</w:t>
      </w:r>
      <w:r>
        <w:rPr>
          <w:rFonts w:hint="eastAsia" w:ascii="宋体" w:hAnsi="宋体" w:eastAsia="宋体" w:cs="宋体"/>
          <w:b/>
          <w:bCs/>
          <w:color w:val="auto"/>
          <w:sz w:val="22"/>
          <w:szCs w:val="22"/>
          <w:highlight w:val="none"/>
        </w:rPr>
        <w:t>日</w:t>
      </w:r>
    </w:p>
    <w:p w14:paraId="7C4EF28F">
      <w:pPr>
        <w:rPr>
          <w:rFonts w:hint="eastAsia" w:cs="Arial"/>
          <w:color w:val="auto"/>
          <w:sz w:val="32"/>
          <w:szCs w:val="22"/>
          <w:highlight w:val="none"/>
        </w:rPr>
      </w:pPr>
      <w:bookmarkStart w:id="21" w:name="_Toc33625854"/>
      <w:r>
        <w:rPr>
          <w:rFonts w:hint="eastAsia" w:cs="Arial"/>
          <w:color w:val="auto"/>
          <w:sz w:val="32"/>
          <w:szCs w:val="22"/>
          <w:highlight w:val="none"/>
        </w:rPr>
        <w:br w:type="page"/>
      </w:r>
    </w:p>
    <w:p w14:paraId="6A98183E">
      <w:pPr>
        <w:pStyle w:val="28"/>
        <w:spacing w:before="120" w:beforeLines="50" w:after="0" w:line="360" w:lineRule="auto"/>
        <w:jc w:val="center"/>
        <w:rPr>
          <w:color w:val="auto"/>
          <w:sz w:val="32"/>
          <w:szCs w:val="22"/>
          <w:highlight w:val="none"/>
        </w:rPr>
      </w:pPr>
      <w:r>
        <w:rPr>
          <w:rFonts w:hint="eastAsia" w:cs="Arial"/>
          <w:color w:val="auto"/>
          <w:sz w:val="32"/>
          <w:szCs w:val="22"/>
          <w:highlight w:val="none"/>
        </w:rPr>
        <w:t>第二章 投标人须知</w:t>
      </w:r>
      <w:bookmarkEnd w:id="16"/>
      <w:bookmarkEnd w:id="21"/>
    </w:p>
    <w:p w14:paraId="71FA8906">
      <w:pPr>
        <w:keepNext w:val="0"/>
        <w:keepLines w:val="0"/>
        <w:pageBreakBefore w:val="0"/>
        <w:widowControl w:val="0"/>
        <w:kinsoku/>
        <w:wordWrap/>
        <w:overflowPunct/>
        <w:topLinePunct/>
        <w:autoSpaceDE/>
        <w:autoSpaceDN/>
        <w:bidi w:val="0"/>
        <w:adjustRightInd/>
        <w:snapToGrid/>
        <w:spacing w:line="360" w:lineRule="auto"/>
        <w:jc w:val="center"/>
        <w:textAlignment w:val="auto"/>
        <w:rPr>
          <w:rFonts w:hint="eastAsia" w:ascii="宋体" w:hAnsi="宋体" w:eastAsia="宋体" w:cs="宋体"/>
          <w:b/>
          <w:color w:val="auto"/>
          <w:sz w:val="22"/>
          <w:szCs w:val="22"/>
          <w:highlight w:val="none"/>
        </w:rPr>
      </w:pPr>
      <w:bookmarkStart w:id="22" w:name="_Toc185412927"/>
      <w:r>
        <w:rPr>
          <w:rFonts w:hint="eastAsia" w:ascii="宋体" w:hAnsi="宋体" w:eastAsia="宋体" w:cs="宋体"/>
          <w:b/>
          <w:color w:val="auto"/>
          <w:sz w:val="22"/>
          <w:szCs w:val="22"/>
          <w:highlight w:val="none"/>
        </w:rPr>
        <w:t>一、总则</w:t>
      </w:r>
      <w:bookmarkEnd w:id="22"/>
    </w:p>
    <w:p w14:paraId="4C05F0EC">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  工程说明</w:t>
      </w:r>
    </w:p>
    <w:p w14:paraId="45BBBDB2">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1.1 定义和解释</w:t>
      </w:r>
    </w:p>
    <w:p w14:paraId="4148B9E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招标人（发包人）：</w:t>
      </w:r>
      <w:r>
        <w:rPr>
          <w:rFonts w:hint="eastAsia" w:ascii="宋体" w:hAnsi="宋体" w:eastAsia="宋体" w:cs="宋体"/>
          <w:snapToGrid w:val="0"/>
          <w:color w:val="auto"/>
          <w:kern w:val="0"/>
          <w:sz w:val="22"/>
          <w:szCs w:val="22"/>
          <w:highlight w:val="none"/>
          <w:u w:val="single"/>
          <w:lang w:eastAsia="zh-CN"/>
        </w:rPr>
        <w:t>南通市江海河联运项目建设指挥部</w:t>
      </w:r>
      <w:r>
        <w:rPr>
          <w:rFonts w:hint="eastAsia" w:ascii="宋体" w:hAnsi="宋体" w:eastAsia="宋体" w:cs="宋体"/>
          <w:snapToGrid w:val="0"/>
          <w:color w:val="auto"/>
          <w:kern w:val="0"/>
          <w:sz w:val="22"/>
          <w:szCs w:val="22"/>
          <w:highlight w:val="none"/>
        </w:rPr>
        <w:t>。</w:t>
      </w:r>
    </w:p>
    <w:p w14:paraId="77219F1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招标代理：受招标人委托</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在招标人（发包人）授权范围内组织招标工作的机构。本项目招标代理为</w:t>
      </w:r>
      <w:r>
        <w:rPr>
          <w:rFonts w:hint="eastAsia" w:ascii="宋体" w:hAnsi="宋体" w:eastAsia="宋体" w:cs="宋体"/>
          <w:snapToGrid w:val="0"/>
          <w:color w:val="auto"/>
          <w:kern w:val="0"/>
          <w:sz w:val="22"/>
          <w:szCs w:val="22"/>
          <w:highlight w:val="none"/>
          <w:u w:val="single"/>
        </w:rPr>
        <w:t>国信国际工程咨询集团股份有限公司</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下称招标代理。</w:t>
      </w:r>
    </w:p>
    <w:p w14:paraId="35F94F82">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投标人：是指参与投标竞争</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具备相应资质（资格）的服务单位。</w:t>
      </w:r>
    </w:p>
    <w:p w14:paraId="225C5BD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中标人：是指最后中标的投标人。</w:t>
      </w:r>
    </w:p>
    <w:p w14:paraId="7C3B746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1.2 项目概况：详见</w:t>
      </w:r>
      <w:r>
        <w:rPr>
          <w:rFonts w:hint="eastAsia" w:ascii="宋体" w:hAnsi="宋体" w:eastAsia="宋体" w:cs="宋体"/>
          <w:snapToGrid w:val="0"/>
          <w:color w:val="auto"/>
          <w:kern w:val="0"/>
          <w:sz w:val="22"/>
          <w:szCs w:val="22"/>
          <w:highlight w:val="none"/>
          <w:lang w:val="en-US" w:eastAsia="zh-CN"/>
        </w:rPr>
        <w:t xml:space="preserve">第一章 </w:t>
      </w:r>
      <w:r>
        <w:rPr>
          <w:rFonts w:hint="eastAsia" w:ascii="宋体" w:hAnsi="宋体" w:eastAsia="宋体" w:cs="宋体"/>
          <w:snapToGrid w:val="0"/>
          <w:color w:val="auto"/>
          <w:kern w:val="0"/>
          <w:sz w:val="22"/>
          <w:szCs w:val="22"/>
          <w:highlight w:val="none"/>
        </w:rPr>
        <w:t>招标公告。</w:t>
      </w:r>
    </w:p>
    <w:p w14:paraId="1179B51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w:t>
      </w:r>
      <w:r>
        <w:rPr>
          <w:rFonts w:hint="eastAsia" w:ascii="宋体" w:hAnsi="宋体" w:eastAsia="宋体" w:cs="宋体"/>
          <w:snapToGrid w:val="0"/>
          <w:color w:val="auto"/>
          <w:kern w:val="0"/>
          <w:sz w:val="22"/>
          <w:szCs w:val="22"/>
          <w:highlight w:val="none"/>
          <w:lang w:val="en-US" w:eastAsia="zh-CN"/>
        </w:rPr>
        <w:t>3</w:t>
      </w:r>
      <w:r>
        <w:rPr>
          <w:rFonts w:hint="eastAsia" w:ascii="宋体" w:hAnsi="宋体" w:eastAsia="宋体" w:cs="宋体"/>
          <w:snapToGrid w:val="0"/>
          <w:color w:val="auto"/>
          <w:kern w:val="0"/>
          <w:sz w:val="22"/>
          <w:szCs w:val="22"/>
          <w:highlight w:val="none"/>
        </w:rPr>
        <w:t xml:space="preserve"> </w:t>
      </w:r>
      <w:r>
        <w:rPr>
          <w:rFonts w:hint="eastAsia" w:ascii="宋体" w:hAnsi="宋体" w:eastAsia="宋体" w:cs="宋体"/>
          <w:snapToGrid w:val="0"/>
          <w:color w:val="auto"/>
          <w:kern w:val="0"/>
          <w:sz w:val="22"/>
          <w:szCs w:val="22"/>
          <w:highlight w:val="none"/>
          <w:lang w:val="en-US" w:eastAsia="zh-CN"/>
        </w:rPr>
        <w:t>招标范围</w:t>
      </w:r>
      <w:r>
        <w:rPr>
          <w:rFonts w:hint="eastAsia" w:ascii="宋体" w:hAnsi="宋体" w:eastAsia="宋体" w:cs="宋体"/>
          <w:snapToGrid w:val="0"/>
          <w:color w:val="auto"/>
          <w:kern w:val="0"/>
          <w:sz w:val="22"/>
          <w:szCs w:val="22"/>
          <w:highlight w:val="none"/>
        </w:rPr>
        <w:t>：详见</w:t>
      </w:r>
      <w:r>
        <w:rPr>
          <w:rFonts w:hint="eastAsia" w:ascii="宋体" w:hAnsi="宋体" w:eastAsia="宋体" w:cs="宋体"/>
          <w:snapToGrid w:val="0"/>
          <w:color w:val="auto"/>
          <w:kern w:val="0"/>
          <w:sz w:val="22"/>
          <w:szCs w:val="22"/>
          <w:highlight w:val="none"/>
          <w:lang w:val="en-US" w:eastAsia="zh-CN"/>
        </w:rPr>
        <w:t xml:space="preserve">第一章 </w:t>
      </w:r>
      <w:r>
        <w:rPr>
          <w:rFonts w:hint="eastAsia" w:ascii="宋体" w:hAnsi="宋体" w:eastAsia="宋体" w:cs="宋体"/>
          <w:snapToGrid w:val="0"/>
          <w:color w:val="auto"/>
          <w:kern w:val="0"/>
          <w:sz w:val="22"/>
          <w:szCs w:val="22"/>
          <w:highlight w:val="none"/>
        </w:rPr>
        <w:t>招标公告。</w:t>
      </w:r>
    </w:p>
    <w:p w14:paraId="32F3AFF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w:t>
      </w:r>
      <w:r>
        <w:rPr>
          <w:rFonts w:hint="eastAsia" w:ascii="宋体" w:hAnsi="宋体" w:eastAsia="宋体" w:cs="宋体"/>
          <w:snapToGrid w:val="0"/>
          <w:color w:val="auto"/>
          <w:kern w:val="0"/>
          <w:sz w:val="22"/>
          <w:szCs w:val="22"/>
          <w:highlight w:val="none"/>
          <w:lang w:val="en-US" w:eastAsia="zh-CN"/>
        </w:rPr>
        <w:t>4</w:t>
      </w:r>
      <w:r>
        <w:rPr>
          <w:rFonts w:hint="eastAsia" w:ascii="宋体" w:hAnsi="宋体" w:eastAsia="宋体" w:cs="宋体"/>
          <w:snapToGrid w:val="0"/>
          <w:color w:val="auto"/>
          <w:kern w:val="0"/>
          <w:sz w:val="22"/>
          <w:szCs w:val="22"/>
          <w:highlight w:val="none"/>
        </w:rPr>
        <w:t xml:space="preserve"> </w:t>
      </w:r>
      <w:r>
        <w:rPr>
          <w:rFonts w:hint="eastAsia" w:ascii="宋体" w:hAnsi="宋体" w:eastAsia="宋体" w:cs="宋体"/>
          <w:snapToGrid w:val="0"/>
          <w:color w:val="auto"/>
          <w:kern w:val="0"/>
          <w:sz w:val="22"/>
          <w:szCs w:val="22"/>
          <w:highlight w:val="none"/>
          <w:lang w:eastAsia="zh-CN"/>
        </w:rPr>
        <w:t>服务</w:t>
      </w:r>
      <w:r>
        <w:rPr>
          <w:rFonts w:hint="eastAsia" w:cs="宋体"/>
          <w:snapToGrid w:val="0"/>
          <w:color w:val="auto"/>
          <w:kern w:val="0"/>
          <w:sz w:val="22"/>
          <w:szCs w:val="22"/>
          <w:highlight w:val="none"/>
          <w:lang w:val="en-US" w:eastAsia="zh-CN"/>
        </w:rPr>
        <w:t>周</w:t>
      </w:r>
      <w:r>
        <w:rPr>
          <w:rFonts w:hint="eastAsia" w:ascii="宋体" w:hAnsi="宋体" w:eastAsia="宋体" w:cs="宋体"/>
          <w:snapToGrid w:val="0"/>
          <w:color w:val="auto"/>
          <w:kern w:val="0"/>
          <w:sz w:val="22"/>
          <w:szCs w:val="22"/>
          <w:highlight w:val="none"/>
          <w:lang w:eastAsia="zh-CN"/>
        </w:rPr>
        <w:t>期</w:t>
      </w:r>
      <w:r>
        <w:rPr>
          <w:rFonts w:hint="eastAsia" w:ascii="宋体" w:hAnsi="宋体" w:eastAsia="宋体" w:cs="宋体"/>
          <w:snapToGrid w:val="0"/>
          <w:color w:val="auto"/>
          <w:kern w:val="0"/>
          <w:sz w:val="22"/>
          <w:szCs w:val="22"/>
          <w:highlight w:val="none"/>
        </w:rPr>
        <w:t>：详见</w:t>
      </w:r>
      <w:r>
        <w:rPr>
          <w:rFonts w:hint="eastAsia" w:ascii="宋体" w:hAnsi="宋体" w:eastAsia="宋体" w:cs="宋体"/>
          <w:snapToGrid w:val="0"/>
          <w:color w:val="auto"/>
          <w:kern w:val="0"/>
          <w:sz w:val="22"/>
          <w:szCs w:val="22"/>
          <w:highlight w:val="none"/>
          <w:lang w:val="en-US" w:eastAsia="zh-CN"/>
        </w:rPr>
        <w:t xml:space="preserve">第一章 </w:t>
      </w:r>
      <w:r>
        <w:rPr>
          <w:rFonts w:hint="eastAsia" w:ascii="宋体" w:hAnsi="宋体" w:eastAsia="宋体" w:cs="宋体"/>
          <w:snapToGrid w:val="0"/>
          <w:color w:val="auto"/>
          <w:kern w:val="0"/>
          <w:sz w:val="22"/>
          <w:szCs w:val="22"/>
          <w:highlight w:val="none"/>
        </w:rPr>
        <w:t>招标公告。</w:t>
      </w:r>
    </w:p>
    <w:p w14:paraId="5794FC86">
      <w:pPr>
        <w:pStyle w:val="80"/>
        <w:keepNext w:val="0"/>
        <w:keepLines w:val="0"/>
        <w:pageBreakBefore w:val="0"/>
        <w:widowControl w:val="0"/>
        <w:kinsoku/>
        <w:wordWrap/>
        <w:overflowPunct/>
        <w:topLinePunct/>
        <w:autoSpaceDE/>
        <w:autoSpaceDN/>
        <w:bidi w:val="0"/>
        <w:adjustRightInd/>
        <w:snapToGrid/>
        <w:spacing w:line="360" w:lineRule="auto"/>
        <w:ind w:left="0" w:firstLine="0" w:firstLineChars="0"/>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2  项目资金</w:t>
      </w:r>
    </w:p>
    <w:p w14:paraId="074C071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2.1 本招标项目已由政府批准建设</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所需建设资金已落实。投标报价和中标后的工程价款的货币种类均为人民币。</w:t>
      </w:r>
    </w:p>
    <w:p w14:paraId="27BD2071">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hanging="497" w:hangingChars="225"/>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3  投标人的合格条件</w:t>
      </w:r>
    </w:p>
    <w:p w14:paraId="45C8BABC">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3.1 本项目实行公开招标</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资格后审</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通过资格审查是投标参与评标及中标的前提条件。</w:t>
      </w:r>
    </w:p>
    <w:p w14:paraId="1B0237B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投标人应为具有与本次招标项目相应的资质和工作经验</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具备承担本次招标的人员、设备等技术力量和能力的法人单位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具体要求详见</w:t>
      </w:r>
      <w:r>
        <w:rPr>
          <w:rFonts w:hint="eastAsia" w:ascii="宋体" w:hAnsi="宋体" w:eastAsia="宋体" w:cs="宋体"/>
          <w:snapToGrid w:val="0"/>
          <w:color w:val="auto"/>
          <w:kern w:val="0"/>
          <w:sz w:val="22"/>
          <w:szCs w:val="22"/>
          <w:highlight w:val="none"/>
          <w:lang w:val="en-US" w:eastAsia="zh-CN"/>
        </w:rPr>
        <w:t xml:space="preserve">第一章 </w:t>
      </w:r>
      <w:r>
        <w:rPr>
          <w:rFonts w:hint="eastAsia" w:ascii="宋体" w:hAnsi="宋体" w:eastAsia="宋体" w:cs="宋体"/>
          <w:snapToGrid w:val="0"/>
          <w:color w:val="auto"/>
          <w:kern w:val="0"/>
          <w:sz w:val="22"/>
          <w:szCs w:val="22"/>
          <w:highlight w:val="none"/>
        </w:rPr>
        <w:t>招标公告。</w:t>
      </w:r>
    </w:p>
    <w:p w14:paraId="4D9D94B2">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lang w:val="en-US" w:eastAsia="zh-CN"/>
        </w:rPr>
      </w:pPr>
      <w:r>
        <w:rPr>
          <w:rFonts w:hint="eastAsia" w:ascii="宋体" w:hAnsi="宋体" w:eastAsia="宋体" w:cs="宋体"/>
          <w:snapToGrid w:val="0"/>
          <w:color w:val="auto"/>
          <w:kern w:val="0"/>
          <w:sz w:val="22"/>
          <w:szCs w:val="22"/>
          <w:highlight w:val="none"/>
          <w:lang w:val="en-US" w:eastAsia="zh-CN"/>
        </w:rPr>
        <w:t xml:space="preserve">3.2 </w:t>
      </w:r>
      <w:r>
        <w:rPr>
          <w:rFonts w:hint="eastAsia" w:ascii="宋体" w:hAnsi="宋体" w:eastAsia="宋体" w:cs="宋体"/>
          <w:b/>
          <w:bCs/>
          <w:snapToGrid w:val="0"/>
          <w:color w:val="auto"/>
          <w:kern w:val="0"/>
          <w:sz w:val="22"/>
          <w:szCs w:val="22"/>
          <w:highlight w:val="none"/>
          <w:u w:val="none"/>
          <w:lang w:val="en-US" w:eastAsia="zh-CN"/>
        </w:rPr>
        <w:t>本项目不允许分包</w:t>
      </w:r>
      <w:r>
        <w:rPr>
          <w:rFonts w:hint="eastAsia" w:ascii="宋体" w:hAnsi="宋体" w:eastAsia="宋体" w:cs="宋体"/>
          <w:snapToGrid w:val="0"/>
          <w:color w:val="auto"/>
          <w:kern w:val="0"/>
          <w:sz w:val="22"/>
          <w:szCs w:val="22"/>
          <w:highlight w:val="none"/>
          <w:lang w:val="en-US" w:eastAsia="zh-CN"/>
        </w:rPr>
        <w:t>。</w:t>
      </w:r>
    </w:p>
    <w:p w14:paraId="4EC9F50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hanging="497" w:hangingChars="225"/>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4  投标费用</w:t>
      </w:r>
    </w:p>
    <w:p w14:paraId="5BA9FAE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4.1 投标人在投标过程中的一切费用</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无论中标与否</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均由投标人自行承担。</w:t>
      </w:r>
    </w:p>
    <w:p w14:paraId="31B5D5A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hanging="497" w:hangingChars="225"/>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5  现场考察</w:t>
      </w:r>
    </w:p>
    <w:p w14:paraId="5483D43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5.1 招标人将不组织投标人进行现场考察</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投标人认为需要的</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可自行进行现场考察</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招标人将予以必要的协助</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费用由投标人自理。</w:t>
      </w:r>
    </w:p>
    <w:p w14:paraId="708125C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5.2 在现场考察过程中</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投标人如果发生人身伤亡、财物或其他损失</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无论何种原因所造成</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招标人和招标代理均不负责。</w:t>
      </w:r>
    </w:p>
    <w:p w14:paraId="4EFBDEB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5.3 由招标人提供的资料和数据</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仅供投标人参考</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招标人和招标代理对投标人由此做出的推论、解释和结论概不负责。</w:t>
      </w:r>
    </w:p>
    <w:p w14:paraId="1F61190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hanging="497" w:hangingChars="225"/>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6  标前会议</w:t>
      </w:r>
    </w:p>
    <w:p w14:paraId="0322520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23" w:name="_Toc44814581"/>
      <w:r>
        <w:rPr>
          <w:rFonts w:hint="eastAsia" w:ascii="宋体" w:hAnsi="宋体" w:eastAsia="宋体" w:cs="宋体"/>
          <w:snapToGrid w:val="0"/>
          <w:color w:val="auto"/>
          <w:kern w:val="0"/>
          <w:sz w:val="22"/>
          <w:szCs w:val="22"/>
          <w:highlight w:val="none"/>
        </w:rPr>
        <w:t>6.1 不组织标前会议。</w:t>
      </w:r>
    </w:p>
    <w:p w14:paraId="48A07C97">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二、招标文件</w:t>
      </w:r>
      <w:bookmarkEnd w:id="23"/>
    </w:p>
    <w:p w14:paraId="244E50D5">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7  招标文件的内容</w:t>
      </w:r>
    </w:p>
    <w:p w14:paraId="590810E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7.1 本项目招标文件由下列文件组成：</w:t>
      </w:r>
    </w:p>
    <w:p w14:paraId="67D1F52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第一章  招标公告</w:t>
      </w:r>
    </w:p>
    <w:p w14:paraId="3E5F74E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第二章  投标人须知</w:t>
      </w:r>
    </w:p>
    <w:p w14:paraId="0B2E821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第三章  评标办法</w:t>
      </w:r>
    </w:p>
    <w:p w14:paraId="0C63C7D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第四章  合同条款</w:t>
      </w:r>
    </w:p>
    <w:p w14:paraId="5F90AC2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lang w:eastAsia="zh-CN"/>
        </w:rPr>
      </w:pPr>
      <w:r>
        <w:rPr>
          <w:rFonts w:hint="eastAsia" w:ascii="宋体" w:hAnsi="宋体" w:eastAsia="宋体" w:cs="宋体"/>
          <w:snapToGrid w:val="0"/>
          <w:color w:val="auto"/>
          <w:kern w:val="0"/>
          <w:sz w:val="22"/>
          <w:szCs w:val="22"/>
          <w:highlight w:val="none"/>
        </w:rPr>
        <w:t xml:space="preserve">第五章  </w:t>
      </w:r>
      <w:r>
        <w:rPr>
          <w:rFonts w:hint="eastAsia" w:cs="宋体"/>
          <w:snapToGrid w:val="0"/>
          <w:color w:val="auto"/>
          <w:kern w:val="0"/>
          <w:sz w:val="22"/>
          <w:szCs w:val="22"/>
          <w:highlight w:val="none"/>
          <w:lang w:eastAsia="zh-CN"/>
        </w:rPr>
        <w:t>发包人要求</w:t>
      </w:r>
    </w:p>
    <w:p w14:paraId="3E6813AD">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第六章  投标文件格式</w:t>
      </w:r>
    </w:p>
    <w:p w14:paraId="0C4D476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24" w:name="_Toc298415767"/>
      <w:r>
        <w:rPr>
          <w:rFonts w:hint="eastAsia" w:ascii="宋体" w:hAnsi="宋体" w:eastAsia="宋体" w:cs="宋体"/>
          <w:snapToGrid w:val="0"/>
          <w:color w:val="auto"/>
          <w:kern w:val="0"/>
          <w:sz w:val="22"/>
          <w:szCs w:val="22"/>
          <w:highlight w:val="none"/>
        </w:rPr>
        <w:t>招标人在招标期间发出的所有有编号的补遗书以及其它正式有效函件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均是招标文件的组成部分。</w:t>
      </w:r>
      <w:bookmarkEnd w:id="24"/>
    </w:p>
    <w:p w14:paraId="792873BC">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7.2 投标人应认真阅读招标文件中所有条款、格式、规范和清单</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并按招标文件的规定与要求编写投标文件。如果投标文件与招标文件的规定和要求不符合</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则投标人应自行负责。凡与招标文件的规定有重大偏离或保留的投标文件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其投标将被拒绝。</w:t>
      </w:r>
    </w:p>
    <w:p w14:paraId="57D57461">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7.3 无论是否提交投标文件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投标人都不应扩散招标文件的内容。</w:t>
      </w:r>
    </w:p>
    <w:p w14:paraId="4E4C5310">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8  招标文件的澄清和解答</w:t>
      </w:r>
    </w:p>
    <w:p w14:paraId="6B36C73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8.1 要求澄清招标文件的投标人应以书面（含邮件）的方式在投标截止期16天以前通知招标人。招标人将在投标截止时间15天以前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以有编号的补遗书方式书面（含邮件）答复（包括对询问的解释</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但不说明询问的来源）。招标人的答复将发给所有投标人。投标人在收到书面答复后</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应立即以邮件的方式通知招标代理</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确认已收到该书面答复。</w:t>
      </w:r>
    </w:p>
    <w:p w14:paraId="07D6F5E0">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9  招标文件的修改</w:t>
      </w:r>
    </w:p>
    <w:p w14:paraId="3C9F250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25" w:name="_Toc44814582"/>
      <w:r>
        <w:rPr>
          <w:rFonts w:hint="eastAsia" w:ascii="宋体" w:hAnsi="宋体" w:eastAsia="宋体" w:cs="宋体"/>
          <w:snapToGrid w:val="0"/>
          <w:color w:val="auto"/>
          <w:kern w:val="0"/>
          <w:sz w:val="22"/>
          <w:szCs w:val="22"/>
          <w:highlight w:val="none"/>
        </w:rPr>
        <w:t>9.1 在投标截止期15天前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招标人可能会因各种原因</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对招标文件进行修改</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并以补遗书形式发给所有购买招标文件的投标人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投标人收到书面材料后</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应在24小时以内以邮件形式通知招标代理</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确认已收到该补遗书。</w:t>
      </w:r>
    </w:p>
    <w:p w14:paraId="7E9AB7BE">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9.2 为了给投标人合理的时间</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使他们在编制投标文件时把补遗书的内容考虑进去</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招标人可按照本须知第17条的规定</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酌情延长递交投标文件的截止时间。</w:t>
      </w:r>
    </w:p>
    <w:p w14:paraId="753630FD">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三、投标文件的编制</w:t>
      </w:r>
      <w:bookmarkEnd w:id="25"/>
    </w:p>
    <w:p w14:paraId="2C4BE3B2">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10  投标文件的语言</w:t>
      </w:r>
    </w:p>
    <w:p w14:paraId="091A778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10.1 投标文件及投标人与招标人之间的来往信函、文件均使用中文。</w:t>
      </w:r>
    </w:p>
    <w:p w14:paraId="7CFF8A07">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11  投标文件的组成</w:t>
      </w:r>
    </w:p>
    <w:p w14:paraId="19AE030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26" w:name="_Toc298415780"/>
      <w:r>
        <w:rPr>
          <w:rFonts w:hint="eastAsia" w:ascii="宋体" w:hAnsi="宋体" w:eastAsia="宋体" w:cs="宋体"/>
          <w:snapToGrid w:val="0"/>
          <w:color w:val="auto"/>
          <w:kern w:val="0"/>
          <w:sz w:val="22"/>
          <w:szCs w:val="22"/>
          <w:highlight w:val="none"/>
        </w:rPr>
        <w:t>11.1 投标人编写的投标文件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应包括下列各项：</w:t>
      </w:r>
      <w:bookmarkEnd w:id="26"/>
    </w:p>
    <w:p w14:paraId="3A4385FD">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
          <w:bCs/>
          <w:snapToGrid w:val="0"/>
          <w:color w:val="auto"/>
          <w:kern w:val="0"/>
          <w:sz w:val="22"/>
          <w:szCs w:val="22"/>
          <w:highlight w:val="none"/>
        </w:rPr>
      </w:pPr>
      <w:r>
        <w:rPr>
          <w:rFonts w:hint="eastAsia" w:ascii="宋体" w:hAnsi="宋体" w:eastAsia="宋体" w:cs="宋体"/>
          <w:b/>
          <w:bCs/>
          <w:snapToGrid w:val="0"/>
          <w:color w:val="auto"/>
          <w:kern w:val="0"/>
          <w:sz w:val="22"/>
          <w:szCs w:val="22"/>
          <w:highlight w:val="none"/>
        </w:rPr>
        <w:t>第一个信封（商务及技术文件）</w:t>
      </w:r>
    </w:p>
    <w:p w14:paraId="110F9F0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一  投标函</w:t>
      </w:r>
    </w:p>
    <w:p w14:paraId="0F63D7D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二  法定代表人身份证明</w:t>
      </w:r>
      <w:r>
        <w:rPr>
          <w:rFonts w:hint="eastAsia" w:cs="宋体"/>
          <w:snapToGrid w:val="0"/>
          <w:color w:val="auto"/>
          <w:kern w:val="0"/>
          <w:sz w:val="22"/>
          <w:szCs w:val="22"/>
          <w:highlight w:val="none"/>
          <w:lang w:val="en-US" w:eastAsia="zh-CN"/>
        </w:rPr>
        <w:t>及</w:t>
      </w:r>
      <w:r>
        <w:rPr>
          <w:rFonts w:hint="eastAsia" w:ascii="宋体" w:hAnsi="宋体" w:eastAsia="宋体" w:cs="宋体"/>
          <w:snapToGrid w:val="0"/>
          <w:color w:val="auto"/>
          <w:kern w:val="0"/>
          <w:sz w:val="22"/>
          <w:szCs w:val="22"/>
          <w:highlight w:val="none"/>
        </w:rPr>
        <w:t>授权委托书</w:t>
      </w:r>
    </w:p>
    <w:p w14:paraId="5900FC3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lang w:val="en-US" w:eastAsia="zh-CN"/>
        </w:rPr>
        <w:t>三</w:t>
      </w:r>
      <w:r>
        <w:rPr>
          <w:rFonts w:hint="eastAsia" w:ascii="宋体" w:hAnsi="宋体" w:eastAsia="宋体" w:cs="宋体"/>
          <w:snapToGrid w:val="0"/>
          <w:color w:val="auto"/>
          <w:kern w:val="0"/>
          <w:sz w:val="22"/>
          <w:szCs w:val="22"/>
          <w:highlight w:val="none"/>
        </w:rPr>
        <w:t xml:space="preserve">  资格审查资料</w:t>
      </w:r>
    </w:p>
    <w:p w14:paraId="406FE2AC">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lang w:val="en-US" w:eastAsia="zh-CN"/>
        </w:rPr>
        <w:t>四</w:t>
      </w:r>
      <w:r>
        <w:rPr>
          <w:rFonts w:hint="eastAsia" w:ascii="宋体" w:hAnsi="宋体" w:eastAsia="宋体" w:cs="宋体"/>
          <w:snapToGrid w:val="0"/>
          <w:color w:val="auto"/>
          <w:kern w:val="0"/>
          <w:sz w:val="22"/>
          <w:szCs w:val="22"/>
          <w:highlight w:val="none"/>
        </w:rPr>
        <w:t xml:space="preserve">  承诺书</w:t>
      </w:r>
    </w:p>
    <w:p w14:paraId="353350C2">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lang w:val="en-US" w:eastAsia="zh-CN"/>
        </w:rPr>
        <w:t>五</w:t>
      </w:r>
      <w:r>
        <w:rPr>
          <w:rFonts w:hint="eastAsia" w:ascii="宋体" w:hAnsi="宋体" w:eastAsia="宋体" w:cs="宋体"/>
          <w:snapToGrid w:val="0"/>
          <w:color w:val="auto"/>
          <w:kern w:val="0"/>
          <w:sz w:val="22"/>
          <w:szCs w:val="22"/>
          <w:highlight w:val="none"/>
        </w:rPr>
        <w:t xml:space="preserve">  工作大纲</w:t>
      </w:r>
    </w:p>
    <w:p w14:paraId="101A1AA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lang w:val="en-US" w:eastAsia="zh-CN"/>
        </w:rPr>
        <w:t>六</w:t>
      </w:r>
      <w:r>
        <w:rPr>
          <w:rFonts w:hint="eastAsia" w:ascii="宋体" w:hAnsi="宋体" w:eastAsia="宋体" w:cs="宋体"/>
          <w:snapToGrid w:val="0"/>
          <w:color w:val="auto"/>
          <w:kern w:val="0"/>
          <w:sz w:val="22"/>
          <w:szCs w:val="22"/>
          <w:highlight w:val="none"/>
        </w:rPr>
        <w:t xml:space="preserve">  其他材料</w:t>
      </w:r>
    </w:p>
    <w:p w14:paraId="698A32F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b/>
          <w:bCs/>
          <w:snapToGrid w:val="0"/>
          <w:color w:val="auto"/>
          <w:kern w:val="0"/>
          <w:sz w:val="22"/>
          <w:szCs w:val="22"/>
          <w:highlight w:val="none"/>
        </w:rPr>
        <w:t>第二个信封（报价文件）</w:t>
      </w:r>
    </w:p>
    <w:p w14:paraId="70B361A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一  投标函</w:t>
      </w:r>
    </w:p>
    <w:p w14:paraId="3206141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二  报价清单</w:t>
      </w:r>
    </w:p>
    <w:p w14:paraId="2B584A4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11.2 投标人应使用招标文件中提供的格式或大纲编写</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并按上述顺序装订</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但表格可以按同样格式扩展。投标文件应标注连续页码；投标文件应编制目录</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并注明页码。</w:t>
      </w:r>
    </w:p>
    <w:p w14:paraId="5AD881A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11.3 在提交投标文件时应同时提交一份其投标文件的文字录入部分的电子文档</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文件用WORD软件制作</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报价用EXCEL软件制作</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文件均不得设置密码</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并将文件拷入</w:t>
      </w:r>
      <w:r>
        <w:rPr>
          <w:rFonts w:hint="eastAsia" w:ascii="宋体" w:hAnsi="宋体" w:eastAsia="宋体" w:cs="宋体"/>
          <w:b/>
          <w:bCs/>
          <w:snapToGrid w:val="0"/>
          <w:color w:val="auto"/>
          <w:kern w:val="0"/>
          <w:sz w:val="22"/>
          <w:szCs w:val="22"/>
          <w:highlight w:val="none"/>
        </w:rPr>
        <w:t>U盘</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投标人应保证其提交的电子文件无病毒。U盘上需标明标段名称和投标人名称。</w:t>
      </w:r>
    </w:p>
    <w:p w14:paraId="3C829F4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11.4 投标文件的正本与副本应分别装订成册</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投标文件不得采用活页夹装订</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否则</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招标人对由于投标文件装订松散而造成的丢失或其他后果不承担任何责任。</w:t>
      </w:r>
    </w:p>
    <w:p w14:paraId="0C08018B">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12  投标价格</w:t>
      </w:r>
    </w:p>
    <w:p w14:paraId="4DCF7EC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
          <w:bCs/>
          <w:snapToGrid w:val="0"/>
          <w:color w:val="auto"/>
          <w:kern w:val="0"/>
          <w:sz w:val="22"/>
          <w:szCs w:val="22"/>
          <w:highlight w:val="none"/>
          <w:u w:val="single"/>
        </w:rPr>
      </w:pPr>
      <w:r>
        <w:rPr>
          <w:rFonts w:hint="eastAsia" w:ascii="宋体" w:hAnsi="宋体" w:eastAsia="宋体" w:cs="宋体"/>
          <w:b/>
          <w:bCs/>
          <w:snapToGrid w:val="0"/>
          <w:color w:val="auto"/>
          <w:kern w:val="0"/>
          <w:sz w:val="22"/>
          <w:szCs w:val="22"/>
          <w:highlight w:val="none"/>
        </w:rPr>
        <w:t xml:space="preserve">12.1 </w:t>
      </w:r>
      <w:bookmarkStart w:id="27" w:name="_Toc298415800"/>
      <w:r>
        <w:rPr>
          <w:rFonts w:hint="eastAsia" w:ascii="宋体" w:hAnsi="宋体" w:eastAsia="宋体" w:cs="宋体"/>
          <w:b/>
          <w:bCs/>
          <w:snapToGrid w:val="0"/>
          <w:color w:val="auto"/>
          <w:kern w:val="0"/>
          <w:sz w:val="22"/>
          <w:szCs w:val="22"/>
          <w:highlight w:val="none"/>
        </w:rPr>
        <w:t>招标人设有最高投标限价</w:t>
      </w:r>
      <w:r>
        <w:rPr>
          <w:rFonts w:hint="eastAsia" w:cs="宋体"/>
          <w:b/>
          <w:bCs/>
          <w:snapToGrid w:val="0"/>
          <w:color w:val="auto"/>
          <w:kern w:val="0"/>
          <w:sz w:val="22"/>
          <w:szCs w:val="22"/>
          <w:highlight w:val="none"/>
          <w:lang w:eastAsia="zh-CN"/>
        </w:rPr>
        <w:t>，</w:t>
      </w:r>
      <w:r>
        <w:rPr>
          <w:rFonts w:hint="eastAsia" w:ascii="宋体" w:hAnsi="宋体" w:eastAsia="宋体" w:cs="宋体"/>
          <w:b/>
          <w:bCs/>
          <w:snapToGrid w:val="0"/>
          <w:color w:val="auto"/>
          <w:kern w:val="0"/>
          <w:sz w:val="22"/>
          <w:szCs w:val="22"/>
          <w:highlight w:val="none"/>
        </w:rPr>
        <w:t>招标人设定的最高投标限价为</w:t>
      </w:r>
      <w:r>
        <w:rPr>
          <w:rFonts w:hint="eastAsia" w:ascii="宋体" w:hAnsi="宋体" w:eastAsia="宋体" w:cs="宋体"/>
          <w:b/>
          <w:bCs/>
          <w:snapToGrid w:val="0"/>
          <w:color w:val="auto"/>
          <w:kern w:val="0"/>
          <w:sz w:val="22"/>
          <w:szCs w:val="22"/>
          <w:highlight w:val="none"/>
          <w:u w:val="single"/>
        </w:rPr>
        <w:t>人民币</w:t>
      </w:r>
      <w:r>
        <w:rPr>
          <w:rFonts w:hint="eastAsia" w:cs="宋体"/>
          <w:b/>
          <w:bCs/>
          <w:snapToGrid w:val="0"/>
          <w:color w:val="auto"/>
          <w:kern w:val="0"/>
          <w:sz w:val="22"/>
          <w:szCs w:val="22"/>
          <w:highlight w:val="none"/>
          <w:u w:val="single"/>
          <w:lang w:val="en-US" w:eastAsia="zh-CN"/>
        </w:rPr>
        <w:t>壹拾捌万伍仟</w:t>
      </w:r>
      <w:r>
        <w:rPr>
          <w:rFonts w:hint="eastAsia" w:ascii="宋体" w:hAnsi="宋体" w:eastAsia="宋体" w:cs="宋体"/>
          <w:b/>
          <w:bCs/>
          <w:snapToGrid w:val="0"/>
          <w:color w:val="auto"/>
          <w:kern w:val="0"/>
          <w:sz w:val="22"/>
          <w:szCs w:val="22"/>
          <w:highlight w:val="none"/>
          <w:u w:val="single"/>
        </w:rPr>
        <w:t>整（¥</w:t>
      </w:r>
      <w:r>
        <w:rPr>
          <w:rFonts w:hint="eastAsia" w:cs="宋体"/>
          <w:b/>
          <w:bCs/>
          <w:snapToGrid w:val="0"/>
          <w:color w:val="auto"/>
          <w:kern w:val="0"/>
          <w:sz w:val="22"/>
          <w:szCs w:val="22"/>
          <w:highlight w:val="none"/>
          <w:u w:val="single"/>
          <w:lang w:val="en-US" w:eastAsia="zh-CN"/>
        </w:rPr>
        <w:t>185000</w:t>
      </w:r>
      <w:r>
        <w:rPr>
          <w:rFonts w:hint="eastAsia" w:ascii="宋体" w:hAnsi="宋体" w:eastAsia="宋体" w:cs="宋体"/>
          <w:b/>
          <w:bCs/>
          <w:snapToGrid w:val="0"/>
          <w:color w:val="auto"/>
          <w:kern w:val="0"/>
          <w:sz w:val="22"/>
          <w:szCs w:val="22"/>
          <w:highlight w:val="none"/>
          <w:u w:val="single"/>
        </w:rPr>
        <w:t>元）。</w:t>
      </w:r>
    </w:p>
    <w:p w14:paraId="723E86A1">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
          <w:bCs/>
          <w:snapToGrid w:val="0"/>
          <w:color w:val="auto"/>
          <w:kern w:val="0"/>
          <w:sz w:val="22"/>
          <w:szCs w:val="22"/>
          <w:highlight w:val="none"/>
        </w:rPr>
      </w:pPr>
      <w:r>
        <w:rPr>
          <w:rFonts w:hint="eastAsia" w:ascii="宋体" w:hAnsi="宋体" w:eastAsia="宋体" w:cs="宋体"/>
          <w:b/>
          <w:bCs/>
          <w:snapToGrid w:val="0"/>
          <w:color w:val="auto"/>
          <w:kern w:val="0"/>
          <w:sz w:val="22"/>
          <w:szCs w:val="22"/>
          <w:highlight w:val="none"/>
        </w:rPr>
        <w:t>开标时投标人投标报价超出招标人设定的最高投标限价的</w:t>
      </w:r>
      <w:r>
        <w:rPr>
          <w:rFonts w:hint="eastAsia" w:cs="宋体"/>
          <w:b/>
          <w:bCs/>
          <w:snapToGrid w:val="0"/>
          <w:color w:val="auto"/>
          <w:kern w:val="0"/>
          <w:sz w:val="22"/>
          <w:szCs w:val="22"/>
          <w:highlight w:val="none"/>
          <w:lang w:eastAsia="zh-CN"/>
        </w:rPr>
        <w:t>，</w:t>
      </w:r>
      <w:r>
        <w:rPr>
          <w:rFonts w:hint="eastAsia" w:ascii="宋体" w:hAnsi="宋体" w:eastAsia="宋体" w:cs="宋体"/>
          <w:b/>
          <w:bCs/>
          <w:snapToGrid w:val="0"/>
          <w:color w:val="auto"/>
          <w:kern w:val="0"/>
          <w:sz w:val="22"/>
          <w:szCs w:val="22"/>
          <w:highlight w:val="none"/>
        </w:rPr>
        <w:t>招标人不予接受</w:t>
      </w:r>
      <w:r>
        <w:rPr>
          <w:rFonts w:hint="eastAsia" w:cs="宋体"/>
          <w:b/>
          <w:bCs/>
          <w:snapToGrid w:val="0"/>
          <w:color w:val="auto"/>
          <w:kern w:val="0"/>
          <w:sz w:val="22"/>
          <w:szCs w:val="22"/>
          <w:highlight w:val="none"/>
          <w:lang w:eastAsia="zh-CN"/>
        </w:rPr>
        <w:t>，</w:t>
      </w:r>
      <w:r>
        <w:rPr>
          <w:rFonts w:hint="eastAsia" w:ascii="宋体" w:hAnsi="宋体" w:eastAsia="宋体" w:cs="宋体"/>
          <w:b/>
          <w:bCs/>
          <w:snapToGrid w:val="0"/>
          <w:color w:val="auto"/>
          <w:kern w:val="0"/>
          <w:sz w:val="22"/>
          <w:szCs w:val="22"/>
          <w:highlight w:val="none"/>
        </w:rPr>
        <w:t>作否决投标处理。</w:t>
      </w:r>
    </w:p>
    <w:p w14:paraId="2AC0A48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
          <w:bCs/>
          <w:snapToGrid w:val="0"/>
          <w:color w:val="auto"/>
          <w:kern w:val="0"/>
          <w:sz w:val="22"/>
          <w:szCs w:val="22"/>
          <w:highlight w:val="none"/>
        </w:rPr>
      </w:pPr>
      <w:r>
        <w:rPr>
          <w:rFonts w:hint="eastAsia" w:ascii="宋体" w:hAnsi="宋体" w:eastAsia="宋体" w:cs="宋体"/>
          <w:b/>
          <w:bCs/>
          <w:snapToGrid w:val="0"/>
          <w:color w:val="auto"/>
          <w:kern w:val="0"/>
          <w:sz w:val="22"/>
          <w:szCs w:val="22"/>
          <w:highlight w:val="none"/>
        </w:rPr>
        <w:t>12.2 投标人的投标报价：</w:t>
      </w:r>
    </w:p>
    <w:bookmarkEnd w:id="27"/>
    <w:p w14:paraId="3BF713B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
          <w:bCs w:val="0"/>
          <w:snapToGrid w:val="0"/>
          <w:color w:val="auto"/>
          <w:kern w:val="0"/>
          <w:sz w:val="22"/>
          <w:szCs w:val="22"/>
          <w:highlight w:val="none"/>
        </w:rPr>
        <w:t>（1）本项目为总价合同</w:t>
      </w:r>
      <w:r>
        <w:rPr>
          <w:rFonts w:hint="eastAsia" w:cs="宋体"/>
          <w:b/>
          <w:bCs w:val="0"/>
          <w:snapToGrid w:val="0"/>
          <w:color w:val="auto"/>
          <w:kern w:val="0"/>
          <w:sz w:val="22"/>
          <w:szCs w:val="22"/>
          <w:highlight w:val="none"/>
          <w:lang w:eastAsia="zh-CN"/>
        </w:rPr>
        <w:t>，投标人的投标报价为高质量完成本项目所需全部费用，包括但不限于竞赛策划与组织服务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、培训</w:t>
      </w:r>
      <w:r>
        <w:rPr>
          <w:rFonts w:hint="eastAsia" w:cs="宋体"/>
          <w:b/>
          <w:bCs w:val="0"/>
          <w:snapToGrid w:val="0"/>
          <w:color w:val="auto"/>
          <w:kern w:val="0"/>
          <w:sz w:val="22"/>
          <w:szCs w:val="22"/>
          <w:highlight w:val="none"/>
          <w:lang w:val="en-US" w:eastAsia="zh-CN"/>
        </w:rPr>
        <w:t>及组织考核费</w:t>
      </w:r>
      <w:r>
        <w:rPr>
          <w:rFonts w:hint="eastAsia" w:cs="宋体"/>
          <w:b/>
          <w:bCs w:val="0"/>
          <w:snapToGrid w:val="0"/>
          <w:color w:val="auto"/>
          <w:kern w:val="0"/>
          <w:sz w:val="22"/>
          <w:szCs w:val="22"/>
          <w:highlight w:val="none"/>
          <w:lang w:eastAsia="zh-CN"/>
        </w:rPr>
        <w:t>、竞赛设备与物资供应</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、竞赛评委与专家服务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、后勤保障服务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后续服务等全部工作所需的人员费用、交通工具及使用费、设备及相关费用、评审会务费以及公司取费、法定税金、利润等与履行合同有关的一切费用以及合同明示或暗示的所有一般风险责任和义务费用。投标人应用人民币报价</w:t>
      </w:r>
      <w:r>
        <w:rPr>
          <w:rFonts w:hint="eastAsia" w:ascii="宋体" w:hAnsi="宋体" w:eastAsia="宋体" w:cs="宋体"/>
          <w:b/>
          <w:bCs w:val="0"/>
          <w:snapToGrid w:val="0"/>
          <w:color w:val="auto"/>
          <w:kern w:val="0"/>
          <w:sz w:val="22"/>
          <w:szCs w:val="22"/>
          <w:highlight w:val="none"/>
          <w:lang w:eastAsia="zh-CN"/>
        </w:rPr>
        <w:t>。</w:t>
      </w:r>
    </w:p>
    <w:p w14:paraId="74B87051">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lang w:val="en-US" w:eastAsia="zh-CN"/>
        </w:rPr>
        <w:t>2</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在合同实施期间</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本项目合同费用不随估算投资额的变化而调整</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不随国家政策或法规、标准及市场因素的变化而调整。除非在合同条款中另有规定</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lang w:eastAsia="zh-CN"/>
        </w:rPr>
        <w:t>投标人</w:t>
      </w:r>
      <w:r>
        <w:rPr>
          <w:rFonts w:hint="eastAsia" w:ascii="宋体" w:hAnsi="宋体" w:eastAsia="宋体" w:cs="宋体"/>
          <w:bCs/>
          <w:snapToGrid w:val="0"/>
          <w:color w:val="auto"/>
          <w:kern w:val="0"/>
          <w:sz w:val="22"/>
          <w:szCs w:val="22"/>
          <w:highlight w:val="none"/>
        </w:rPr>
        <w:t>所报的价格在合同实施期间不予调整。</w:t>
      </w:r>
    </w:p>
    <w:p w14:paraId="3AA39CDE">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lang w:val="en-US" w:eastAsia="zh-CN"/>
        </w:rPr>
        <w:t>3</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本项目发包人不提供任何设施与物品</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受托人的现场生活、办公用房</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办公、生活设施以及交通、水电、通讯等问题由</w:t>
      </w:r>
      <w:r>
        <w:rPr>
          <w:rFonts w:hint="eastAsia" w:ascii="宋体" w:hAnsi="宋体" w:eastAsia="宋体" w:cs="宋体"/>
          <w:bCs/>
          <w:snapToGrid w:val="0"/>
          <w:color w:val="auto"/>
          <w:kern w:val="0"/>
          <w:sz w:val="22"/>
          <w:szCs w:val="22"/>
          <w:highlight w:val="none"/>
          <w:lang w:eastAsia="zh-CN"/>
        </w:rPr>
        <w:t>投标人</w:t>
      </w:r>
      <w:r>
        <w:rPr>
          <w:rFonts w:hint="eastAsia" w:ascii="宋体" w:hAnsi="宋体" w:eastAsia="宋体" w:cs="宋体"/>
          <w:bCs/>
          <w:snapToGrid w:val="0"/>
          <w:color w:val="auto"/>
          <w:kern w:val="0"/>
          <w:sz w:val="22"/>
          <w:szCs w:val="22"/>
          <w:highlight w:val="none"/>
        </w:rPr>
        <w:t>在报价时自行考虑</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不单独列项。</w:t>
      </w:r>
    </w:p>
    <w:p w14:paraId="3D02105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lang w:val="en-US" w:eastAsia="zh-CN"/>
        </w:rPr>
        <w:t>4</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受托人的雇员及装备的保险由受托人自行投保</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包含在报价中</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不单独计量与支付。</w:t>
      </w:r>
    </w:p>
    <w:p w14:paraId="05A8DA4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rPr>
        <w:t>（5）投标人应充分考虑</w:t>
      </w:r>
      <w:r>
        <w:rPr>
          <w:rFonts w:hint="eastAsia" w:cs="宋体"/>
          <w:bCs/>
          <w:snapToGrid w:val="0"/>
          <w:color w:val="auto"/>
          <w:kern w:val="0"/>
          <w:sz w:val="22"/>
          <w:szCs w:val="22"/>
          <w:highlight w:val="none"/>
          <w:lang w:val="en-US" w:eastAsia="zh-CN"/>
        </w:rPr>
        <w:t>本项目</w:t>
      </w:r>
      <w:r>
        <w:rPr>
          <w:rFonts w:hint="eastAsia" w:ascii="宋体" w:hAnsi="宋体" w:eastAsia="宋体" w:cs="宋体"/>
          <w:bCs/>
          <w:snapToGrid w:val="0"/>
          <w:color w:val="auto"/>
          <w:kern w:val="0"/>
          <w:sz w:val="22"/>
          <w:szCs w:val="22"/>
          <w:highlight w:val="none"/>
        </w:rPr>
        <w:t>工作量</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人员及设备必须满足承担的内容及要求。发包人要求增加人员和设备投入</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以保证项目要求</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承包人不得拒绝。由此增加的费用包含在投标报价中</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费用不因此而调整。</w:t>
      </w:r>
    </w:p>
    <w:p w14:paraId="216E1A7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rPr>
        <w:t>（6）服务单位在投标时应主动查阅本项目的有关设计文件、技术资料等。作为一个有经验的服务单位</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应充分考虑到业主提供的清单以及相关资料和数据与合同实施过程中可能存有的偏差。服务单位应综合考虑到报价中</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业主对服务单位的合同总价不因此而进行调整。</w:t>
      </w:r>
    </w:p>
    <w:p w14:paraId="335E586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cs="宋体"/>
          <w:bCs/>
          <w:snapToGrid w:val="0"/>
          <w:color w:val="auto"/>
          <w:kern w:val="0"/>
          <w:sz w:val="22"/>
          <w:szCs w:val="22"/>
          <w:highlight w:val="none"/>
          <w:lang w:val="en-US" w:eastAsia="zh-CN"/>
        </w:rPr>
        <w:t>7</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受托人应为投入的工作人员进行必要的安全教育</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配备必要的安全装备</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并为相关现场服务人员投保并承担费用</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相关费用在报价中充分考虑。</w:t>
      </w:r>
    </w:p>
    <w:p w14:paraId="33E731A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cs="宋体"/>
          <w:bCs/>
          <w:snapToGrid w:val="0"/>
          <w:color w:val="auto"/>
          <w:kern w:val="0"/>
          <w:sz w:val="22"/>
          <w:szCs w:val="22"/>
          <w:highlight w:val="none"/>
          <w:lang w:val="en-US" w:eastAsia="zh-CN"/>
        </w:rPr>
        <w:t>8</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受托人应按相关规定取得相关部门的批复文件</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因此发生的一切费用应含在报价中。</w:t>
      </w:r>
    </w:p>
    <w:p w14:paraId="0693FE9C">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cs="宋体"/>
          <w:bCs/>
          <w:snapToGrid w:val="0"/>
          <w:color w:val="auto"/>
          <w:kern w:val="0"/>
          <w:sz w:val="22"/>
          <w:szCs w:val="22"/>
          <w:highlight w:val="none"/>
          <w:lang w:val="en-US" w:eastAsia="zh-CN"/>
        </w:rPr>
        <w:t>9</w:t>
      </w:r>
      <w:r>
        <w:rPr>
          <w:rFonts w:hint="eastAsia" w:ascii="宋体" w:hAnsi="宋体" w:eastAsia="宋体" w:cs="宋体"/>
          <w:bCs/>
          <w:snapToGrid w:val="0"/>
          <w:color w:val="auto"/>
          <w:kern w:val="0"/>
          <w:sz w:val="22"/>
          <w:szCs w:val="22"/>
          <w:highlight w:val="none"/>
          <w:lang w:eastAsia="zh-CN"/>
        </w:rPr>
        <w:t>）投标人</w:t>
      </w:r>
      <w:r>
        <w:rPr>
          <w:rFonts w:hint="eastAsia" w:ascii="宋体" w:hAnsi="宋体" w:eastAsia="宋体" w:cs="宋体"/>
          <w:bCs/>
          <w:snapToGrid w:val="0"/>
          <w:color w:val="auto"/>
          <w:kern w:val="0"/>
          <w:sz w:val="22"/>
          <w:szCs w:val="22"/>
          <w:highlight w:val="none"/>
        </w:rPr>
        <w:t>在编制报价时需充分考虑市场风险和国家政策性调整风险等一切因素</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并计入报价中。</w:t>
      </w:r>
    </w:p>
    <w:p w14:paraId="36B4239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cs="宋体"/>
          <w:bCs/>
          <w:snapToGrid w:val="0"/>
          <w:color w:val="auto"/>
          <w:kern w:val="0"/>
          <w:sz w:val="22"/>
          <w:szCs w:val="22"/>
          <w:highlight w:val="none"/>
          <w:lang w:val="en-US" w:eastAsia="zh-CN"/>
        </w:rPr>
        <w:t>10</w:t>
      </w:r>
      <w:r>
        <w:rPr>
          <w:rFonts w:hint="eastAsia" w:ascii="宋体" w:hAnsi="宋体" w:eastAsia="宋体" w:cs="宋体"/>
          <w:bCs/>
          <w:snapToGrid w:val="0"/>
          <w:color w:val="auto"/>
          <w:kern w:val="0"/>
          <w:sz w:val="22"/>
          <w:szCs w:val="22"/>
          <w:highlight w:val="none"/>
          <w:lang w:eastAsia="zh-CN"/>
        </w:rPr>
        <w:t>）投标人</w:t>
      </w:r>
      <w:r>
        <w:rPr>
          <w:rFonts w:hint="eastAsia" w:ascii="宋体" w:hAnsi="宋体" w:eastAsia="宋体" w:cs="宋体"/>
          <w:bCs/>
          <w:snapToGrid w:val="0"/>
          <w:color w:val="auto"/>
          <w:kern w:val="0"/>
          <w:sz w:val="22"/>
          <w:szCs w:val="22"/>
          <w:highlight w:val="none"/>
        </w:rPr>
        <w:t>若发现</w:t>
      </w:r>
      <w:r>
        <w:rPr>
          <w:rFonts w:hint="eastAsia" w:ascii="宋体" w:hAnsi="宋体" w:eastAsia="宋体" w:cs="宋体"/>
          <w:bCs/>
          <w:snapToGrid w:val="0"/>
          <w:color w:val="auto"/>
          <w:kern w:val="0"/>
          <w:sz w:val="22"/>
          <w:szCs w:val="22"/>
          <w:highlight w:val="none"/>
          <w:lang w:eastAsia="zh-CN"/>
        </w:rPr>
        <w:t>招标人</w:t>
      </w:r>
      <w:r>
        <w:rPr>
          <w:rFonts w:hint="eastAsia" w:ascii="宋体" w:hAnsi="宋体" w:eastAsia="宋体" w:cs="宋体"/>
          <w:bCs/>
          <w:snapToGrid w:val="0"/>
          <w:color w:val="auto"/>
          <w:kern w:val="0"/>
          <w:sz w:val="22"/>
          <w:szCs w:val="22"/>
          <w:highlight w:val="none"/>
        </w:rPr>
        <w:t>提供的服务费用报价清单存在问题</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可书面向</w:t>
      </w:r>
      <w:r>
        <w:rPr>
          <w:rFonts w:hint="eastAsia" w:ascii="宋体" w:hAnsi="宋体" w:eastAsia="宋体" w:cs="宋体"/>
          <w:bCs/>
          <w:snapToGrid w:val="0"/>
          <w:color w:val="auto"/>
          <w:kern w:val="0"/>
          <w:sz w:val="22"/>
          <w:szCs w:val="22"/>
          <w:highlight w:val="none"/>
          <w:lang w:eastAsia="zh-CN"/>
        </w:rPr>
        <w:t>招标人</w:t>
      </w:r>
      <w:r>
        <w:rPr>
          <w:rFonts w:hint="eastAsia" w:ascii="宋体" w:hAnsi="宋体" w:eastAsia="宋体" w:cs="宋体"/>
          <w:bCs/>
          <w:snapToGrid w:val="0"/>
          <w:color w:val="auto"/>
          <w:kern w:val="0"/>
          <w:sz w:val="22"/>
          <w:szCs w:val="22"/>
          <w:highlight w:val="none"/>
        </w:rPr>
        <w:t>提出。但未经</w:t>
      </w:r>
      <w:r>
        <w:rPr>
          <w:rFonts w:hint="eastAsia" w:ascii="宋体" w:hAnsi="宋体" w:eastAsia="宋体" w:cs="宋体"/>
          <w:bCs/>
          <w:snapToGrid w:val="0"/>
          <w:color w:val="auto"/>
          <w:kern w:val="0"/>
          <w:sz w:val="22"/>
          <w:szCs w:val="22"/>
          <w:highlight w:val="none"/>
          <w:lang w:eastAsia="zh-CN"/>
        </w:rPr>
        <w:t>招标人</w:t>
      </w:r>
      <w:r>
        <w:rPr>
          <w:rFonts w:hint="eastAsia" w:ascii="宋体" w:hAnsi="宋体" w:eastAsia="宋体" w:cs="宋体"/>
          <w:bCs/>
          <w:snapToGrid w:val="0"/>
          <w:color w:val="auto"/>
          <w:kern w:val="0"/>
          <w:sz w:val="22"/>
          <w:szCs w:val="22"/>
          <w:highlight w:val="none"/>
        </w:rPr>
        <w:t>书面认可或修改</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lang w:eastAsia="zh-CN"/>
        </w:rPr>
        <w:t>投标人</w:t>
      </w:r>
      <w:r>
        <w:rPr>
          <w:rFonts w:hint="eastAsia" w:ascii="宋体" w:hAnsi="宋体" w:eastAsia="宋体" w:cs="宋体"/>
          <w:bCs/>
          <w:snapToGrid w:val="0"/>
          <w:color w:val="auto"/>
          <w:kern w:val="0"/>
          <w:sz w:val="22"/>
          <w:szCs w:val="22"/>
          <w:highlight w:val="none"/>
        </w:rPr>
        <w:t>不得擅自修改。</w:t>
      </w:r>
    </w:p>
    <w:p w14:paraId="647A435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lang w:eastAsia="zh-CN"/>
        </w:rPr>
        <w:t>（</w:t>
      </w:r>
      <w:r>
        <w:rPr>
          <w:rFonts w:hint="eastAsia" w:cs="宋体"/>
          <w:bCs/>
          <w:snapToGrid w:val="0"/>
          <w:color w:val="auto"/>
          <w:kern w:val="0"/>
          <w:sz w:val="22"/>
          <w:szCs w:val="22"/>
          <w:highlight w:val="none"/>
          <w:lang w:val="en-US" w:eastAsia="zh-CN"/>
        </w:rPr>
        <w:t>11</w:t>
      </w:r>
      <w:r>
        <w:rPr>
          <w:rFonts w:hint="eastAsia" w:ascii="宋体" w:hAnsi="宋体" w:eastAsia="宋体"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本项目暂列金</w:t>
      </w:r>
      <w:r>
        <w:rPr>
          <w:rFonts w:hint="eastAsia" w:cs="宋体"/>
          <w:bCs/>
          <w:snapToGrid w:val="0"/>
          <w:color w:val="auto"/>
          <w:kern w:val="0"/>
          <w:sz w:val="22"/>
          <w:szCs w:val="22"/>
          <w:highlight w:val="none"/>
          <w:lang w:val="en-US" w:eastAsia="zh-CN"/>
        </w:rPr>
        <w:t>为15000元</w:t>
      </w:r>
      <w:r>
        <w:rPr>
          <w:rFonts w:hint="eastAsia" w:ascii="宋体" w:hAnsi="宋体" w:eastAsia="宋体" w:cs="宋体"/>
          <w:bCs/>
          <w:snapToGrid w:val="0"/>
          <w:color w:val="auto"/>
          <w:kern w:val="0"/>
          <w:sz w:val="22"/>
          <w:szCs w:val="22"/>
          <w:highlight w:val="none"/>
        </w:rPr>
        <w:t>。</w:t>
      </w:r>
    </w:p>
    <w:p w14:paraId="5EC876B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Cs/>
          <w:snapToGrid w:val="0"/>
          <w:color w:val="auto"/>
          <w:kern w:val="0"/>
          <w:sz w:val="22"/>
          <w:szCs w:val="22"/>
          <w:highlight w:val="none"/>
        </w:rPr>
      </w:pPr>
      <w:r>
        <w:rPr>
          <w:rFonts w:hint="eastAsia" w:ascii="宋体" w:hAnsi="宋体" w:eastAsia="宋体" w:cs="宋体"/>
          <w:bCs/>
          <w:snapToGrid w:val="0"/>
          <w:color w:val="auto"/>
          <w:kern w:val="0"/>
          <w:sz w:val="22"/>
          <w:szCs w:val="22"/>
          <w:highlight w:val="none"/>
        </w:rPr>
        <w:t>（</w:t>
      </w:r>
      <w:r>
        <w:rPr>
          <w:rFonts w:hint="eastAsia" w:ascii="宋体" w:hAnsi="宋体" w:eastAsia="宋体" w:cs="宋体"/>
          <w:bCs/>
          <w:snapToGrid w:val="0"/>
          <w:color w:val="auto"/>
          <w:kern w:val="0"/>
          <w:sz w:val="22"/>
          <w:szCs w:val="22"/>
          <w:highlight w:val="none"/>
          <w:lang w:val="en-US" w:eastAsia="zh-CN"/>
        </w:rPr>
        <w:t>1</w:t>
      </w:r>
      <w:r>
        <w:rPr>
          <w:rFonts w:hint="eastAsia" w:cs="宋体"/>
          <w:bCs/>
          <w:snapToGrid w:val="0"/>
          <w:color w:val="auto"/>
          <w:kern w:val="0"/>
          <w:sz w:val="22"/>
          <w:szCs w:val="22"/>
          <w:highlight w:val="none"/>
          <w:lang w:val="en-US" w:eastAsia="zh-CN"/>
        </w:rPr>
        <w:t>2</w:t>
      </w:r>
      <w:r>
        <w:rPr>
          <w:rFonts w:hint="eastAsia" w:ascii="宋体" w:hAnsi="宋体" w:eastAsia="宋体" w:cs="宋体"/>
          <w:bCs/>
          <w:snapToGrid w:val="0"/>
          <w:color w:val="auto"/>
          <w:kern w:val="0"/>
          <w:sz w:val="22"/>
          <w:szCs w:val="22"/>
          <w:highlight w:val="none"/>
        </w:rPr>
        <w:t>）招标代理服务费用﹝本项目招标代理服务包含全过程招标代理（含会务费用）、工程量清单及招标控制价编制﹞由中标人承担</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不单独列支计入投标人投标报价中。中标人须按中标金额</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分别参照国家发改委发改价格【2011】534号文（服务招标类</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按标准费率8.8折计取）和江苏省物价局、江苏省住房和城乡建设厅苏价服【2014】383号中附件：序号8收费项目（按标准费率8.8折计取）的规定</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中标人在收到中标通知书后7日内</w:t>
      </w:r>
      <w:r>
        <w:rPr>
          <w:rFonts w:hint="eastAsia" w:cs="宋体"/>
          <w:bCs/>
          <w:snapToGrid w:val="0"/>
          <w:color w:val="auto"/>
          <w:kern w:val="0"/>
          <w:sz w:val="22"/>
          <w:szCs w:val="22"/>
          <w:highlight w:val="none"/>
          <w:lang w:eastAsia="zh-CN"/>
        </w:rPr>
        <w:t>，</w:t>
      </w:r>
      <w:r>
        <w:rPr>
          <w:rFonts w:hint="eastAsia" w:ascii="宋体" w:hAnsi="宋体" w:eastAsia="宋体" w:cs="宋体"/>
          <w:bCs/>
          <w:snapToGrid w:val="0"/>
          <w:color w:val="auto"/>
          <w:kern w:val="0"/>
          <w:sz w:val="22"/>
          <w:szCs w:val="22"/>
          <w:highlight w:val="none"/>
        </w:rPr>
        <w:t>向招标代理机构一次性支付上述全部服务费用。</w:t>
      </w:r>
    </w:p>
    <w:p w14:paraId="24AF40B6">
      <w:pPr>
        <w:pStyle w:val="94"/>
        <w:keepNext w:val="0"/>
        <w:keepLines w:val="0"/>
        <w:pageBreakBefore w:val="0"/>
        <w:widowControl w:val="0"/>
        <w:tabs>
          <w:tab w:val="left" w:pos="540"/>
        </w:tabs>
        <w:kinsoku/>
        <w:wordWrap/>
        <w:overflowPunct/>
        <w:topLinePunct/>
        <w:autoSpaceDE/>
        <w:autoSpaceDN/>
        <w:bidi w:val="0"/>
        <w:adjustRightInd/>
        <w:snapToGrid/>
        <w:spacing w:line="360" w:lineRule="auto"/>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13  投标有效期</w:t>
      </w:r>
    </w:p>
    <w:p w14:paraId="2D2E7B9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13.1 自规定的投标截止日算起</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投标文件有效期为90日历天。</w:t>
      </w:r>
    </w:p>
    <w:p w14:paraId="1953451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13.2 在原定投标文件有效期满之前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如果出现特殊情况</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招标人可向投标人提出延长有效期的要求</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这种要求应以邮件等书面形式进行。投标人应在收到此要求的24小时内以邮件等书面形式对此要求向招标人作出答复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在此时限内不予答复的视为同意招标人的要求。投标人可以拒绝招标人的要求</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但其投标文件将不予评审。</w:t>
      </w:r>
    </w:p>
    <w:p w14:paraId="7D4EDFEC">
      <w:pPr>
        <w:pStyle w:val="94"/>
        <w:keepNext w:val="0"/>
        <w:keepLines w:val="0"/>
        <w:pageBreakBefore w:val="0"/>
        <w:widowControl w:val="0"/>
        <w:tabs>
          <w:tab w:val="left" w:pos="540"/>
        </w:tabs>
        <w:kinsoku/>
        <w:wordWrap/>
        <w:overflowPunct/>
        <w:topLinePunct/>
        <w:autoSpaceDE/>
        <w:autoSpaceDN/>
        <w:bidi w:val="0"/>
        <w:adjustRightInd/>
        <w:snapToGrid/>
        <w:spacing w:line="360" w:lineRule="auto"/>
        <w:rPr>
          <w:rFonts w:hint="eastAsia" w:ascii="宋体" w:hAnsi="宋体" w:eastAsia="宋体" w:cs="宋体"/>
          <w:b/>
          <w:bCs w:val="0"/>
          <w:snapToGrid w:val="0"/>
          <w:color w:val="auto"/>
          <w:sz w:val="22"/>
          <w:szCs w:val="22"/>
          <w:highlight w:val="none"/>
          <w:u w:val="single"/>
        </w:rPr>
      </w:pPr>
      <w:bookmarkStart w:id="28" w:name="_Toc139877837"/>
      <w:bookmarkStart w:id="29" w:name="_Toc139075255"/>
      <w:bookmarkStart w:id="30" w:name="_Toc139074757"/>
      <w:bookmarkStart w:id="31" w:name="_Toc138820288"/>
      <w:bookmarkStart w:id="32" w:name="_Toc135192149"/>
      <w:bookmarkStart w:id="33" w:name="_Toc138559784"/>
      <w:bookmarkStart w:id="34" w:name="_Toc137468119"/>
      <w:bookmarkStart w:id="35" w:name="_Toc139183004"/>
      <w:bookmarkStart w:id="36" w:name="_Toc139855939"/>
      <w:bookmarkStart w:id="37" w:name="_Toc139185699"/>
      <w:bookmarkStart w:id="38" w:name="_Toc138045917"/>
      <w:r>
        <w:rPr>
          <w:rFonts w:hint="eastAsia" w:ascii="宋体" w:hAnsi="宋体" w:eastAsia="宋体" w:cs="宋体"/>
          <w:b/>
          <w:bCs w:val="0"/>
          <w:snapToGrid w:val="0"/>
          <w:color w:val="auto"/>
          <w:kern w:val="0"/>
          <w:sz w:val="22"/>
          <w:szCs w:val="22"/>
          <w:highlight w:val="none"/>
        </w:rPr>
        <w:t xml:space="preserve">14  </w:t>
      </w:r>
      <w:r>
        <w:rPr>
          <w:rFonts w:hint="eastAsia" w:ascii="宋体" w:hAnsi="宋体" w:eastAsia="宋体" w:cs="宋体"/>
          <w:b/>
          <w:bCs w:val="0"/>
          <w:snapToGrid w:val="0"/>
          <w:color w:val="auto"/>
          <w:sz w:val="22"/>
          <w:szCs w:val="22"/>
          <w:highlight w:val="none"/>
        </w:rPr>
        <w:t>投标</w:t>
      </w:r>
      <w:bookmarkEnd w:id="28"/>
      <w:bookmarkEnd w:id="29"/>
      <w:bookmarkEnd w:id="30"/>
      <w:bookmarkEnd w:id="31"/>
      <w:bookmarkEnd w:id="32"/>
      <w:bookmarkEnd w:id="33"/>
      <w:bookmarkEnd w:id="34"/>
      <w:bookmarkEnd w:id="35"/>
      <w:bookmarkEnd w:id="36"/>
      <w:bookmarkEnd w:id="37"/>
      <w:bookmarkEnd w:id="38"/>
      <w:r>
        <w:rPr>
          <w:rFonts w:hint="eastAsia" w:ascii="宋体" w:hAnsi="宋体" w:eastAsia="宋体" w:cs="宋体"/>
          <w:b/>
          <w:bCs w:val="0"/>
          <w:snapToGrid w:val="0"/>
          <w:color w:val="auto"/>
          <w:sz w:val="22"/>
          <w:szCs w:val="22"/>
          <w:highlight w:val="none"/>
        </w:rPr>
        <w:t>保证金：</w:t>
      </w:r>
      <w:r>
        <w:rPr>
          <w:rFonts w:hint="eastAsia" w:ascii="宋体" w:hAnsi="宋体" w:eastAsia="宋体" w:cs="宋体"/>
          <w:b/>
          <w:bCs w:val="0"/>
          <w:snapToGrid w:val="0"/>
          <w:color w:val="auto"/>
          <w:sz w:val="22"/>
          <w:szCs w:val="22"/>
          <w:highlight w:val="none"/>
          <w:u w:val="single"/>
        </w:rPr>
        <w:t>不收取。</w:t>
      </w:r>
    </w:p>
    <w:p w14:paraId="51BB65C1">
      <w:pPr>
        <w:keepNext w:val="0"/>
        <w:keepLines w:val="0"/>
        <w:pageBreakBefore w:val="0"/>
        <w:widowControl w:val="0"/>
        <w:kinsoku/>
        <w:wordWrap/>
        <w:overflowPunct/>
        <w:topLinePunct/>
        <w:autoSpaceDE/>
        <w:autoSpaceDN/>
        <w:bidi w:val="0"/>
        <w:adjustRightInd/>
        <w:snapToGrid/>
        <w:spacing w:line="360" w:lineRule="auto"/>
        <w:ind w:left="0"/>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15  投标文件的格式和签署</w:t>
      </w:r>
    </w:p>
    <w:p w14:paraId="3B81CF8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39" w:name="_Toc44814583"/>
      <w:r>
        <w:rPr>
          <w:rFonts w:hint="eastAsia" w:ascii="宋体" w:hAnsi="宋体" w:eastAsia="宋体" w:cs="宋体"/>
          <w:snapToGrid w:val="0"/>
          <w:color w:val="auto"/>
          <w:kern w:val="0"/>
          <w:sz w:val="22"/>
          <w:szCs w:val="22"/>
          <w:highlight w:val="none"/>
        </w:rPr>
        <w:t>15.1 投标人应按本须知的规定</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向招标人递交投标文件</w:t>
      </w:r>
      <w:r>
        <w:rPr>
          <w:rFonts w:hint="eastAsia" w:ascii="宋体" w:hAnsi="宋体" w:eastAsia="宋体" w:cs="宋体"/>
          <w:b/>
          <w:bCs/>
          <w:snapToGrid w:val="0"/>
          <w:color w:val="auto"/>
          <w:kern w:val="0"/>
          <w:sz w:val="22"/>
          <w:szCs w:val="22"/>
          <w:highlight w:val="none"/>
        </w:rPr>
        <w:t>正本一份和副本二份</w:t>
      </w:r>
      <w:r>
        <w:rPr>
          <w:rFonts w:hint="eastAsia" w:ascii="宋体" w:hAnsi="宋体" w:eastAsia="宋体" w:cs="宋体"/>
          <w:snapToGrid w:val="0"/>
          <w:color w:val="auto"/>
          <w:kern w:val="0"/>
          <w:sz w:val="22"/>
          <w:szCs w:val="22"/>
          <w:highlight w:val="none"/>
        </w:rPr>
        <w:t>（副本为正本的复印件）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并在文件封面右上角醒目注明“正本”或“副本”字样。正本和副本如有不一致之处</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以正本为准。投标文件的正本与副本应分别装订成册（A4纸幅）</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并编制目录、且逐页标注连续页码。中标单位按发包人要求提供相应数量的投标文件副本。</w:t>
      </w:r>
    </w:p>
    <w:p w14:paraId="551DF0C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15.2 投标文件正本应使用不褪色的墨水书写或打印</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应按照招标文件规定的格式签字、盖单位公章。</w:t>
      </w:r>
    </w:p>
    <w:p w14:paraId="4BBAC95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15.3 投标文件的任何一页都不应涂改、行间插字或删除。如果出现上述情况</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不论何种原因造成</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均应由投标文件签字人在改动处小签或盖单位公章。</w:t>
      </w:r>
    </w:p>
    <w:p w14:paraId="4B74EED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15.4 投标人不得递交备选投标方案。</w:t>
      </w:r>
    </w:p>
    <w:p w14:paraId="06AB054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15.5 如果投标文件由委托代理人签署</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则投标人需提交附有法定代表人身份证明的授权委托书</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授权委托书应按规定的书面方式出具</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并由法定代表人和委托代理人签字、盖单位公章。如果由投标人的法定代表人亲自签署投标文件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则不需提交授权委托书。</w:t>
      </w:r>
    </w:p>
    <w:p w14:paraId="3F1CC922">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四、投标文件的递交</w:t>
      </w:r>
      <w:bookmarkEnd w:id="39"/>
    </w:p>
    <w:p w14:paraId="719D655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hanging="627" w:hangingChars="284"/>
        <w:rPr>
          <w:rFonts w:hint="eastAsia" w:ascii="宋体" w:hAnsi="宋体" w:eastAsia="宋体" w:cs="宋体"/>
          <w:b/>
          <w:snapToGrid w:val="0"/>
          <w:color w:val="auto"/>
          <w:kern w:val="0"/>
          <w:sz w:val="22"/>
          <w:szCs w:val="22"/>
          <w:highlight w:val="none"/>
        </w:rPr>
      </w:pPr>
      <w:r>
        <w:rPr>
          <w:rFonts w:hint="eastAsia" w:ascii="宋体" w:hAnsi="宋体" w:eastAsia="宋体" w:cs="宋体"/>
          <w:b/>
          <w:snapToGrid w:val="0"/>
          <w:color w:val="auto"/>
          <w:kern w:val="0"/>
          <w:sz w:val="22"/>
          <w:szCs w:val="22"/>
          <w:highlight w:val="none"/>
        </w:rPr>
        <w:t>16  投标文件的密封与标记</w:t>
      </w:r>
    </w:p>
    <w:p w14:paraId="4DE642CB">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16.1 投标文件应采用双信封形式密封。投标文件第一个信封（商务及技术文件）以及第二个信封（报价文件）应</w:t>
      </w:r>
      <w:r>
        <w:rPr>
          <w:rFonts w:hint="eastAsia" w:ascii="宋体" w:hAnsi="宋体" w:eastAsia="宋体" w:cs="宋体"/>
          <w:b/>
          <w:bCs/>
          <w:color w:val="auto"/>
          <w:sz w:val="22"/>
          <w:szCs w:val="22"/>
          <w:highlight w:val="none"/>
        </w:rPr>
        <w:t>单独</w:t>
      </w:r>
      <w:r>
        <w:rPr>
          <w:rFonts w:hint="eastAsia" w:ascii="宋体" w:hAnsi="宋体" w:eastAsia="宋体" w:cs="宋体"/>
          <w:color w:val="auto"/>
          <w:sz w:val="22"/>
          <w:szCs w:val="22"/>
          <w:highlight w:val="none"/>
        </w:rPr>
        <w:t>密封包装。商务及技术文件的正副本及对应投标文件电子版文件（U盘）应统一密封在一个封套中。报价文件的正副本及对应投标文件电子版文件（U盘）应统一密封在另一个封套中。</w:t>
      </w:r>
      <w:r>
        <w:rPr>
          <w:rFonts w:hint="eastAsia" w:ascii="宋体" w:hAnsi="宋体" w:eastAsia="宋体" w:cs="宋体"/>
          <w:b/>
          <w:bCs/>
          <w:color w:val="auto"/>
          <w:sz w:val="22"/>
          <w:szCs w:val="22"/>
          <w:highlight w:val="none"/>
        </w:rPr>
        <w:t>封套应加贴封条</w:t>
      </w:r>
      <w:r>
        <w:rPr>
          <w:rFonts w:hint="eastAsia" w:cs="宋体"/>
          <w:b/>
          <w:bCs/>
          <w:color w:val="auto"/>
          <w:sz w:val="22"/>
          <w:szCs w:val="22"/>
          <w:highlight w:val="none"/>
          <w:lang w:eastAsia="zh-CN"/>
        </w:rPr>
        <w:t>，</w:t>
      </w:r>
      <w:r>
        <w:rPr>
          <w:rFonts w:hint="eastAsia" w:ascii="宋体" w:hAnsi="宋体" w:eastAsia="宋体" w:cs="宋体"/>
          <w:b/>
          <w:bCs/>
          <w:color w:val="auto"/>
          <w:sz w:val="22"/>
          <w:szCs w:val="22"/>
          <w:highlight w:val="none"/>
        </w:rPr>
        <w:t>并在封套的封口处加盖投标人单位章或由投标人的法定代表人或其委托代理人签字。</w:t>
      </w:r>
    </w:p>
    <w:p w14:paraId="4D5CCFF4">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16.2 封套标识</w:t>
      </w:r>
    </w:p>
    <w:p w14:paraId="395EB6EE">
      <w:pPr>
        <w:pStyle w:val="92"/>
        <w:keepNext w:val="0"/>
        <w:keepLines w:val="0"/>
        <w:pageBreakBefore w:val="0"/>
        <w:widowControl w:val="0"/>
        <w:kinsoku/>
        <w:wordWrap/>
        <w:overflowPunct/>
        <w:autoSpaceDE/>
        <w:autoSpaceDN/>
        <w:bidi w:val="0"/>
        <w:adjustRightInd/>
        <w:snapToGrid/>
        <w:spacing w:before="0" w:after="0" w:line="360" w:lineRule="auto"/>
        <w:ind w:left="0" w:firstLine="442"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snapToGrid w:val="0"/>
          <w:color w:val="auto"/>
          <w:sz w:val="22"/>
          <w:szCs w:val="22"/>
          <w:highlight w:val="none"/>
        </w:rPr>
        <w:t>投标文件第一个信封（商务及技术文件）封套：</w:t>
      </w:r>
    </w:p>
    <w:p w14:paraId="15E725D9">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招标人名称：</w:t>
      </w:r>
      <w:r>
        <w:rPr>
          <w:rFonts w:hint="eastAsia" w:ascii="宋体" w:hAnsi="宋体" w:eastAsia="宋体" w:cs="宋体"/>
          <w:b w:val="0"/>
          <w:bCs/>
          <w:snapToGrid w:val="0"/>
          <w:color w:val="auto"/>
          <w:sz w:val="22"/>
          <w:szCs w:val="22"/>
          <w:highlight w:val="none"/>
          <w:u w:val="single"/>
          <w:lang w:eastAsia="zh-CN"/>
        </w:rPr>
        <w:t>南通市江海河联运项目建设指挥部</w:t>
      </w:r>
      <w:r>
        <w:rPr>
          <w:rFonts w:hint="eastAsia" w:ascii="宋体" w:hAnsi="宋体" w:eastAsia="宋体" w:cs="宋体"/>
          <w:b w:val="0"/>
          <w:bCs/>
          <w:snapToGrid w:val="0"/>
          <w:color w:val="auto"/>
          <w:sz w:val="22"/>
          <w:szCs w:val="22"/>
          <w:highlight w:val="none"/>
        </w:rPr>
        <w:t xml:space="preserve">               </w:t>
      </w:r>
    </w:p>
    <w:p w14:paraId="512FBAE3">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招标人地址：</w:t>
      </w:r>
      <w:r>
        <w:rPr>
          <w:rFonts w:hint="eastAsia" w:ascii="宋体" w:hAnsi="宋体" w:eastAsia="宋体" w:cs="宋体"/>
          <w:b w:val="0"/>
          <w:bCs/>
          <w:snapToGrid w:val="0"/>
          <w:color w:val="auto"/>
          <w:sz w:val="22"/>
          <w:szCs w:val="22"/>
          <w:highlight w:val="none"/>
          <w:u w:val="single"/>
        </w:rPr>
        <w:t>南通市外环西路99号</w:t>
      </w:r>
      <w:r>
        <w:rPr>
          <w:rFonts w:hint="eastAsia" w:ascii="宋体" w:hAnsi="宋体" w:eastAsia="宋体" w:cs="宋体"/>
          <w:b w:val="0"/>
          <w:bCs/>
          <w:snapToGrid w:val="0"/>
          <w:color w:val="auto"/>
          <w:sz w:val="22"/>
          <w:szCs w:val="22"/>
          <w:highlight w:val="none"/>
        </w:rPr>
        <w:t xml:space="preserve">           </w:t>
      </w:r>
    </w:p>
    <w:p w14:paraId="39AC961A">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cs="宋体"/>
          <w:b w:val="0"/>
          <w:bCs/>
          <w:snapToGrid w:val="0"/>
          <w:color w:val="auto"/>
          <w:sz w:val="22"/>
          <w:szCs w:val="22"/>
          <w:highlight w:val="none"/>
          <w:u w:val="single"/>
          <w:lang w:eastAsia="zh-CN"/>
        </w:rPr>
        <w:t>“水运江苏”建设跨江竞技劳动技能竞赛服务项目SYJS-JNJS标段</w:t>
      </w:r>
      <w:r>
        <w:rPr>
          <w:rFonts w:hint="eastAsia" w:ascii="宋体" w:hAnsi="宋体" w:eastAsia="宋体" w:cs="宋体"/>
          <w:b w:val="0"/>
          <w:bCs/>
          <w:snapToGrid w:val="0"/>
          <w:color w:val="auto"/>
          <w:sz w:val="22"/>
          <w:szCs w:val="22"/>
          <w:highlight w:val="none"/>
        </w:rPr>
        <w:t>第一个信封（商务及技术文件）投标文件</w:t>
      </w:r>
    </w:p>
    <w:p w14:paraId="5021C9EA">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在</w:t>
      </w:r>
      <w:r>
        <w:rPr>
          <w:rFonts w:hint="eastAsia" w:ascii="宋体" w:hAnsi="宋体" w:cs="宋体"/>
          <w:b w:val="0"/>
          <w:bCs/>
          <w:snapToGrid w:val="0"/>
          <w:color w:val="auto"/>
          <w:sz w:val="22"/>
          <w:szCs w:val="22"/>
          <w:highlight w:val="none"/>
          <w:lang w:val="en-US" w:eastAsia="zh-CN"/>
        </w:rPr>
        <w:t>2025</w:t>
      </w:r>
      <w:r>
        <w:rPr>
          <w:rFonts w:hint="eastAsia" w:ascii="宋体" w:hAnsi="宋体" w:eastAsia="宋体" w:cs="宋体"/>
          <w:b w:val="0"/>
          <w:bCs/>
          <w:snapToGrid w:val="0"/>
          <w:color w:val="auto"/>
          <w:sz w:val="22"/>
          <w:szCs w:val="22"/>
          <w:highlight w:val="none"/>
        </w:rPr>
        <w:t>年</w:t>
      </w:r>
      <w:r>
        <w:rPr>
          <w:rFonts w:hint="eastAsia" w:ascii="宋体" w:hAnsi="宋体" w:eastAsia="宋体" w:cs="宋体"/>
          <w:b w:val="0"/>
          <w:bCs/>
          <w:snapToGrid w:val="0"/>
          <w:color w:val="auto"/>
          <w:sz w:val="22"/>
          <w:szCs w:val="22"/>
          <w:highlight w:val="none"/>
          <w:u w:val="single"/>
        </w:rPr>
        <w:t xml:space="preserve">    </w:t>
      </w:r>
      <w:r>
        <w:rPr>
          <w:rFonts w:hint="eastAsia" w:ascii="宋体" w:hAnsi="宋体" w:eastAsia="宋体" w:cs="宋体"/>
          <w:b w:val="0"/>
          <w:bCs/>
          <w:snapToGrid w:val="0"/>
          <w:color w:val="auto"/>
          <w:sz w:val="22"/>
          <w:szCs w:val="22"/>
          <w:highlight w:val="none"/>
        </w:rPr>
        <w:t>月</w:t>
      </w:r>
      <w:r>
        <w:rPr>
          <w:rFonts w:hint="eastAsia" w:ascii="宋体" w:hAnsi="宋体" w:eastAsia="宋体" w:cs="宋体"/>
          <w:b w:val="0"/>
          <w:bCs/>
          <w:snapToGrid w:val="0"/>
          <w:color w:val="auto"/>
          <w:sz w:val="22"/>
          <w:szCs w:val="22"/>
          <w:highlight w:val="none"/>
          <w:u w:val="single"/>
        </w:rPr>
        <w:t xml:space="preserve">    </w:t>
      </w:r>
      <w:r>
        <w:rPr>
          <w:rFonts w:hint="eastAsia" w:ascii="宋体" w:hAnsi="宋体" w:eastAsia="宋体" w:cs="宋体"/>
          <w:b w:val="0"/>
          <w:bCs/>
          <w:snapToGrid w:val="0"/>
          <w:color w:val="auto"/>
          <w:sz w:val="22"/>
          <w:szCs w:val="22"/>
          <w:highlight w:val="none"/>
        </w:rPr>
        <w:t>日</w:t>
      </w:r>
      <w:r>
        <w:rPr>
          <w:rFonts w:hint="eastAsia" w:ascii="宋体" w:hAnsi="宋体" w:eastAsia="宋体" w:cs="宋体"/>
          <w:b w:val="0"/>
          <w:bCs/>
          <w:snapToGrid w:val="0"/>
          <w:color w:val="auto"/>
          <w:sz w:val="22"/>
          <w:szCs w:val="22"/>
          <w:highlight w:val="none"/>
          <w:u w:val="single"/>
        </w:rPr>
        <w:t xml:space="preserve">    </w:t>
      </w:r>
      <w:r>
        <w:rPr>
          <w:rFonts w:hint="eastAsia" w:ascii="宋体" w:hAnsi="宋体" w:eastAsia="宋体" w:cs="宋体"/>
          <w:b w:val="0"/>
          <w:bCs/>
          <w:snapToGrid w:val="0"/>
          <w:color w:val="auto"/>
          <w:sz w:val="22"/>
          <w:szCs w:val="22"/>
          <w:highlight w:val="none"/>
        </w:rPr>
        <w:t>时</w:t>
      </w:r>
      <w:r>
        <w:rPr>
          <w:rFonts w:hint="eastAsia" w:ascii="宋体" w:hAnsi="宋体" w:eastAsia="宋体" w:cs="宋体"/>
          <w:b w:val="0"/>
          <w:bCs/>
          <w:snapToGrid w:val="0"/>
          <w:color w:val="auto"/>
          <w:sz w:val="22"/>
          <w:szCs w:val="22"/>
          <w:highlight w:val="none"/>
          <w:u w:val="single"/>
        </w:rPr>
        <w:t xml:space="preserve">    </w:t>
      </w:r>
      <w:r>
        <w:rPr>
          <w:rFonts w:hint="eastAsia" w:ascii="宋体" w:hAnsi="宋体" w:eastAsia="宋体" w:cs="宋体"/>
          <w:b w:val="0"/>
          <w:bCs/>
          <w:snapToGrid w:val="0"/>
          <w:color w:val="auto"/>
          <w:sz w:val="22"/>
          <w:szCs w:val="22"/>
          <w:highlight w:val="none"/>
        </w:rPr>
        <w:t>分前不得开启</w:t>
      </w:r>
    </w:p>
    <w:p w14:paraId="4B734033">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投标人名称：</w:t>
      </w:r>
      <w:r>
        <w:rPr>
          <w:rFonts w:hint="eastAsia" w:ascii="宋体" w:hAnsi="宋体" w:eastAsia="宋体" w:cs="宋体"/>
          <w:b w:val="0"/>
          <w:bCs/>
          <w:snapToGrid w:val="0"/>
          <w:color w:val="auto"/>
          <w:sz w:val="22"/>
          <w:szCs w:val="22"/>
          <w:highlight w:val="none"/>
          <w:u w:val="single"/>
          <w:lang w:val="en-US" w:eastAsia="zh-CN"/>
        </w:rPr>
        <w:t xml:space="preserve">                               </w:t>
      </w:r>
      <w:r>
        <w:rPr>
          <w:rFonts w:hint="eastAsia" w:ascii="宋体" w:hAnsi="宋体" w:eastAsia="宋体" w:cs="宋体"/>
          <w:b w:val="0"/>
          <w:bCs/>
          <w:snapToGrid w:val="0"/>
          <w:color w:val="auto"/>
          <w:sz w:val="22"/>
          <w:szCs w:val="22"/>
          <w:highlight w:val="none"/>
        </w:rPr>
        <w:t xml:space="preserve">             </w:t>
      </w:r>
    </w:p>
    <w:p w14:paraId="4A2B8DCA">
      <w:pPr>
        <w:pStyle w:val="92"/>
        <w:keepNext w:val="0"/>
        <w:keepLines w:val="0"/>
        <w:pageBreakBefore w:val="0"/>
        <w:widowControl w:val="0"/>
        <w:kinsoku/>
        <w:wordWrap/>
        <w:overflowPunct/>
        <w:autoSpaceDE/>
        <w:autoSpaceDN/>
        <w:bidi w:val="0"/>
        <w:adjustRightInd/>
        <w:snapToGrid/>
        <w:spacing w:before="0" w:after="0" w:line="360" w:lineRule="auto"/>
        <w:ind w:left="0" w:firstLine="442"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snapToGrid w:val="0"/>
          <w:color w:val="auto"/>
          <w:sz w:val="22"/>
          <w:szCs w:val="22"/>
          <w:highlight w:val="none"/>
        </w:rPr>
        <w:t>投标文件第二个信封（报价文件）封套：</w:t>
      </w:r>
    </w:p>
    <w:p w14:paraId="3600522B">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招标人名称：</w:t>
      </w:r>
      <w:r>
        <w:rPr>
          <w:rFonts w:hint="eastAsia" w:ascii="宋体" w:hAnsi="宋体" w:eastAsia="宋体" w:cs="宋体"/>
          <w:b w:val="0"/>
          <w:bCs/>
          <w:snapToGrid w:val="0"/>
          <w:color w:val="auto"/>
          <w:sz w:val="22"/>
          <w:szCs w:val="22"/>
          <w:highlight w:val="none"/>
          <w:u w:val="single"/>
          <w:lang w:eastAsia="zh-CN"/>
        </w:rPr>
        <w:t>南通市江海河联运项目建设指挥部</w:t>
      </w:r>
      <w:r>
        <w:rPr>
          <w:rFonts w:hint="eastAsia" w:ascii="宋体" w:hAnsi="宋体" w:eastAsia="宋体" w:cs="宋体"/>
          <w:b w:val="0"/>
          <w:bCs/>
          <w:snapToGrid w:val="0"/>
          <w:color w:val="auto"/>
          <w:sz w:val="22"/>
          <w:szCs w:val="22"/>
          <w:highlight w:val="none"/>
        </w:rPr>
        <w:t xml:space="preserve">               </w:t>
      </w:r>
    </w:p>
    <w:p w14:paraId="03A3570B">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招标人地址：</w:t>
      </w:r>
      <w:r>
        <w:rPr>
          <w:rFonts w:hint="eastAsia" w:ascii="宋体" w:hAnsi="宋体" w:eastAsia="宋体" w:cs="宋体"/>
          <w:b w:val="0"/>
          <w:bCs/>
          <w:snapToGrid w:val="0"/>
          <w:color w:val="auto"/>
          <w:sz w:val="22"/>
          <w:szCs w:val="22"/>
          <w:highlight w:val="none"/>
          <w:u w:val="single"/>
        </w:rPr>
        <w:t>南通市外环西路99号</w:t>
      </w:r>
      <w:r>
        <w:rPr>
          <w:rFonts w:hint="eastAsia" w:ascii="宋体" w:hAnsi="宋体" w:eastAsia="宋体" w:cs="宋体"/>
          <w:b w:val="0"/>
          <w:bCs/>
          <w:snapToGrid w:val="0"/>
          <w:color w:val="auto"/>
          <w:sz w:val="22"/>
          <w:szCs w:val="22"/>
          <w:highlight w:val="none"/>
        </w:rPr>
        <w:t xml:space="preserve">                  </w:t>
      </w:r>
    </w:p>
    <w:p w14:paraId="4EFA64A7">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cs="宋体"/>
          <w:b w:val="0"/>
          <w:bCs/>
          <w:snapToGrid w:val="0"/>
          <w:color w:val="auto"/>
          <w:sz w:val="22"/>
          <w:szCs w:val="22"/>
          <w:highlight w:val="none"/>
          <w:u w:val="single"/>
          <w:lang w:eastAsia="zh-CN"/>
        </w:rPr>
        <w:t>“水运江苏”建设跨江竞技劳动技能竞赛服务项目SYJS-JNJS标段</w:t>
      </w:r>
      <w:r>
        <w:rPr>
          <w:rFonts w:hint="eastAsia" w:ascii="宋体" w:hAnsi="宋体" w:eastAsia="宋体" w:cs="宋体"/>
          <w:b w:val="0"/>
          <w:bCs/>
          <w:snapToGrid w:val="0"/>
          <w:color w:val="auto"/>
          <w:sz w:val="22"/>
          <w:szCs w:val="22"/>
          <w:highlight w:val="none"/>
        </w:rPr>
        <w:t>第二个信封（报价文件）投标文件</w:t>
      </w:r>
    </w:p>
    <w:p w14:paraId="401D0F09">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在投标文件第二个信封（报价文件）开标前不得开启</w:t>
      </w:r>
    </w:p>
    <w:p w14:paraId="2D6742C5">
      <w:pPr>
        <w:pStyle w:val="92"/>
        <w:keepNext w:val="0"/>
        <w:keepLines w:val="0"/>
        <w:pageBreakBefore w:val="0"/>
        <w:widowControl w:val="0"/>
        <w:kinsoku/>
        <w:wordWrap/>
        <w:overflowPunct/>
        <w:autoSpaceDE/>
        <w:autoSpaceDN/>
        <w:bidi w:val="0"/>
        <w:adjustRightInd/>
        <w:snapToGrid/>
        <w:spacing w:before="0" w:after="0" w:line="360" w:lineRule="auto"/>
        <w:ind w:left="0" w:firstLine="440" w:firstLineChars="200"/>
        <w:rPr>
          <w:rFonts w:hint="eastAsia" w:ascii="宋体" w:hAnsi="宋体" w:eastAsia="宋体" w:cs="宋体"/>
          <w:b w:val="0"/>
          <w:bCs/>
          <w:snapToGrid w:val="0"/>
          <w:color w:val="auto"/>
          <w:sz w:val="22"/>
          <w:szCs w:val="22"/>
          <w:highlight w:val="none"/>
        </w:rPr>
      </w:pPr>
      <w:r>
        <w:rPr>
          <w:rFonts w:hint="eastAsia" w:ascii="宋体" w:hAnsi="宋体" w:eastAsia="宋体" w:cs="宋体"/>
          <w:b w:val="0"/>
          <w:bCs/>
          <w:snapToGrid w:val="0"/>
          <w:color w:val="auto"/>
          <w:sz w:val="22"/>
          <w:szCs w:val="22"/>
          <w:highlight w:val="none"/>
        </w:rPr>
        <w:t>投标人名称：</w:t>
      </w:r>
      <w:r>
        <w:rPr>
          <w:rFonts w:hint="eastAsia" w:ascii="宋体" w:hAnsi="宋体" w:eastAsia="宋体" w:cs="宋体"/>
          <w:b w:val="0"/>
          <w:bCs/>
          <w:snapToGrid w:val="0"/>
          <w:color w:val="auto"/>
          <w:sz w:val="22"/>
          <w:szCs w:val="22"/>
          <w:highlight w:val="none"/>
          <w:u w:val="single"/>
          <w:lang w:val="en-US" w:eastAsia="zh-CN"/>
        </w:rPr>
        <w:t xml:space="preserve">                                  </w:t>
      </w:r>
      <w:r>
        <w:rPr>
          <w:rFonts w:hint="eastAsia" w:ascii="宋体" w:hAnsi="宋体" w:eastAsia="宋体" w:cs="宋体"/>
          <w:b w:val="0"/>
          <w:bCs/>
          <w:snapToGrid w:val="0"/>
          <w:color w:val="auto"/>
          <w:sz w:val="22"/>
          <w:szCs w:val="22"/>
          <w:highlight w:val="none"/>
        </w:rPr>
        <w:t xml:space="preserve">             </w:t>
      </w:r>
    </w:p>
    <w:p w14:paraId="08A2F51A">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16.3 如果因密封不严、标记不明而造成过早启封、失密等情况</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招标人和招标代理概不负责。</w:t>
      </w:r>
    </w:p>
    <w:p w14:paraId="0D618909">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 xml:space="preserve">16.4 </w:t>
      </w:r>
      <w:r>
        <w:rPr>
          <w:rFonts w:hint="eastAsia" w:ascii="宋体" w:hAnsi="宋体" w:eastAsia="宋体" w:cs="宋体"/>
          <w:color w:val="auto"/>
          <w:sz w:val="22"/>
          <w:szCs w:val="22"/>
          <w:highlight w:val="none"/>
        </w:rPr>
        <w:t>为便于投标工作高效准确进行</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投标人在提交投标文件时应同时提交一份其投标文件的文字录入部分的电子文档</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文件用WORD软件制作</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文件均不得设置密码</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并将文件拷入U盘</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投标人应保证其提交的电子文件无病毒。U盘上需标明单位名称和标段号。如电子文件与正本文件不一致时</w:t>
      </w:r>
      <w:r>
        <w:rPr>
          <w:rFonts w:hint="eastAsia" w:cs="宋体"/>
          <w:color w:val="auto"/>
          <w:sz w:val="22"/>
          <w:szCs w:val="22"/>
          <w:highlight w:val="none"/>
          <w:lang w:eastAsia="zh-CN"/>
        </w:rPr>
        <w:t>，</w:t>
      </w:r>
      <w:r>
        <w:rPr>
          <w:rFonts w:hint="eastAsia" w:ascii="宋体" w:hAnsi="宋体" w:eastAsia="宋体" w:cs="宋体"/>
          <w:color w:val="auto"/>
          <w:sz w:val="22"/>
          <w:szCs w:val="22"/>
          <w:highlight w:val="none"/>
        </w:rPr>
        <w:t>以正本文件为准。</w:t>
      </w:r>
    </w:p>
    <w:p w14:paraId="38AE4F37">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17  投标文件的递交</w:t>
      </w:r>
    </w:p>
    <w:p w14:paraId="512B7BCC">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17.1 投标人必须按招标公告中所规定的地点、截止时间</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将投标文件送达招标人。</w:t>
      </w:r>
    </w:p>
    <w:p w14:paraId="1315BD2E">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17.2 招标人或招标代理可以通过发出本须知第8条规定的补遗书的方式</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酌情延长递交投标文件的截止时间。招标人如果决定延后投标截止时间</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应在原投标截止时间3天前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以书面形式通知所有投标人延后投标截止时间。在此情况下</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招标人和投标人的权利和义务相应延后至新的投标截止时间。</w:t>
      </w:r>
    </w:p>
    <w:p w14:paraId="774996D3">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18  迟到的投标文件</w:t>
      </w:r>
    </w:p>
    <w:p w14:paraId="71818F5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40" w:name="_Toc298415845"/>
      <w:r>
        <w:rPr>
          <w:rFonts w:hint="eastAsia" w:ascii="宋体" w:hAnsi="宋体" w:eastAsia="宋体" w:cs="宋体"/>
          <w:snapToGrid w:val="0"/>
          <w:color w:val="auto"/>
          <w:kern w:val="0"/>
          <w:sz w:val="22"/>
          <w:szCs w:val="22"/>
          <w:highlight w:val="none"/>
        </w:rPr>
        <w:t>18.1 招标人或招标代理将拒绝接受在递交投标文件截止时间后收到的投标文件。</w:t>
      </w:r>
      <w:bookmarkEnd w:id="40"/>
    </w:p>
    <w:p w14:paraId="44E65A59">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19  投标文件的更改与撤回</w:t>
      </w:r>
    </w:p>
    <w:p w14:paraId="5B67364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19.1 在递交投标文件截止时间以前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投标人可以更改或撤回投标文件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但必须以书面形式提出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并经法定代表人或授权的代理人签署。更改、撤回的确认书必须在递交投标文件截止期前送交给招标人或招标代理。</w:t>
      </w:r>
    </w:p>
    <w:p w14:paraId="05943CD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19.2 更改的投标文件应同样按照招标文件规定的要求进行编制、密封、标记（在包封上标明“更改”或“撤回”字样）和递交。</w:t>
      </w:r>
    </w:p>
    <w:p w14:paraId="6147C51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19.3 送交投标文件截止期以后</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投标文件不得更改。需作澄清时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必须按评标办法的规定办理。</w:t>
      </w:r>
    </w:p>
    <w:p w14:paraId="0ABB24E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19.4 如果在投标文件有效期内撤销投标文件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则按本须知规定没收其投标担保。</w:t>
      </w:r>
    </w:p>
    <w:p w14:paraId="5F419A74">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b/>
          <w:color w:val="auto"/>
          <w:sz w:val="22"/>
          <w:szCs w:val="22"/>
          <w:highlight w:val="none"/>
        </w:rPr>
      </w:pPr>
      <w:bookmarkStart w:id="41" w:name="_Toc44814584"/>
      <w:r>
        <w:rPr>
          <w:rFonts w:hint="eastAsia" w:ascii="宋体" w:hAnsi="宋体" w:eastAsia="宋体" w:cs="宋体"/>
          <w:b/>
          <w:color w:val="auto"/>
          <w:sz w:val="22"/>
          <w:szCs w:val="22"/>
          <w:highlight w:val="none"/>
        </w:rPr>
        <w:t>五、开标与评标</w:t>
      </w:r>
      <w:bookmarkEnd w:id="41"/>
    </w:p>
    <w:p w14:paraId="428200D6">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bookmarkStart w:id="42" w:name="_Toc44814585"/>
      <w:r>
        <w:rPr>
          <w:rFonts w:hint="eastAsia" w:ascii="宋体" w:hAnsi="宋体" w:eastAsia="宋体" w:cs="宋体"/>
          <w:snapToGrid w:val="0"/>
          <w:color w:val="auto"/>
          <w:sz w:val="22"/>
          <w:szCs w:val="22"/>
          <w:highlight w:val="none"/>
        </w:rPr>
        <w:t>20  开标</w:t>
      </w:r>
    </w:p>
    <w:p w14:paraId="64C814F2">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20.1 招标人按投标人须知资料表中规定的时间和地点（如有补遗书和其他有效函件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以最后发出的内容为准）</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对所有按时递交的投标文件进行开标。投标人的法定代表人或其授权代理人应携带身份证等有效身份证明准时到场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并在签到表上签字以证明其出席。未参加开标活动视为其默认开标结果。</w:t>
      </w:r>
    </w:p>
    <w:p w14:paraId="26C226EC">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snapToGrid w:val="0"/>
          <w:color w:val="auto"/>
          <w:kern w:val="0"/>
          <w:sz w:val="22"/>
          <w:szCs w:val="22"/>
          <w:highlight w:val="none"/>
        </w:rPr>
        <w:t xml:space="preserve">20.2 </w:t>
      </w:r>
      <w:r>
        <w:rPr>
          <w:rFonts w:hint="eastAsia" w:ascii="宋体" w:hAnsi="宋体" w:eastAsia="宋体" w:cs="宋体"/>
          <w:color w:val="auto"/>
          <w:sz w:val="22"/>
          <w:szCs w:val="22"/>
          <w:highlight w:val="none"/>
        </w:rPr>
        <w:t>开标程序</w:t>
      </w:r>
    </w:p>
    <w:p w14:paraId="06699E9B">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20.2.1主持人按下列程序进行开标：</w:t>
      </w:r>
    </w:p>
    <w:p w14:paraId="3F0A82D1">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1、主持人按下列程序对投标文件</w:t>
      </w:r>
      <w:r>
        <w:rPr>
          <w:rFonts w:hint="eastAsia" w:ascii="宋体" w:hAnsi="宋体" w:eastAsia="宋体" w:cs="宋体"/>
          <w:b/>
          <w:color w:val="auto"/>
          <w:sz w:val="22"/>
          <w:szCs w:val="22"/>
          <w:highlight w:val="none"/>
          <w:lang w:eastAsia="zh-CN"/>
        </w:rPr>
        <w:t>第一个信封（商务及技术文件）</w:t>
      </w:r>
      <w:r>
        <w:rPr>
          <w:rFonts w:hint="eastAsia" w:ascii="宋体" w:hAnsi="宋体" w:eastAsia="宋体" w:cs="宋体"/>
          <w:b/>
          <w:color w:val="auto"/>
          <w:sz w:val="22"/>
          <w:szCs w:val="22"/>
          <w:highlight w:val="none"/>
        </w:rPr>
        <w:t>进行开标：</w:t>
      </w:r>
    </w:p>
    <w:p w14:paraId="6431BD94">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（1）宣布开标纪律；</w:t>
      </w:r>
    </w:p>
    <w:p w14:paraId="5B01B2F1">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（2）公布在投标截止时间前递交投标文件的投标人名称；</w:t>
      </w:r>
    </w:p>
    <w:p w14:paraId="5B2E7442">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（3）检查投标文件的密封情况；</w:t>
      </w:r>
    </w:p>
    <w:p w14:paraId="1F2CDC39">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（4）按照宣布的开标顺序当众开标</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公布投标人名称、标段名称、投标文件的相关内容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并记录在案；</w:t>
      </w:r>
    </w:p>
    <w:p w14:paraId="36107EA6">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（5）投标人代表、监标人、记录人等有关人员在开标记录上签字确认；</w:t>
      </w:r>
    </w:p>
    <w:p w14:paraId="4E07DD2B">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若招标人宣读的内容与投标文件不符时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投标人有权在开标现场提出异议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经监标人当场核查确认之后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可重新宣读其投标文件。若投标人现场未提出异议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则认为投标人已确认招标人宣读的内容。</w:t>
      </w:r>
    </w:p>
    <w:p w14:paraId="3A66FEE2">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（6）由监标人在现场对所有密封性检查合格的投标人投标文件的第二信封（投标报价）当众进行加封和保存；</w:t>
      </w:r>
    </w:p>
    <w:p w14:paraId="18D8DBFC">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（7）开标会议结束。</w:t>
      </w:r>
    </w:p>
    <w:p w14:paraId="1B053E83">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若投标人的</w:t>
      </w:r>
      <w:r>
        <w:rPr>
          <w:rFonts w:hint="eastAsia" w:ascii="宋体" w:hAnsi="宋体" w:eastAsia="宋体" w:cs="宋体"/>
          <w:b/>
          <w:color w:val="auto"/>
          <w:sz w:val="22"/>
          <w:szCs w:val="22"/>
          <w:highlight w:val="none"/>
          <w:lang w:eastAsia="zh-CN"/>
        </w:rPr>
        <w:t>第一个信封（商务及技术文件）</w:t>
      </w:r>
      <w:r>
        <w:rPr>
          <w:rFonts w:hint="eastAsia" w:ascii="宋体" w:hAnsi="宋体" w:eastAsia="宋体" w:cs="宋体"/>
          <w:b/>
          <w:color w:val="auto"/>
          <w:sz w:val="22"/>
          <w:szCs w:val="22"/>
          <w:highlight w:val="none"/>
        </w:rPr>
        <w:t>发现以下情况之一者</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招标人当场宣布该投标人的投标文件为否决投标</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eastAsia="zh-CN"/>
        </w:rPr>
        <w:t>第二个信封（报价文件）</w:t>
      </w:r>
      <w:r>
        <w:rPr>
          <w:rFonts w:hint="eastAsia" w:ascii="宋体" w:hAnsi="宋体" w:eastAsia="宋体" w:cs="宋体"/>
          <w:b/>
          <w:color w:val="auto"/>
          <w:sz w:val="22"/>
          <w:szCs w:val="22"/>
          <w:highlight w:val="none"/>
        </w:rPr>
        <w:t>”于</w:t>
      </w:r>
      <w:r>
        <w:rPr>
          <w:rFonts w:hint="eastAsia" w:ascii="宋体" w:hAnsi="宋体" w:eastAsia="宋体" w:cs="宋体"/>
          <w:b/>
          <w:color w:val="auto"/>
          <w:sz w:val="22"/>
          <w:szCs w:val="22"/>
          <w:highlight w:val="none"/>
          <w:lang w:eastAsia="zh-CN"/>
        </w:rPr>
        <w:t>第一个信封（商务及技术文件）</w:t>
      </w:r>
      <w:r>
        <w:rPr>
          <w:rFonts w:hint="eastAsia" w:ascii="宋体" w:hAnsi="宋体" w:eastAsia="宋体" w:cs="宋体"/>
          <w:b/>
          <w:color w:val="auto"/>
          <w:sz w:val="22"/>
          <w:szCs w:val="22"/>
          <w:highlight w:val="none"/>
        </w:rPr>
        <w:t>开标结束后退还给投标人：</w:t>
      </w:r>
    </w:p>
    <w:p w14:paraId="1943B0DC">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color w:val="auto"/>
          <w:sz w:val="22"/>
          <w:szCs w:val="22"/>
          <w:highlight w:val="none"/>
          <w:u w:val="none"/>
        </w:rPr>
      </w:pPr>
      <w:r>
        <w:rPr>
          <w:rFonts w:hint="eastAsia" w:ascii="宋体" w:hAnsi="宋体" w:eastAsia="宋体" w:cs="宋体"/>
          <w:b/>
          <w:color w:val="auto"/>
          <w:sz w:val="22"/>
          <w:szCs w:val="22"/>
          <w:highlight w:val="none"/>
          <w:u w:val="none"/>
        </w:rPr>
        <w:t>a.未按投标人须知16.1款密封；</w:t>
      </w:r>
    </w:p>
    <w:p w14:paraId="0C8EFE1C">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招标人宣读的内容与投标文件不符时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投标人有权在开标现场提出异议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经监标人当场核查确认后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可重新宣读其投标文件。投标人现场未提出异议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则认为投标人已确认招标人宣读的内容。</w:t>
      </w:r>
    </w:p>
    <w:p w14:paraId="27FC50CB">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2、招标人将按照本章第20.1款规定的时间和地点对封存的投标文件</w:t>
      </w:r>
      <w:r>
        <w:rPr>
          <w:rFonts w:hint="eastAsia" w:ascii="宋体" w:hAnsi="宋体" w:eastAsia="宋体" w:cs="宋体"/>
          <w:b/>
          <w:color w:val="auto"/>
          <w:sz w:val="22"/>
          <w:szCs w:val="22"/>
          <w:highlight w:val="none"/>
          <w:lang w:eastAsia="zh-CN"/>
        </w:rPr>
        <w:t>第二个信封（报价文件）</w:t>
      </w:r>
      <w:r>
        <w:rPr>
          <w:rFonts w:hint="eastAsia" w:ascii="宋体" w:hAnsi="宋体" w:eastAsia="宋体" w:cs="宋体"/>
          <w:b/>
          <w:color w:val="auto"/>
          <w:sz w:val="22"/>
          <w:szCs w:val="22"/>
          <w:highlight w:val="none"/>
        </w:rPr>
        <w:t>进行开标。主持人按下列程序进行开标：</w:t>
      </w:r>
    </w:p>
    <w:p w14:paraId="0C320AFA">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（1）宣布开标纪律；</w:t>
      </w:r>
    </w:p>
    <w:p w14:paraId="55E7CAA1">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（2）当众宣布通过投标文件</w:t>
      </w:r>
      <w:r>
        <w:rPr>
          <w:rFonts w:hint="eastAsia" w:ascii="宋体" w:hAnsi="宋体" w:eastAsia="宋体" w:cs="宋体"/>
          <w:color w:val="auto"/>
          <w:sz w:val="22"/>
          <w:szCs w:val="22"/>
          <w:highlight w:val="none"/>
          <w:lang w:eastAsia="zh-CN"/>
        </w:rPr>
        <w:t>第一个信封（商务及技术文件）</w:t>
      </w:r>
      <w:r>
        <w:rPr>
          <w:rFonts w:hint="eastAsia" w:ascii="宋体" w:hAnsi="宋体" w:eastAsia="宋体" w:cs="宋体"/>
          <w:color w:val="auto"/>
          <w:sz w:val="22"/>
          <w:szCs w:val="22"/>
          <w:highlight w:val="none"/>
        </w:rPr>
        <w:t>评审的投标人名单；</w:t>
      </w:r>
    </w:p>
    <w:p w14:paraId="3038A65A">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（3）由投标人代表检查投标文件密封情况； </w:t>
      </w:r>
    </w:p>
    <w:p w14:paraId="028A54F7">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cs="宋体"/>
          <w:color w:val="auto"/>
          <w:sz w:val="22"/>
          <w:szCs w:val="22"/>
          <w:highlight w:val="none"/>
          <w:lang w:val="en-US" w:eastAsia="zh-CN"/>
        </w:rPr>
        <w:t>4</w:t>
      </w:r>
      <w:r>
        <w:rPr>
          <w:rFonts w:hint="eastAsia" w:ascii="宋体" w:hAnsi="宋体" w:eastAsia="宋体" w:cs="宋体"/>
          <w:color w:val="auto"/>
          <w:sz w:val="22"/>
          <w:szCs w:val="22"/>
          <w:highlight w:val="none"/>
        </w:rPr>
        <w:t>）对通过投标文件</w:t>
      </w:r>
      <w:r>
        <w:rPr>
          <w:rFonts w:hint="eastAsia" w:ascii="宋体" w:hAnsi="宋体" w:eastAsia="宋体" w:cs="宋体"/>
          <w:color w:val="auto"/>
          <w:sz w:val="22"/>
          <w:szCs w:val="22"/>
          <w:highlight w:val="none"/>
          <w:lang w:eastAsia="zh-CN"/>
        </w:rPr>
        <w:t>第一个信封（商务及技术文件）</w:t>
      </w:r>
      <w:r>
        <w:rPr>
          <w:rFonts w:hint="eastAsia" w:ascii="宋体" w:hAnsi="宋体" w:eastAsia="宋体" w:cs="宋体"/>
          <w:color w:val="auto"/>
          <w:sz w:val="22"/>
          <w:szCs w:val="22"/>
          <w:highlight w:val="none"/>
        </w:rPr>
        <w:t>评审的投标文件</w:t>
      </w:r>
      <w:r>
        <w:rPr>
          <w:rFonts w:hint="eastAsia" w:ascii="宋体" w:hAnsi="宋体" w:eastAsia="宋体" w:cs="宋体"/>
          <w:color w:val="auto"/>
          <w:sz w:val="22"/>
          <w:szCs w:val="22"/>
          <w:highlight w:val="none"/>
          <w:lang w:eastAsia="zh-CN"/>
        </w:rPr>
        <w:t>第二个信封（报价文件）</w:t>
      </w:r>
      <w:r>
        <w:rPr>
          <w:rFonts w:hint="eastAsia" w:ascii="宋体" w:hAnsi="宋体" w:eastAsia="宋体" w:cs="宋体"/>
          <w:color w:val="auto"/>
          <w:sz w:val="22"/>
          <w:szCs w:val="22"/>
          <w:highlight w:val="none"/>
        </w:rPr>
        <w:t>当众开标</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并公布这些投标文件</w:t>
      </w:r>
      <w:r>
        <w:rPr>
          <w:rFonts w:hint="eastAsia" w:ascii="宋体" w:hAnsi="宋体" w:eastAsia="宋体" w:cs="宋体"/>
          <w:color w:val="auto"/>
          <w:sz w:val="22"/>
          <w:szCs w:val="22"/>
          <w:highlight w:val="none"/>
          <w:lang w:eastAsia="zh-CN"/>
        </w:rPr>
        <w:t>第二个信封（报价文件）</w:t>
      </w:r>
      <w:r>
        <w:rPr>
          <w:rFonts w:hint="eastAsia" w:ascii="宋体" w:hAnsi="宋体" w:eastAsia="宋体" w:cs="宋体"/>
          <w:color w:val="auto"/>
          <w:sz w:val="22"/>
          <w:szCs w:val="22"/>
          <w:highlight w:val="none"/>
        </w:rPr>
        <w:t>的投标人名称、标段名称、投标报价</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并记录在案；</w:t>
      </w:r>
    </w:p>
    <w:p w14:paraId="31953FE2">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ascii="宋体" w:hAnsi="宋体" w:cs="宋体"/>
          <w:color w:val="auto"/>
          <w:sz w:val="22"/>
          <w:szCs w:val="22"/>
          <w:highlight w:val="none"/>
          <w:lang w:val="en-US" w:eastAsia="zh-CN"/>
        </w:rPr>
        <w:t>5</w:t>
      </w:r>
      <w:r>
        <w:rPr>
          <w:rFonts w:hint="eastAsia" w:ascii="宋体" w:hAnsi="宋体" w:eastAsia="宋体" w:cs="宋体"/>
          <w:color w:val="auto"/>
          <w:sz w:val="22"/>
          <w:szCs w:val="22"/>
          <w:highlight w:val="none"/>
        </w:rPr>
        <w:t xml:space="preserve">）投标人代表、记录人等有关人员在开标记录上签字确认； </w:t>
      </w:r>
    </w:p>
    <w:p w14:paraId="7DA6E57B">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若招标人宣读的内容与投标文件不符时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投标人有权在开标现场提出异议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经监标人当场核查确认之后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可重新宣读其投标文件。若投标人现场未提出异议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则认为投标人已确认招标人宣读的内容。</w:t>
      </w:r>
      <w:r>
        <w:rPr>
          <w:rFonts w:hint="eastAsia" w:ascii="宋体" w:hAnsi="宋体" w:eastAsia="宋体" w:cs="宋体"/>
          <w:b/>
          <w:bCs/>
          <w:color w:val="auto"/>
          <w:sz w:val="22"/>
          <w:szCs w:val="22"/>
          <w:highlight w:val="none"/>
        </w:rPr>
        <w:t>投标人若未派法定代表人或委托代理人出席投标文件第二信封开标活动</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视为该投标人默认开标结果。</w:t>
      </w:r>
    </w:p>
    <w:p w14:paraId="2351DBED">
      <w:pPr>
        <w:keepNext w:val="0"/>
        <w:keepLines w:val="0"/>
        <w:pageBreakBefore w:val="0"/>
        <w:widowControl w:val="0"/>
        <w:kinsoku/>
        <w:wordWrap/>
        <w:overflowPunct/>
        <w:autoSpaceDE/>
        <w:autoSpaceDN/>
        <w:bidi w:val="0"/>
        <w:adjustRightInd/>
        <w:snapToGrid/>
        <w:spacing w:line="360" w:lineRule="auto"/>
        <w:ind w:left="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（6）开标会议结束。</w:t>
      </w:r>
    </w:p>
    <w:p w14:paraId="34DD7166">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第二信封开标过程中</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若招标人发现投标文件出现以下任一情况</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 xml:space="preserve">经监标人确认后当场宣布为否决投标： </w:t>
      </w:r>
    </w:p>
    <w:p w14:paraId="3A158ECE">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bCs/>
          <w:color w:val="auto"/>
          <w:sz w:val="22"/>
          <w:szCs w:val="22"/>
          <w:highlight w:val="none"/>
          <w:u w:val="none"/>
        </w:rPr>
      </w:pPr>
      <w:r>
        <w:rPr>
          <w:rFonts w:hint="eastAsia" w:ascii="宋体" w:hAnsi="宋体" w:eastAsia="宋体" w:cs="宋体"/>
          <w:b/>
          <w:bCs/>
          <w:color w:val="auto"/>
          <w:sz w:val="22"/>
          <w:szCs w:val="22"/>
          <w:highlight w:val="none"/>
          <w:u w:val="none"/>
        </w:rPr>
        <w:t xml:space="preserve">（1）未在投标函上填写投标总价； </w:t>
      </w:r>
    </w:p>
    <w:p w14:paraId="27C26E8A">
      <w:pPr>
        <w:keepNext w:val="0"/>
        <w:keepLines w:val="0"/>
        <w:pageBreakBefore w:val="0"/>
        <w:widowControl w:val="0"/>
        <w:kinsoku/>
        <w:wordWrap/>
        <w:overflowPunct/>
        <w:autoSpaceDE/>
        <w:autoSpaceDN/>
        <w:bidi w:val="0"/>
        <w:adjustRightInd/>
        <w:snapToGrid/>
        <w:spacing w:line="360" w:lineRule="auto"/>
        <w:ind w:left="0" w:firstLine="442" w:firstLineChars="200"/>
        <w:rPr>
          <w:rFonts w:hint="eastAsia" w:ascii="宋体" w:hAnsi="宋体" w:eastAsia="宋体" w:cs="宋体"/>
          <w:b/>
          <w:bCs/>
          <w:color w:val="auto"/>
          <w:sz w:val="22"/>
          <w:szCs w:val="22"/>
          <w:highlight w:val="none"/>
          <w:u w:val="none"/>
          <w:lang w:eastAsia="zh-CN"/>
        </w:rPr>
      </w:pPr>
      <w:r>
        <w:rPr>
          <w:rFonts w:hint="eastAsia" w:ascii="宋体" w:hAnsi="宋体" w:eastAsia="宋体" w:cs="宋体"/>
          <w:b/>
          <w:bCs/>
          <w:color w:val="auto"/>
          <w:sz w:val="22"/>
          <w:szCs w:val="22"/>
          <w:highlight w:val="none"/>
          <w:u w:val="none"/>
        </w:rPr>
        <w:t>（2）投标人投标报价超出招标人设定的最高投标限价的</w:t>
      </w:r>
      <w:r>
        <w:rPr>
          <w:rFonts w:hint="eastAsia" w:ascii="宋体" w:hAnsi="宋体" w:cs="宋体"/>
          <w:b/>
          <w:bCs/>
          <w:color w:val="auto"/>
          <w:sz w:val="22"/>
          <w:szCs w:val="22"/>
          <w:highlight w:val="none"/>
          <w:u w:val="none"/>
          <w:lang w:eastAsia="zh-CN"/>
        </w:rPr>
        <w:t>。</w:t>
      </w:r>
    </w:p>
    <w:p w14:paraId="0172E31F">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2" w:firstLineChars="200"/>
        <w:rPr>
          <w:rFonts w:hint="eastAsia" w:ascii="宋体" w:hAnsi="宋体" w:eastAsia="宋体" w:cs="宋体"/>
          <w:snapToGrid w:val="0"/>
          <w:color w:val="auto"/>
          <w:kern w:val="0"/>
          <w:sz w:val="22"/>
          <w:szCs w:val="22"/>
          <w:highlight w:val="none"/>
          <w:u w:val="none"/>
        </w:rPr>
      </w:pPr>
      <w:r>
        <w:rPr>
          <w:rFonts w:hint="eastAsia" w:ascii="宋体" w:hAnsi="宋体" w:eastAsia="宋体" w:cs="宋体"/>
          <w:b/>
          <w:bCs/>
          <w:snapToGrid w:val="0"/>
          <w:color w:val="auto"/>
          <w:kern w:val="0"/>
          <w:sz w:val="22"/>
          <w:szCs w:val="22"/>
          <w:highlight w:val="none"/>
          <w:u w:val="none"/>
        </w:rPr>
        <w:t>（3）投标报价或调价函中报价的大写金额无法确定具体数值。</w:t>
      </w:r>
    </w:p>
    <w:p w14:paraId="5D87059A">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20.3 当参加投标的投标人少于三家时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招标人将重新组织招标</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已递交的投标文件不予开启</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原封退还给投标人。</w:t>
      </w:r>
    </w:p>
    <w:p w14:paraId="3FB6FB6B">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21  评标过程的保密</w:t>
      </w:r>
    </w:p>
    <w:p w14:paraId="5DB5D3B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jc w:val="left"/>
        <w:rPr>
          <w:rFonts w:hint="eastAsia" w:ascii="宋体" w:hAnsi="宋体" w:eastAsia="宋体" w:cs="宋体"/>
          <w:snapToGrid w:val="0"/>
          <w:color w:val="auto"/>
          <w:kern w:val="0"/>
          <w:sz w:val="22"/>
          <w:szCs w:val="22"/>
          <w:highlight w:val="none"/>
        </w:rPr>
      </w:pPr>
      <w:bookmarkStart w:id="43" w:name="_Toc298415863"/>
      <w:r>
        <w:rPr>
          <w:rFonts w:hint="eastAsia" w:ascii="宋体" w:hAnsi="宋体" w:eastAsia="宋体" w:cs="宋体"/>
          <w:snapToGrid w:val="0"/>
          <w:color w:val="auto"/>
          <w:kern w:val="0"/>
          <w:sz w:val="22"/>
          <w:szCs w:val="22"/>
          <w:highlight w:val="none"/>
        </w:rPr>
        <w:t>21.1 开标后</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直到签订合同书为止</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凡有关投标文件的审查、澄清和评价工作</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都应在保密的情况下进行</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任何信息和资料均不得向投标人或其他人泄露。</w:t>
      </w:r>
      <w:bookmarkEnd w:id="43"/>
    </w:p>
    <w:p w14:paraId="3334143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jc w:val="left"/>
        <w:rPr>
          <w:rFonts w:hint="eastAsia" w:ascii="宋体" w:hAnsi="宋体" w:eastAsia="宋体" w:cs="宋体"/>
          <w:snapToGrid w:val="0"/>
          <w:color w:val="auto"/>
          <w:kern w:val="0"/>
          <w:sz w:val="22"/>
          <w:szCs w:val="22"/>
          <w:highlight w:val="none"/>
        </w:rPr>
      </w:pPr>
      <w:bookmarkStart w:id="44" w:name="_Toc298415864"/>
      <w:r>
        <w:rPr>
          <w:rFonts w:hint="eastAsia" w:ascii="宋体" w:hAnsi="宋体" w:eastAsia="宋体" w:cs="宋体"/>
          <w:snapToGrid w:val="0"/>
          <w:color w:val="auto"/>
          <w:kern w:val="0"/>
          <w:sz w:val="22"/>
          <w:szCs w:val="22"/>
          <w:highlight w:val="none"/>
        </w:rPr>
        <w:t>21.2 投标人在投标文件的审查、澄清、评价和比较以及授予合同的过程中</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对招标人施加影响的任何行为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都将导致取消其中标资格。</w:t>
      </w:r>
      <w:bookmarkEnd w:id="44"/>
    </w:p>
    <w:p w14:paraId="450B48A2">
      <w:pPr>
        <w:pStyle w:val="92"/>
        <w:keepNext w:val="0"/>
        <w:keepLines w:val="0"/>
        <w:pageBreakBefore w:val="0"/>
        <w:widowControl w:val="0"/>
        <w:kinsoku/>
        <w:wordWrap/>
        <w:overflowPunct/>
        <w:topLinePunct/>
        <w:autoSpaceDE/>
        <w:autoSpaceDN/>
        <w:bidi w:val="0"/>
        <w:adjustRightInd/>
        <w:snapToGrid/>
        <w:spacing w:before="0" w:after="0" w:line="360" w:lineRule="auto"/>
        <w:ind w:left="0" w:firstLine="0"/>
        <w:rPr>
          <w:rFonts w:hint="eastAsia" w:ascii="宋体" w:hAnsi="宋体" w:eastAsia="宋体" w:cs="宋体"/>
          <w:snapToGrid w:val="0"/>
          <w:color w:val="auto"/>
          <w:sz w:val="22"/>
          <w:szCs w:val="22"/>
          <w:highlight w:val="none"/>
        </w:rPr>
      </w:pPr>
      <w:r>
        <w:rPr>
          <w:rFonts w:hint="eastAsia" w:ascii="宋体" w:hAnsi="宋体" w:eastAsia="宋体" w:cs="宋体"/>
          <w:snapToGrid w:val="0"/>
          <w:color w:val="auto"/>
          <w:sz w:val="22"/>
          <w:szCs w:val="22"/>
          <w:highlight w:val="none"/>
        </w:rPr>
        <w:t>22  评标</w:t>
      </w:r>
    </w:p>
    <w:p w14:paraId="45E23F5C">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b w:val="0"/>
          <w:bCs w:val="0"/>
          <w:snapToGrid w:val="0"/>
          <w:color w:val="auto"/>
          <w:kern w:val="0"/>
          <w:sz w:val="22"/>
          <w:szCs w:val="22"/>
          <w:highlight w:val="none"/>
        </w:rPr>
      </w:pPr>
      <w:r>
        <w:rPr>
          <w:rFonts w:hint="eastAsia" w:ascii="宋体" w:hAnsi="宋体" w:eastAsia="宋体" w:cs="宋体"/>
          <w:b w:val="0"/>
          <w:bCs w:val="0"/>
          <w:snapToGrid w:val="0"/>
          <w:color w:val="auto"/>
          <w:kern w:val="0"/>
          <w:sz w:val="22"/>
          <w:szCs w:val="22"/>
          <w:highlight w:val="none"/>
        </w:rPr>
        <w:t>22.1 评标由招标人依法组建的评标委员会负责。评标委员会由招标人熟悉相关业务的代表</w:t>
      </w:r>
      <w:r>
        <w:rPr>
          <w:rFonts w:hint="eastAsia" w:cs="宋体"/>
          <w:b w:val="0"/>
          <w:bCs w:val="0"/>
          <w:snapToGrid w:val="0"/>
          <w:color w:val="auto"/>
          <w:kern w:val="0"/>
          <w:sz w:val="22"/>
          <w:szCs w:val="22"/>
          <w:highlight w:val="none"/>
          <w:lang w:eastAsia="zh-CN"/>
        </w:rPr>
        <w:t>，</w:t>
      </w:r>
      <w:r>
        <w:rPr>
          <w:rFonts w:hint="eastAsia" w:ascii="宋体" w:hAnsi="宋体" w:eastAsia="宋体" w:cs="宋体"/>
          <w:b w:val="0"/>
          <w:bCs w:val="0"/>
          <w:snapToGrid w:val="0"/>
          <w:color w:val="auto"/>
          <w:kern w:val="0"/>
          <w:sz w:val="22"/>
          <w:szCs w:val="22"/>
          <w:highlight w:val="none"/>
        </w:rPr>
        <w:t>以及有关技术、经济等方面的专家组成。评标委员会人数为5人或5人以上单数</w:t>
      </w:r>
      <w:r>
        <w:rPr>
          <w:rFonts w:hint="eastAsia" w:cs="宋体"/>
          <w:b w:val="0"/>
          <w:bCs w:val="0"/>
          <w:snapToGrid w:val="0"/>
          <w:color w:val="auto"/>
          <w:kern w:val="0"/>
          <w:sz w:val="22"/>
          <w:szCs w:val="22"/>
          <w:highlight w:val="none"/>
          <w:lang w:eastAsia="zh-CN"/>
        </w:rPr>
        <w:t>，</w:t>
      </w:r>
      <w:r>
        <w:rPr>
          <w:rFonts w:hint="eastAsia" w:ascii="宋体" w:hAnsi="宋体" w:eastAsia="宋体" w:cs="宋体"/>
          <w:b w:val="0"/>
          <w:bCs w:val="0"/>
          <w:snapToGrid w:val="0"/>
          <w:color w:val="auto"/>
          <w:kern w:val="0"/>
          <w:sz w:val="22"/>
          <w:szCs w:val="22"/>
          <w:highlight w:val="none"/>
        </w:rPr>
        <w:t>其中技术、经济等方面专家人数应不少于成员总数的2/3。</w:t>
      </w:r>
    </w:p>
    <w:p w14:paraId="140FD66B">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22.2 评标委员会成员有下列情形之一的</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应当回避：</w:t>
      </w:r>
    </w:p>
    <w:p w14:paraId="7CF37583">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（1）招标人或投标人的主要负责人的近亲属；</w:t>
      </w:r>
    </w:p>
    <w:p w14:paraId="737DE3D2">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（2）为负责招标项目监督管理的交通运输主管部门的工作人员；</w:t>
      </w:r>
    </w:p>
    <w:p w14:paraId="73967D35">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（3）与投标人有经济利益关系</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可能影响对投标公正评审的；</w:t>
      </w:r>
    </w:p>
    <w:p w14:paraId="5F2E9232">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（4）曾因在招标、评标以及其他与招标投标有关活动中从事违法行为而受过行政处罚或刑事处罚的。</w:t>
      </w:r>
    </w:p>
    <w:p w14:paraId="17B76A96">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22.3 评标原则评标活动遵循公平、公正、科学和择优的原则。</w:t>
      </w:r>
    </w:p>
    <w:p w14:paraId="7C5B420B">
      <w:pPr>
        <w:pStyle w:val="94"/>
        <w:keepNext w:val="0"/>
        <w:keepLines w:val="0"/>
        <w:pageBreakBefore w:val="0"/>
        <w:widowControl w:val="0"/>
        <w:tabs>
          <w:tab w:val="left" w:pos="540"/>
        </w:tabs>
        <w:kinsoku/>
        <w:wordWrap/>
        <w:overflow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22.4 评标采用综合评估法。</w:t>
      </w:r>
    </w:p>
    <w:p w14:paraId="175AA98B">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22.5 评标结果公示在</w:t>
      </w:r>
      <w:r>
        <w:rPr>
          <w:rFonts w:hint="eastAsia" w:cs="宋体"/>
          <w:snapToGrid w:val="0"/>
          <w:color w:val="auto"/>
          <w:kern w:val="0"/>
          <w:sz w:val="22"/>
          <w:szCs w:val="22"/>
          <w:highlight w:val="none"/>
          <w:u w:val="single"/>
          <w:lang w:eastAsia="zh-CN"/>
        </w:rPr>
        <w:t>南通市交通运输局网站、江苏省招标投标公共服务平台</w:t>
      </w:r>
      <w:r>
        <w:rPr>
          <w:rFonts w:hint="eastAsia" w:ascii="宋体" w:hAnsi="宋体" w:eastAsia="宋体" w:cs="宋体"/>
          <w:snapToGrid w:val="0"/>
          <w:color w:val="auto"/>
          <w:kern w:val="0"/>
          <w:sz w:val="22"/>
          <w:szCs w:val="22"/>
          <w:highlight w:val="none"/>
        </w:rPr>
        <w:t>上公示。</w:t>
      </w:r>
    </w:p>
    <w:p w14:paraId="1D321053">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六、授予合同</w:t>
      </w:r>
      <w:bookmarkEnd w:id="42"/>
    </w:p>
    <w:p w14:paraId="1B2A2E5D">
      <w:pPr>
        <w:keepNext w:val="0"/>
        <w:keepLines w:val="0"/>
        <w:pageBreakBefore w:val="0"/>
        <w:widowControl w:val="0"/>
        <w:kinsoku/>
        <w:wordWrap/>
        <w:overflowPunct/>
        <w:topLinePunct/>
        <w:autoSpaceDE/>
        <w:autoSpaceDN/>
        <w:bidi w:val="0"/>
        <w:adjustRightInd/>
        <w:snapToGrid/>
        <w:spacing w:line="360" w:lineRule="auto"/>
        <w:ind w:left="0"/>
        <w:rPr>
          <w:rFonts w:hint="eastAsia" w:ascii="宋体" w:hAnsi="宋体" w:eastAsia="宋体" w:cs="宋体"/>
          <w:b/>
          <w:snapToGrid w:val="0"/>
          <w:color w:val="auto"/>
          <w:kern w:val="0"/>
          <w:sz w:val="22"/>
          <w:szCs w:val="22"/>
          <w:highlight w:val="none"/>
        </w:rPr>
      </w:pPr>
      <w:r>
        <w:rPr>
          <w:rFonts w:hint="eastAsia" w:ascii="宋体" w:hAnsi="宋体" w:eastAsia="宋体" w:cs="宋体"/>
          <w:b/>
          <w:color w:val="auto"/>
          <w:sz w:val="22"/>
          <w:szCs w:val="22"/>
          <w:highlight w:val="none"/>
        </w:rPr>
        <w:t>23  合同授予的标准</w:t>
      </w:r>
    </w:p>
    <w:p w14:paraId="4462D5A9">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45" w:name="_Toc298415872"/>
      <w:r>
        <w:rPr>
          <w:rFonts w:hint="eastAsia" w:ascii="宋体" w:hAnsi="宋体" w:eastAsia="宋体" w:cs="宋体"/>
          <w:snapToGrid w:val="0"/>
          <w:color w:val="auto"/>
          <w:kern w:val="0"/>
          <w:sz w:val="22"/>
          <w:szCs w:val="22"/>
          <w:highlight w:val="none"/>
        </w:rPr>
        <w:t>23.1 招标人根据评标委员会提出的书面评标报告和推荐的中标候选人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将合同授予评标委员会推荐的中标候选人。招标人根据本须知第24条规定享有的权力不受本条限制。</w:t>
      </w:r>
      <w:bookmarkEnd w:id="45"/>
    </w:p>
    <w:p w14:paraId="1F03DB78">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46" w:name="_Toc298415873"/>
      <w:r>
        <w:rPr>
          <w:rFonts w:hint="eastAsia" w:ascii="宋体" w:hAnsi="宋体" w:eastAsia="宋体" w:cs="宋体"/>
          <w:snapToGrid w:val="0"/>
          <w:color w:val="auto"/>
          <w:kern w:val="0"/>
          <w:sz w:val="22"/>
          <w:szCs w:val="22"/>
          <w:highlight w:val="none"/>
        </w:rPr>
        <w:t xml:space="preserve">23.2 </w:t>
      </w:r>
      <w:bookmarkEnd w:id="46"/>
      <w:r>
        <w:rPr>
          <w:rFonts w:hint="eastAsia" w:ascii="宋体" w:hAnsi="宋体" w:eastAsia="宋体" w:cs="宋体"/>
          <w:snapToGrid w:val="0"/>
          <w:color w:val="auto"/>
          <w:kern w:val="0"/>
          <w:sz w:val="22"/>
          <w:szCs w:val="22"/>
          <w:highlight w:val="none"/>
        </w:rPr>
        <w:t>招标人按评标办法规定</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确定评标委员会推荐的第一中标候选人为中标人的</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如第一中标候选人放弃中标或因不可抗力提出不能履行合同</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招标人可以确定第二中标候选人为中标人。</w:t>
      </w:r>
    </w:p>
    <w:p w14:paraId="479B4A17">
      <w:pPr>
        <w:keepNext w:val="0"/>
        <w:keepLines w:val="0"/>
        <w:pageBreakBefore w:val="0"/>
        <w:widowControl w:val="0"/>
        <w:kinsoku/>
        <w:wordWrap/>
        <w:overflowPunct/>
        <w:topLinePunct/>
        <w:autoSpaceDE/>
        <w:autoSpaceDN/>
        <w:bidi w:val="0"/>
        <w:adjustRightInd/>
        <w:snapToGrid/>
        <w:spacing w:line="360" w:lineRule="auto"/>
        <w:ind w:left="0"/>
        <w:rPr>
          <w:rFonts w:hint="eastAsia" w:ascii="宋体" w:hAnsi="宋体" w:eastAsia="宋体" w:cs="宋体"/>
          <w:b/>
          <w:color w:val="auto"/>
          <w:sz w:val="22"/>
          <w:szCs w:val="22"/>
          <w:highlight w:val="none"/>
        </w:rPr>
      </w:pPr>
      <w:bookmarkStart w:id="47" w:name="_Toc298415875"/>
      <w:bookmarkStart w:id="48" w:name="_Toc246470947"/>
      <w:r>
        <w:rPr>
          <w:rFonts w:hint="eastAsia" w:ascii="宋体" w:hAnsi="宋体" w:eastAsia="宋体" w:cs="宋体"/>
          <w:b/>
          <w:color w:val="auto"/>
          <w:sz w:val="22"/>
          <w:szCs w:val="22"/>
          <w:highlight w:val="none"/>
        </w:rPr>
        <w:t>24  招标人接受和拒绝投标的权力</w:t>
      </w:r>
      <w:bookmarkEnd w:id="47"/>
      <w:bookmarkEnd w:id="48"/>
    </w:p>
    <w:p w14:paraId="16F52F5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49" w:name="_Toc298415876"/>
      <w:r>
        <w:rPr>
          <w:rFonts w:hint="eastAsia" w:ascii="宋体" w:hAnsi="宋体" w:eastAsia="宋体" w:cs="宋体"/>
          <w:snapToGrid w:val="0"/>
          <w:color w:val="auto"/>
          <w:kern w:val="0"/>
          <w:sz w:val="22"/>
          <w:szCs w:val="22"/>
          <w:highlight w:val="none"/>
        </w:rPr>
        <w:t>24.1 招标人在发出中标通知书前因项目发生变化或不可抗力等原因有权宣布投标程序无效或拒绝所有投标</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并对由此引起的对投标人的影响不承担任何责任</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也无须将这样做的理由通知受影响的投标人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但招标人应将投标担保退还给投标人。</w:t>
      </w:r>
      <w:bookmarkEnd w:id="49"/>
      <w:bookmarkStart w:id="50" w:name="_Toc298415877"/>
      <w:bookmarkStart w:id="51" w:name="_Toc246470948"/>
    </w:p>
    <w:p w14:paraId="4A919D43">
      <w:pPr>
        <w:keepNext w:val="0"/>
        <w:keepLines w:val="0"/>
        <w:pageBreakBefore w:val="0"/>
        <w:widowControl w:val="0"/>
        <w:kinsoku/>
        <w:wordWrap/>
        <w:overflowPunct/>
        <w:topLinePunct/>
        <w:autoSpaceDE/>
        <w:autoSpaceDN/>
        <w:bidi w:val="0"/>
        <w:adjustRightInd/>
        <w:snapToGrid/>
        <w:spacing w:line="360" w:lineRule="auto"/>
        <w:ind w:left="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25  中标通知书</w:t>
      </w:r>
      <w:bookmarkEnd w:id="50"/>
      <w:bookmarkEnd w:id="51"/>
    </w:p>
    <w:p w14:paraId="6A1A095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52" w:name="_Toc298415878"/>
      <w:r>
        <w:rPr>
          <w:rFonts w:hint="eastAsia" w:ascii="宋体" w:hAnsi="宋体" w:eastAsia="宋体" w:cs="宋体"/>
          <w:snapToGrid w:val="0"/>
          <w:color w:val="auto"/>
          <w:kern w:val="0"/>
          <w:sz w:val="22"/>
          <w:szCs w:val="22"/>
          <w:highlight w:val="none"/>
        </w:rPr>
        <w:t>25.1</w:t>
      </w:r>
      <w:bookmarkEnd w:id="52"/>
      <w:r>
        <w:rPr>
          <w:rFonts w:hint="eastAsia" w:ascii="宋体" w:hAnsi="宋体" w:eastAsia="宋体" w:cs="宋体"/>
          <w:snapToGrid w:val="0"/>
          <w:color w:val="auto"/>
          <w:kern w:val="0"/>
          <w:sz w:val="22"/>
          <w:szCs w:val="22"/>
          <w:highlight w:val="none"/>
        </w:rPr>
        <w:t xml:space="preserve"> 在规定的投标有效期截止前</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招标人将以书面形式通知中标的投标人其投标被接受。</w:t>
      </w:r>
    </w:p>
    <w:p w14:paraId="3C8AD88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53" w:name="_Toc298415879"/>
      <w:r>
        <w:rPr>
          <w:rFonts w:hint="eastAsia" w:ascii="宋体" w:hAnsi="宋体" w:eastAsia="宋体" w:cs="宋体"/>
          <w:snapToGrid w:val="0"/>
          <w:color w:val="auto"/>
          <w:kern w:val="0"/>
          <w:sz w:val="22"/>
          <w:szCs w:val="22"/>
          <w:highlight w:val="none"/>
        </w:rPr>
        <w:t>25.2 中标通知书是合同文件的组成部分。</w:t>
      </w:r>
      <w:bookmarkEnd w:id="53"/>
      <w:bookmarkStart w:id="54" w:name="_Toc298415882"/>
      <w:bookmarkStart w:id="55" w:name="_Toc29350079"/>
      <w:bookmarkStart w:id="56" w:name="_Toc246470950"/>
    </w:p>
    <w:p w14:paraId="24953AAF">
      <w:pPr>
        <w:keepNext w:val="0"/>
        <w:keepLines w:val="0"/>
        <w:pageBreakBefore w:val="0"/>
        <w:widowControl w:val="0"/>
        <w:tabs>
          <w:tab w:val="left" w:pos="1260"/>
        </w:tabs>
        <w:kinsoku/>
        <w:wordWrap/>
        <w:overflowPunct/>
        <w:topLinePunct/>
        <w:autoSpaceDE/>
        <w:autoSpaceDN/>
        <w:bidi w:val="0"/>
        <w:adjustRightInd/>
        <w:snapToGrid/>
        <w:spacing w:line="360" w:lineRule="auto"/>
        <w:ind w:left="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26  合同协议书的签署</w:t>
      </w:r>
      <w:bookmarkEnd w:id="54"/>
      <w:bookmarkEnd w:id="55"/>
      <w:bookmarkEnd w:id="56"/>
    </w:p>
    <w:p w14:paraId="7849E74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57" w:name="_Toc298415883"/>
      <w:r>
        <w:rPr>
          <w:rFonts w:hint="eastAsia" w:ascii="宋体" w:hAnsi="宋体" w:eastAsia="宋体" w:cs="宋体"/>
          <w:snapToGrid w:val="0"/>
          <w:color w:val="auto"/>
          <w:kern w:val="0"/>
          <w:sz w:val="22"/>
          <w:szCs w:val="22"/>
          <w:highlight w:val="none"/>
        </w:rPr>
        <w:t>26.1</w:t>
      </w:r>
      <w:bookmarkEnd w:id="57"/>
      <w:r>
        <w:rPr>
          <w:rFonts w:hint="eastAsia" w:ascii="宋体" w:hAnsi="宋体" w:eastAsia="宋体" w:cs="宋体"/>
          <w:snapToGrid w:val="0"/>
          <w:color w:val="auto"/>
          <w:kern w:val="0"/>
          <w:sz w:val="22"/>
          <w:szCs w:val="22"/>
          <w:highlight w:val="none"/>
        </w:rPr>
        <w:t xml:space="preserve"> 中标人在中标通知书发出之日起30日内</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应派代表与招标人协商签订合同事宜。签约的地点将在中标通知书中明确。</w:t>
      </w:r>
      <w:bookmarkStart w:id="58" w:name="_Toc298415884"/>
    </w:p>
    <w:p w14:paraId="22C53C9F">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2" w:firstLineChars="200"/>
        <w:rPr>
          <w:rFonts w:hint="eastAsia" w:ascii="宋体" w:hAnsi="宋体" w:eastAsia="宋体" w:cs="宋体"/>
          <w:b/>
          <w:bCs/>
          <w:snapToGrid w:val="0"/>
          <w:color w:val="auto"/>
          <w:kern w:val="0"/>
          <w:sz w:val="22"/>
          <w:szCs w:val="22"/>
          <w:highlight w:val="none"/>
        </w:rPr>
      </w:pPr>
      <w:r>
        <w:rPr>
          <w:rFonts w:hint="eastAsia" w:ascii="宋体" w:hAnsi="宋体" w:eastAsia="宋体" w:cs="宋体"/>
          <w:b/>
          <w:bCs/>
          <w:snapToGrid w:val="0"/>
          <w:color w:val="auto"/>
          <w:kern w:val="0"/>
          <w:sz w:val="22"/>
          <w:szCs w:val="22"/>
          <w:highlight w:val="none"/>
        </w:rPr>
        <w:t>26.2 履约担保</w:t>
      </w:r>
    </w:p>
    <w:p w14:paraId="28B1A047">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 w:val="0"/>
          <w:bCs w:val="0"/>
          <w:snapToGrid w:val="0"/>
          <w:color w:val="auto"/>
          <w:kern w:val="0"/>
          <w:sz w:val="22"/>
          <w:szCs w:val="22"/>
          <w:highlight w:val="none"/>
          <w:lang w:eastAsia="zh-CN"/>
        </w:rPr>
      </w:pPr>
      <w:r>
        <w:rPr>
          <w:rFonts w:hint="eastAsia" w:ascii="宋体" w:hAnsi="宋体" w:eastAsia="宋体" w:cs="宋体"/>
          <w:b w:val="0"/>
          <w:bCs w:val="0"/>
          <w:snapToGrid w:val="0"/>
          <w:color w:val="auto"/>
          <w:kern w:val="0"/>
          <w:sz w:val="22"/>
          <w:szCs w:val="22"/>
          <w:highlight w:val="none"/>
        </w:rPr>
        <w:t>履约担保</w:t>
      </w:r>
      <w:r>
        <w:rPr>
          <w:rFonts w:hint="eastAsia" w:ascii="宋体" w:hAnsi="宋体" w:eastAsia="宋体" w:cs="宋体"/>
          <w:b w:val="0"/>
          <w:bCs w:val="0"/>
          <w:snapToGrid w:val="0"/>
          <w:color w:val="auto"/>
          <w:kern w:val="0"/>
          <w:sz w:val="22"/>
          <w:szCs w:val="22"/>
          <w:highlight w:val="none"/>
          <w:lang w:eastAsia="zh-CN"/>
        </w:rPr>
        <w:t>：签约合同价的5%。</w:t>
      </w:r>
    </w:p>
    <w:p w14:paraId="066377C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b w:val="0"/>
          <w:bCs w:val="0"/>
          <w:snapToGrid w:val="0"/>
          <w:color w:val="auto"/>
          <w:kern w:val="0"/>
          <w:sz w:val="22"/>
          <w:szCs w:val="22"/>
          <w:highlight w:val="none"/>
          <w:lang w:eastAsia="zh-CN"/>
        </w:rPr>
      </w:pPr>
      <w:r>
        <w:rPr>
          <w:rFonts w:hint="eastAsia" w:ascii="宋体" w:hAnsi="宋体" w:eastAsia="宋体" w:cs="宋体"/>
          <w:b w:val="0"/>
          <w:bCs w:val="0"/>
          <w:snapToGrid w:val="0"/>
          <w:color w:val="auto"/>
          <w:kern w:val="0"/>
          <w:sz w:val="22"/>
          <w:szCs w:val="22"/>
          <w:highlight w:val="none"/>
          <w:lang w:eastAsia="zh-CN"/>
        </w:rPr>
        <w:t>履约担保的形式：形式不限。</w:t>
      </w:r>
    </w:p>
    <w:p w14:paraId="1FAA8BB6">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default" w:ascii="宋体" w:hAnsi="宋体" w:eastAsia="宋体" w:cs="宋体"/>
          <w:b w:val="0"/>
          <w:bCs w:val="0"/>
          <w:snapToGrid w:val="0"/>
          <w:color w:val="auto"/>
          <w:kern w:val="0"/>
          <w:sz w:val="22"/>
          <w:szCs w:val="22"/>
          <w:highlight w:val="none"/>
          <w:lang w:val="en-US" w:eastAsia="zh-CN"/>
        </w:rPr>
      </w:pPr>
      <w:r>
        <w:rPr>
          <w:rFonts w:hint="eastAsia" w:ascii="宋体" w:hAnsi="宋体" w:eastAsia="宋体" w:cs="宋体"/>
          <w:b w:val="0"/>
          <w:bCs w:val="0"/>
          <w:snapToGrid w:val="0"/>
          <w:color w:val="auto"/>
          <w:kern w:val="0"/>
          <w:sz w:val="22"/>
          <w:szCs w:val="22"/>
          <w:highlight w:val="none"/>
          <w:lang w:eastAsia="zh-CN"/>
        </w:rPr>
        <w:t>采用银行保函时，出具履约担保的银行级别：国有商业银行、股份制商业银行的支行及其以上级别。为获得此履约担保所需费用由中标人自行承担。</w:t>
      </w:r>
    </w:p>
    <w:p w14:paraId="24D94952">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26.3 合同协议书经双方法定代表人或其授权代理人签署、加盖公章后生效。</w:t>
      </w:r>
      <w:bookmarkEnd w:id="58"/>
    </w:p>
    <w:p w14:paraId="1D23E474">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59" w:name="_Toc298415885"/>
      <w:r>
        <w:rPr>
          <w:rFonts w:hint="eastAsia" w:ascii="宋体" w:hAnsi="宋体" w:eastAsia="宋体" w:cs="宋体"/>
          <w:snapToGrid w:val="0"/>
          <w:color w:val="auto"/>
          <w:kern w:val="0"/>
          <w:sz w:val="22"/>
          <w:szCs w:val="22"/>
          <w:highlight w:val="none"/>
        </w:rPr>
        <w:t>26.4 如果中标人未能遵守本须知第26.1款的规定</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招标人将宣布其中标无效。在此情况下</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招标人可将合同授予下一个中标候选人。如果没有其他合适投标人时</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则重新招标。</w:t>
      </w:r>
      <w:bookmarkEnd w:id="59"/>
    </w:p>
    <w:p w14:paraId="348EFF70">
      <w:pPr>
        <w:keepNext w:val="0"/>
        <w:keepLines w:val="0"/>
        <w:pageBreakBefore w:val="0"/>
        <w:widowControl w:val="0"/>
        <w:kinsoku/>
        <w:wordWrap/>
        <w:overflowPunct/>
        <w:topLinePunct/>
        <w:autoSpaceDE/>
        <w:autoSpaceDN/>
        <w:bidi w:val="0"/>
        <w:adjustRightInd/>
        <w:snapToGrid/>
        <w:spacing w:line="360" w:lineRule="auto"/>
        <w:ind w:left="0"/>
        <w:jc w:val="center"/>
        <w:rPr>
          <w:rFonts w:hint="eastAsia" w:ascii="宋体" w:hAnsi="宋体" w:eastAsia="宋体" w:cs="宋体"/>
          <w:snapToGrid w:val="0"/>
          <w:color w:val="auto"/>
          <w:sz w:val="22"/>
          <w:szCs w:val="22"/>
          <w:highlight w:val="none"/>
        </w:rPr>
      </w:pPr>
      <w:bookmarkStart w:id="60" w:name="_Toc44814586"/>
      <w:r>
        <w:rPr>
          <w:rFonts w:hint="eastAsia" w:ascii="宋体" w:hAnsi="宋体" w:eastAsia="宋体" w:cs="宋体"/>
          <w:b/>
          <w:color w:val="auto"/>
          <w:sz w:val="22"/>
          <w:szCs w:val="22"/>
          <w:highlight w:val="none"/>
        </w:rPr>
        <w:t>七</w:t>
      </w:r>
      <w:bookmarkEnd w:id="60"/>
      <w:r>
        <w:rPr>
          <w:rFonts w:hint="eastAsia" w:ascii="宋体" w:hAnsi="宋体" w:eastAsia="宋体" w:cs="宋体"/>
          <w:b/>
          <w:color w:val="auto"/>
          <w:sz w:val="22"/>
          <w:szCs w:val="22"/>
          <w:highlight w:val="none"/>
        </w:rPr>
        <w:t>、其他</w:t>
      </w:r>
    </w:p>
    <w:p w14:paraId="5F34906F">
      <w:pPr>
        <w:keepNext w:val="0"/>
        <w:keepLines w:val="0"/>
        <w:pageBreakBefore w:val="0"/>
        <w:widowControl w:val="0"/>
        <w:tabs>
          <w:tab w:val="left" w:pos="1260"/>
        </w:tabs>
        <w:kinsoku/>
        <w:wordWrap/>
        <w:overflowPunct/>
        <w:topLinePunct/>
        <w:autoSpaceDE/>
        <w:autoSpaceDN/>
        <w:bidi w:val="0"/>
        <w:adjustRightInd/>
        <w:snapToGrid/>
        <w:spacing w:line="360" w:lineRule="auto"/>
        <w:ind w:left="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27  纪律与监督</w:t>
      </w:r>
    </w:p>
    <w:p w14:paraId="43F0055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27.1 严禁投标人向参与招标、评标工作的有关人员行贿</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使其泄露一切与招标、评标工作的有关信息。在招标、评标期间</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不得邀请参与招标、评标工作的有关人员到投标人单位参观考察或出席投标人主办的或赞助的任何活动。</w:t>
      </w:r>
    </w:p>
    <w:p w14:paraId="5812A760">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27.2 投标人在投标过程中严禁互相串通、结盟</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损害招标的公正性和竞争性</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或以任何方式影响其他投标人参与正当投标。</w:t>
      </w:r>
    </w:p>
    <w:p w14:paraId="32A57F0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rPr>
        <w:t>27.3 如发现投标人有上述不正当竞争行为</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将取消其投标资格或中标资格。</w:t>
      </w:r>
    </w:p>
    <w:p w14:paraId="23D64F1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bookmarkStart w:id="61" w:name="_Toc298415890"/>
      <w:r>
        <w:rPr>
          <w:rFonts w:hint="eastAsia" w:ascii="宋体" w:hAnsi="宋体" w:eastAsia="宋体" w:cs="宋体"/>
          <w:snapToGrid w:val="0"/>
          <w:color w:val="auto"/>
          <w:kern w:val="0"/>
          <w:sz w:val="22"/>
          <w:szCs w:val="22"/>
          <w:highlight w:val="none"/>
        </w:rPr>
        <w:t>27.4 本项目监督部门：</w:t>
      </w:r>
      <w:bookmarkEnd w:id="61"/>
    </w:p>
    <w:p w14:paraId="14C9C14A">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lang w:val="en-US" w:eastAsia="zh-CN"/>
        </w:rPr>
      </w:pPr>
      <w:bookmarkStart w:id="62" w:name="_Toc298415898"/>
      <w:bookmarkStart w:id="63" w:name="_Toc246470953"/>
      <w:bookmarkStart w:id="64" w:name="_Toc29350082"/>
      <w:r>
        <w:rPr>
          <w:rFonts w:hint="eastAsia" w:ascii="宋体" w:hAnsi="宋体" w:eastAsia="宋体" w:cs="宋体"/>
          <w:snapToGrid w:val="0"/>
          <w:color w:val="auto"/>
          <w:kern w:val="0"/>
          <w:sz w:val="22"/>
          <w:szCs w:val="22"/>
          <w:highlight w:val="none"/>
          <w:lang w:val="en-US" w:eastAsia="zh-CN"/>
        </w:rPr>
        <w:t>监  督：南通市江海河联运项目建设指挥部党建纪检办</w:t>
      </w:r>
    </w:p>
    <w:p w14:paraId="01C5B2A3">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lang w:val="en-US" w:eastAsia="zh-CN"/>
        </w:rPr>
      </w:pPr>
      <w:r>
        <w:rPr>
          <w:rFonts w:hint="eastAsia" w:ascii="宋体" w:hAnsi="宋体" w:eastAsia="宋体" w:cs="宋体"/>
          <w:snapToGrid w:val="0"/>
          <w:color w:val="auto"/>
          <w:kern w:val="0"/>
          <w:sz w:val="22"/>
          <w:szCs w:val="22"/>
          <w:highlight w:val="none"/>
          <w:lang w:val="en-US" w:eastAsia="zh-CN"/>
        </w:rPr>
        <w:t>地  址：南通市外环西路99号</w:t>
      </w:r>
    </w:p>
    <w:p w14:paraId="3CBD7155">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rFonts w:hint="eastAsia" w:ascii="宋体" w:hAnsi="宋体" w:eastAsia="宋体" w:cs="宋体"/>
          <w:snapToGrid w:val="0"/>
          <w:color w:val="auto"/>
          <w:kern w:val="0"/>
          <w:sz w:val="22"/>
          <w:szCs w:val="22"/>
          <w:highlight w:val="none"/>
        </w:rPr>
      </w:pPr>
      <w:r>
        <w:rPr>
          <w:rFonts w:hint="eastAsia" w:ascii="宋体" w:hAnsi="宋体" w:eastAsia="宋体" w:cs="宋体"/>
          <w:snapToGrid w:val="0"/>
          <w:color w:val="auto"/>
          <w:kern w:val="0"/>
          <w:sz w:val="22"/>
          <w:szCs w:val="22"/>
          <w:highlight w:val="none"/>
          <w:lang w:val="en-US" w:eastAsia="zh-CN"/>
        </w:rPr>
        <w:t>电  话：0513-83549393</w:t>
      </w:r>
    </w:p>
    <w:p w14:paraId="1270259B">
      <w:pPr>
        <w:keepNext w:val="0"/>
        <w:keepLines w:val="0"/>
        <w:pageBreakBefore w:val="0"/>
        <w:widowControl w:val="0"/>
        <w:tabs>
          <w:tab w:val="left" w:pos="1260"/>
        </w:tabs>
        <w:kinsoku/>
        <w:wordWrap/>
        <w:overflowPunct/>
        <w:topLinePunct/>
        <w:autoSpaceDE/>
        <w:autoSpaceDN/>
        <w:bidi w:val="0"/>
        <w:adjustRightInd/>
        <w:snapToGrid/>
        <w:spacing w:line="360" w:lineRule="auto"/>
        <w:ind w:left="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28  版权</w:t>
      </w:r>
      <w:bookmarkEnd w:id="62"/>
      <w:bookmarkEnd w:id="63"/>
      <w:bookmarkEnd w:id="64"/>
    </w:p>
    <w:p w14:paraId="0D8E1B01">
      <w:pPr>
        <w:pStyle w:val="94"/>
        <w:keepNext w:val="0"/>
        <w:keepLines w:val="0"/>
        <w:pageBreakBefore w:val="0"/>
        <w:widowControl w:val="0"/>
        <w:tabs>
          <w:tab w:val="left" w:pos="540"/>
        </w:tabs>
        <w:kinsoku/>
        <w:wordWrap/>
        <w:overflowPunct/>
        <w:topLinePunct/>
        <w:autoSpaceDE/>
        <w:autoSpaceDN/>
        <w:bidi w:val="0"/>
        <w:adjustRightInd/>
        <w:snapToGrid/>
        <w:spacing w:line="360" w:lineRule="auto"/>
        <w:ind w:left="0" w:firstLine="440" w:firstLineChars="200"/>
        <w:rPr>
          <w:snapToGrid w:val="0"/>
          <w:color w:val="auto"/>
          <w:kern w:val="0"/>
          <w:sz w:val="21"/>
          <w:szCs w:val="21"/>
          <w:highlight w:val="none"/>
        </w:rPr>
      </w:pPr>
      <w:bookmarkStart w:id="65" w:name="_Toc298415899"/>
      <w:r>
        <w:rPr>
          <w:rFonts w:hint="eastAsia" w:ascii="宋体" w:hAnsi="宋体" w:eastAsia="宋体" w:cs="宋体"/>
          <w:snapToGrid w:val="0"/>
          <w:color w:val="auto"/>
          <w:kern w:val="0"/>
          <w:sz w:val="22"/>
          <w:szCs w:val="22"/>
          <w:highlight w:val="none"/>
        </w:rPr>
        <w:t>28.1 招标人对所提供的资料及本工程的科研成果拥有版权</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未经招标人许可</w:t>
      </w:r>
      <w:r>
        <w:rPr>
          <w:rFonts w:hint="eastAsia" w:cs="宋体"/>
          <w:snapToGrid w:val="0"/>
          <w:color w:val="auto"/>
          <w:kern w:val="0"/>
          <w:sz w:val="22"/>
          <w:szCs w:val="22"/>
          <w:highlight w:val="none"/>
          <w:lang w:eastAsia="zh-CN"/>
        </w:rPr>
        <w:t>，</w:t>
      </w:r>
      <w:r>
        <w:rPr>
          <w:rFonts w:hint="eastAsia" w:ascii="宋体" w:hAnsi="宋体" w:eastAsia="宋体" w:cs="宋体"/>
          <w:snapToGrid w:val="0"/>
          <w:color w:val="auto"/>
          <w:kern w:val="0"/>
          <w:sz w:val="22"/>
          <w:szCs w:val="22"/>
          <w:highlight w:val="none"/>
        </w:rPr>
        <w:t>投标人不得复制或出版。</w:t>
      </w:r>
      <w:bookmarkEnd w:id="65"/>
      <w:r>
        <w:rPr>
          <w:rFonts w:hint="eastAsia"/>
          <w:snapToGrid w:val="0"/>
          <w:color w:val="auto"/>
          <w:kern w:val="0"/>
          <w:sz w:val="21"/>
          <w:szCs w:val="21"/>
          <w:highlight w:val="none"/>
        </w:rPr>
        <w:t xml:space="preserve">  </w:t>
      </w:r>
    </w:p>
    <w:p w14:paraId="610E538C">
      <w:pPr>
        <w:pStyle w:val="28"/>
        <w:spacing w:before="120" w:beforeLines="50" w:after="0" w:line="360" w:lineRule="auto"/>
        <w:rPr>
          <w:color w:val="auto"/>
          <w:sz w:val="32"/>
          <w:szCs w:val="22"/>
          <w:highlight w:val="none"/>
        </w:rPr>
      </w:pPr>
      <w:bookmarkStart w:id="66" w:name="_Toc353197095"/>
      <w:bookmarkStart w:id="67" w:name="_Toc33625855"/>
      <w:bookmarkStart w:id="68" w:name="_Toc428299627"/>
      <w:r>
        <w:rPr>
          <w:rFonts w:hint="eastAsia" w:cs="Arial"/>
          <w:color w:val="auto"/>
          <w:sz w:val="32"/>
          <w:szCs w:val="22"/>
          <w:highlight w:val="none"/>
        </w:rPr>
        <w:br w:type="page"/>
      </w:r>
      <w:r>
        <w:rPr>
          <w:rFonts w:hint="eastAsia" w:cs="Arial"/>
          <w:color w:val="auto"/>
          <w:sz w:val="32"/>
          <w:szCs w:val="22"/>
          <w:highlight w:val="none"/>
        </w:rPr>
        <w:t>第三章</w:t>
      </w:r>
      <w:r>
        <w:rPr>
          <w:rFonts w:hint="eastAsia" w:cs="Arial"/>
          <w:color w:val="auto"/>
          <w:sz w:val="32"/>
          <w:szCs w:val="22"/>
          <w:highlight w:val="none"/>
          <w:lang w:val="en-US" w:eastAsia="zh-CN"/>
        </w:rPr>
        <w:t xml:space="preserve"> </w:t>
      </w:r>
      <w:r>
        <w:rPr>
          <w:rFonts w:hint="eastAsia" w:cs="Arial"/>
          <w:color w:val="auto"/>
          <w:sz w:val="32"/>
          <w:szCs w:val="22"/>
          <w:highlight w:val="none"/>
        </w:rPr>
        <w:t>评标办法</w:t>
      </w:r>
      <w:bookmarkEnd w:id="66"/>
      <w:bookmarkEnd w:id="67"/>
      <w:bookmarkEnd w:id="68"/>
      <w:r>
        <w:rPr>
          <w:rFonts w:hint="eastAsia" w:cs="Arial"/>
          <w:color w:val="auto"/>
          <w:sz w:val="32"/>
          <w:szCs w:val="22"/>
          <w:highlight w:val="none"/>
        </w:rPr>
        <w:t>（双信封 综合评估法）</w:t>
      </w:r>
    </w:p>
    <w:p w14:paraId="4BC36E7E">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评标办法前附表</w:t>
      </w:r>
    </w:p>
    <w:tbl>
      <w:tblPr>
        <w:tblStyle w:val="30"/>
        <w:tblW w:w="950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986"/>
        <w:gridCol w:w="1278"/>
        <w:gridCol w:w="7241"/>
      </w:tblGrid>
      <w:tr w14:paraId="1C73CBD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986" w:type="dxa"/>
            <w:noWrap w:val="0"/>
            <w:vAlign w:val="center"/>
          </w:tcPr>
          <w:p w14:paraId="1B9D05F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条款号</w:t>
            </w:r>
          </w:p>
        </w:tc>
        <w:tc>
          <w:tcPr>
            <w:tcW w:w="1278" w:type="dxa"/>
            <w:noWrap w:val="0"/>
            <w:vAlign w:val="center"/>
          </w:tcPr>
          <w:p w14:paraId="33DDB03E">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条款名称</w:t>
            </w:r>
          </w:p>
        </w:tc>
        <w:tc>
          <w:tcPr>
            <w:tcW w:w="7241" w:type="dxa"/>
            <w:noWrap w:val="0"/>
            <w:vAlign w:val="center"/>
          </w:tcPr>
          <w:p w14:paraId="6AA8C592">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评审因素与评审标准</w:t>
            </w:r>
          </w:p>
        </w:tc>
      </w:tr>
      <w:tr w14:paraId="3DF14A7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986" w:type="dxa"/>
            <w:noWrap w:val="0"/>
            <w:vAlign w:val="center"/>
          </w:tcPr>
          <w:p w14:paraId="45D8FF9E">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2.2</w:t>
            </w:r>
          </w:p>
        </w:tc>
        <w:tc>
          <w:tcPr>
            <w:tcW w:w="1278" w:type="dxa"/>
            <w:noWrap w:val="0"/>
            <w:vAlign w:val="center"/>
          </w:tcPr>
          <w:p w14:paraId="4307469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第一信封</w:t>
            </w:r>
          </w:p>
          <w:p w14:paraId="5956D6B3">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资格审查</w:t>
            </w:r>
          </w:p>
        </w:tc>
        <w:tc>
          <w:tcPr>
            <w:tcW w:w="7241" w:type="dxa"/>
            <w:noWrap w:val="0"/>
            <w:vAlign w:val="center"/>
          </w:tcPr>
          <w:p w14:paraId="2EE808FE">
            <w:pPr>
              <w:keepNext w:val="0"/>
              <w:keepLines w:val="0"/>
              <w:pageBreakBefore w:val="0"/>
              <w:tabs>
                <w:tab w:val="left" w:pos="0"/>
              </w:tabs>
              <w:kinsoku/>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（1）资质</w:t>
            </w:r>
            <w:r>
              <w:rPr>
                <w:rFonts w:hint="eastAsia" w:ascii="宋体" w:hAnsi="宋体" w:eastAsia="宋体" w:cs="宋体"/>
                <w:b/>
                <w:color w:val="auto"/>
                <w:sz w:val="22"/>
                <w:szCs w:val="22"/>
                <w:highlight w:val="none"/>
                <w:lang w:val="en-US" w:eastAsia="zh-CN"/>
              </w:rPr>
              <w:t>要求</w:t>
            </w:r>
            <w:r>
              <w:rPr>
                <w:rFonts w:hint="eastAsia" w:ascii="宋体" w:hAnsi="宋体" w:eastAsia="宋体" w:cs="宋体"/>
                <w:b/>
                <w:color w:val="auto"/>
                <w:sz w:val="22"/>
                <w:szCs w:val="22"/>
                <w:highlight w:val="none"/>
              </w:rPr>
              <w:t>：详见</w:t>
            </w:r>
            <w:r>
              <w:rPr>
                <w:rFonts w:hint="eastAsia" w:ascii="宋体" w:hAnsi="宋体" w:eastAsia="宋体" w:cs="宋体"/>
                <w:b/>
                <w:color w:val="auto"/>
                <w:sz w:val="22"/>
                <w:szCs w:val="22"/>
                <w:highlight w:val="none"/>
                <w:lang w:val="en-US" w:eastAsia="zh-CN"/>
              </w:rPr>
              <w:t xml:space="preserve">第一章 </w:t>
            </w:r>
            <w:r>
              <w:rPr>
                <w:rFonts w:hint="eastAsia" w:ascii="宋体" w:hAnsi="宋体" w:eastAsia="宋体" w:cs="宋体"/>
                <w:b/>
                <w:color w:val="auto"/>
                <w:sz w:val="22"/>
                <w:szCs w:val="22"/>
                <w:highlight w:val="none"/>
              </w:rPr>
              <w:t>招标公告。</w:t>
            </w:r>
          </w:p>
          <w:p w14:paraId="77B741E7">
            <w:pPr>
              <w:keepNext w:val="0"/>
              <w:keepLines w:val="0"/>
              <w:pageBreakBefore w:val="0"/>
              <w:tabs>
                <w:tab w:val="left" w:pos="0"/>
              </w:tabs>
              <w:kinsoku/>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（2）信誉</w:t>
            </w:r>
            <w:r>
              <w:rPr>
                <w:rFonts w:hint="eastAsia" w:ascii="宋体" w:hAnsi="宋体" w:eastAsia="宋体" w:cs="宋体"/>
                <w:b/>
                <w:color w:val="auto"/>
                <w:sz w:val="22"/>
                <w:szCs w:val="22"/>
                <w:highlight w:val="none"/>
                <w:lang w:val="en-US" w:eastAsia="zh-CN"/>
              </w:rPr>
              <w:t>要求</w:t>
            </w:r>
            <w:r>
              <w:rPr>
                <w:rFonts w:hint="eastAsia" w:ascii="宋体" w:hAnsi="宋体" w:eastAsia="宋体" w:cs="宋体"/>
                <w:b/>
                <w:color w:val="auto"/>
                <w:sz w:val="22"/>
                <w:szCs w:val="22"/>
                <w:highlight w:val="none"/>
              </w:rPr>
              <w:t>：详见</w:t>
            </w:r>
            <w:r>
              <w:rPr>
                <w:rFonts w:hint="eastAsia" w:ascii="宋体" w:hAnsi="宋体" w:eastAsia="宋体" w:cs="宋体"/>
                <w:b/>
                <w:color w:val="auto"/>
                <w:sz w:val="22"/>
                <w:szCs w:val="22"/>
                <w:highlight w:val="none"/>
                <w:lang w:val="en-US" w:eastAsia="zh-CN"/>
              </w:rPr>
              <w:t xml:space="preserve">第一章 </w:t>
            </w:r>
            <w:r>
              <w:rPr>
                <w:rFonts w:hint="eastAsia" w:ascii="宋体" w:hAnsi="宋体" w:eastAsia="宋体" w:cs="宋体"/>
                <w:b/>
                <w:color w:val="auto"/>
                <w:sz w:val="22"/>
                <w:szCs w:val="22"/>
                <w:highlight w:val="none"/>
              </w:rPr>
              <w:t>招标公告。</w:t>
            </w:r>
          </w:p>
          <w:p w14:paraId="61EE0603">
            <w:pPr>
              <w:keepNext w:val="0"/>
              <w:keepLines w:val="0"/>
              <w:pageBreakBefore w:val="0"/>
              <w:tabs>
                <w:tab w:val="left" w:pos="0"/>
              </w:tabs>
              <w:kinsoku/>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（3）业绩</w:t>
            </w:r>
            <w:r>
              <w:rPr>
                <w:rFonts w:hint="eastAsia" w:ascii="宋体" w:hAnsi="宋体" w:eastAsia="宋体" w:cs="宋体"/>
                <w:b/>
                <w:color w:val="auto"/>
                <w:sz w:val="22"/>
                <w:szCs w:val="22"/>
                <w:highlight w:val="none"/>
                <w:lang w:val="en-US" w:eastAsia="zh-CN"/>
              </w:rPr>
              <w:t>要求</w:t>
            </w:r>
            <w:r>
              <w:rPr>
                <w:rFonts w:hint="eastAsia" w:ascii="宋体" w:hAnsi="宋体" w:eastAsia="宋体" w:cs="宋体"/>
                <w:b/>
                <w:color w:val="auto"/>
                <w:sz w:val="22"/>
                <w:szCs w:val="22"/>
                <w:highlight w:val="none"/>
              </w:rPr>
              <w:t>：详见</w:t>
            </w:r>
            <w:r>
              <w:rPr>
                <w:rFonts w:hint="eastAsia" w:ascii="宋体" w:hAnsi="宋体" w:eastAsia="宋体" w:cs="宋体"/>
                <w:b/>
                <w:color w:val="auto"/>
                <w:sz w:val="22"/>
                <w:szCs w:val="22"/>
                <w:highlight w:val="none"/>
                <w:lang w:val="en-US" w:eastAsia="zh-CN"/>
              </w:rPr>
              <w:t xml:space="preserve">第一章 </w:t>
            </w:r>
            <w:r>
              <w:rPr>
                <w:rFonts w:hint="eastAsia" w:ascii="宋体" w:hAnsi="宋体" w:eastAsia="宋体" w:cs="宋体"/>
                <w:b/>
                <w:color w:val="auto"/>
                <w:sz w:val="22"/>
                <w:szCs w:val="22"/>
                <w:highlight w:val="none"/>
              </w:rPr>
              <w:t>招标公告。</w:t>
            </w:r>
          </w:p>
          <w:p w14:paraId="1C4D6424">
            <w:pPr>
              <w:keepNext w:val="0"/>
              <w:keepLines w:val="0"/>
              <w:pageBreakBefore w:val="0"/>
              <w:tabs>
                <w:tab w:val="left" w:pos="0"/>
              </w:tabs>
              <w:kinsoku/>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cs="宋体"/>
                <w:b/>
                <w:color w:val="auto"/>
                <w:sz w:val="22"/>
                <w:szCs w:val="22"/>
                <w:highlight w:val="none"/>
                <w:lang w:val="en-US" w:eastAsia="zh-CN"/>
              </w:rPr>
              <w:t>4</w:t>
            </w: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其他要求：</w:t>
            </w:r>
            <w:r>
              <w:rPr>
                <w:rFonts w:hint="eastAsia" w:ascii="宋体" w:hAnsi="宋体" w:eastAsia="宋体" w:cs="宋体"/>
                <w:b/>
                <w:color w:val="auto"/>
                <w:sz w:val="22"/>
                <w:szCs w:val="22"/>
                <w:highlight w:val="none"/>
              </w:rPr>
              <w:t>详见</w:t>
            </w:r>
            <w:r>
              <w:rPr>
                <w:rFonts w:hint="eastAsia" w:ascii="宋体" w:hAnsi="宋体" w:eastAsia="宋体" w:cs="宋体"/>
                <w:b/>
                <w:color w:val="auto"/>
                <w:sz w:val="22"/>
                <w:szCs w:val="22"/>
                <w:highlight w:val="none"/>
                <w:lang w:val="en-US" w:eastAsia="zh-CN"/>
              </w:rPr>
              <w:t xml:space="preserve">第一章 </w:t>
            </w:r>
            <w:r>
              <w:rPr>
                <w:rFonts w:hint="eastAsia" w:ascii="宋体" w:hAnsi="宋体" w:eastAsia="宋体" w:cs="宋体"/>
                <w:b/>
                <w:color w:val="auto"/>
                <w:sz w:val="22"/>
                <w:szCs w:val="22"/>
                <w:highlight w:val="none"/>
              </w:rPr>
              <w:t>招标公告。</w:t>
            </w:r>
          </w:p>
        </w:tc>
      </w:tr>
      <w:tr w14:paraId="49B0B18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986" w:type="dxa"/>
            <w:noWrap w:val="0"/>
            <w:vAlign w:val="center"/>
          </w:tcPr>
          <w:p w14:paraId="74B0D082">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2.3</w:t>
            </w:r>
          </w:p>
        </w:tc>
        <w:tc>
          <w:tcPr>
            <w:tcW w:w="1278" w:type="dxa"/>
            <w:noWrap w:val="0"/>
            <w:vAlign w:val="center"/>
          </w:tcPr>
          <w:p w14:paraId="79D71144">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第一信封</w:t>
            </w:r>
          </w:p>
          <w:p w14:paraId="798926A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形式与响应性评审</w:t>
            </w:r>
          </w:p>
        </w:tc>
        <w:tc>
          <w:tcPr>
            <w:tcW w:w="7241" w:type="dxa"/>
            <w:noWrap w:val="0"/>
            <w:vAlign w:val="center"/>
          </w:tcPr>
          <w:p w14:paraId="019C5A25">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（1）投标文件中</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法定代表人或其授权代理人签字以及盖单位公章齐全。</w:t>
            </w:r>
          </w:p>
          <w:p w14:paraId="0FCD0FF9">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（2）按招标文件规定格式</w:t>
            </w:r>
            <w:r>
              <w:rPr>
                <w:rFonts w:hint="eastAsia" w:ascii="宋体" w:hAnsi="宋体" w:cs="宋体"/>
                <w:b/>
                <w:color w:val="auto"/>
                <w:sz w:val="22"/>
                <w:szCs w:val="22"/>
                <w:highlight w:val="none"/>
                <w:lang w:val="en-US" w:eastAsia="zh-CN"/>
              </w:rPr>
              <w:t>要求</w:t>
            </w:r>
            <w:r>
              <w:rPr>
                <w:rFonts w:hint="eastAsia" w:ascii="宋体" w:hAnsi="宋体" w:eastAsia="宋体" w:cs="宋体"/>
                <w:b/>
                <w:color w:val="auto"/>
                <w:sz w:val="22"/>
                <w:szCs w:val="22"/>
                <w:highlight w:val="none"/>
              </w:rPr>
              <w:t>编制投标文件</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内容齐全</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字迹清晰可辨。</w:t>
            </w:r>
          </w:p>
          <w:p w14:paraId="4B2236A1">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（3）如投标文件法定代表人亲自签署</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提供了法定代表人身份证明。</w:t>
            </w:r>
          </w:p>
          <w:p w14:paraId="6400A14E">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（4）如投标文件非法定代表人签署</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提供了法定代表人身份证明</w:t>
            </w:r>
            <w:r>
              <w:rPr>
                <w:rFonts w:hint="eastAsia" w:ascii="宋体" w:hAnsi="宋体" w:cs="宋体"/>
                <w:b/>
                <w:color w:val="auto"/>
                <w:sz w:val="22"/>
                <w:szCs w:val="22"/>
                <w:highlight w:val="none"/>
                <w:lang w:val="en-US" w:eastAsia="zh-CN"/>
              </w:rPr>
              <w:t>和</w:t>
            </w:r>
            <w:r>
              <w:rPr>
                <w:rFonts w:hint="eastAsia" w:ascii="宋体" w:hAnsi="宋体" w:eastAsia="宋体" w:cs="宋体"/>
                <w:b/>
                <w:color w:val="auto"/>
                <w:sz w:val="22"/>
                <w:szCs w:val="22"/>
                <w:highlight w:val="none"/>
              </w:rPr>
              <w:t>授权委托书</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并符合下列要求：授权人和被授权人均在授权书上签字</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可使用印章或签名章</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不得使用其他电子制版签名代替。</w:t>
            </w:r>
          </w:p>
          <w:p w14:paraId="6EB4AA49">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5</w:t>
            </w:r>
            <w:r>
              <w:rPr>
                <w:rFonts w:hint="eastAsia" w:ascii="宋体" w:hAnsi="宋体" w:eastAsia="宋体" w:cs="宋体"/>
                <w:b/>
                <w:color w:val="auto"/>
                <w:sz w:val="22"/>
                <w:szCs w:val="22"/>
                <w:highlight w:val="none"/>
              </w:rPr>
              <w:t>）同一投标人未提交两个以上不同的投标</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但招标文件要求提交备选投标的除外。</w:t>
            </w:r>
          </w:p>
          <w:p w14:paraId="7FC37DC2">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6</w:t>
            </w:r>
            <w:r>
              <w:rPr>
                <w:rFonts w:hint="eastAsia" w:ascii="宋体" w:hAnsi="宋体" w:eastAsia="宋体" w:cs="宋体"/>
                <w:b/>
                <w:color w:val="auto"/>
                <w:sz w:val="22"/>
                <w:szCs w:val="22"/>
                <w:highlight w:val="none"/>
              </w:rPr>
              <w:t>）投标文件中未出现有关投标报价的内容。</w:t>
            </w:r>
          </w:p>
          <w:p w14:paraId="78C93DE9">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7</w:t>
            </w:r>
            <w:r>
              <w:rPr>
                <w:rFonts w:hint="eastAsia" w:ascii="宋体" w:hAnsi="宋体" w:eastAsia="宋体" w:cs="宋体"/>
                <w:b/>
                <w:color w:val="auto"/>
                <w:sz w:val="22"/>
                <w:szCs w:val="22"/>
                <w:highlight w:val="none"/>
              </w:rPr>
              <w:t>）投标函中招标项目完成期限未超过招标文件规定的期限。</w:t>
            </w:r>
          </w:p>
          <w:p w14:paraId="4BE034B7">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8</w:t>
            </w:r>
            <w:r>
              <w:rPr>
                <w:rFonts w:hint="eastAsia" w:ascii="宋体" w:hAnsi="宋体" w:eastAsia="宋体" w:cs="宋体"/>
                <w:b/>
                <w:color w:val="auto"/>
                <w:sz w:val="22"/>
                <w:szCs w:val="22"/>
                <w:highlight w:val="none"/>
              </w:rPr>
              <w:t>）投标文件未附有招标人不能接受的条件。</w:t>
            </w:r>
          </w:p>
          <w:p w14:paraId="44574959">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9</w:t>
            </w:r>
            <w:r>
              <w:rPr>
                <w:rFonts w:hint="eastAsia" w:ascii="宋体" w:hAnsi="宋体" w:eastAsia="宋体" w:cs="宋体"/>
                <w:b/>
                <w:color w:val="auto"/>
                <w:sz w:val="22"/>
                <w:szCs w:val="22"/>
                <w:highlight w:val="none"/>
              </w:rPr>
              <w:t>）权利义务符合招标文件规定：a.投标人应接受招标文件规定的风险划分原则</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不得提出新的风险划分办法；b.投标人不得增加招标人的责任范围</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或减少投标人义务；c.投标人不得提出不同的工程验收、计量、考核支付办法；d.投标人对合同纠纷、事故处理办法不得提出异议；e.投标人在投标活动中不得含有欺诈行为；f.投标人不得对合同条款有重要保留。</w:t>
            </w:r>
          </w:p>
          <w:p w14:paraId="0DD2CF5F">
            <w:pPr>
              <w:keepNext w:val="0"/>
              <w:keepLines w:val="0"/>
              <w:pageBreakBefore w:val="0"/>
              <w:tabs>
                <w:tab w:val="left" w:pos="0"/>
              </w:tabs>
              <w:kinsoku/>
              <w:wordWrap w:val="0"/>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10</w:t>
            </w:r>
            <w:r>
              <w:rPr>
                <w:rFonts w:hint="eastAsia" w:ascii="宋体" w:hAnsi="宋体" w:eastAsia="宋体" w:cs="宋体"/>
                <w:b/>
                <w:color w:val="auto"/>
                <w:sz w:val="22"/>
                <w:szCs w:val="22"/>
                <w:highlight w:val="none"/>
              </w:rPr>
              <w:t>）与招标文件要求不存在重大偏离或保留。</w:t>
            </w:r>
          </w:p>
        </w:tc>
      </w:tr>
    </w:tbl>
    <w:p w14:paraId="443B4EA5">
      <w:pPr>
        <w:keepNext w:val="0"/>
        <w:keepLines w:val="0"/>
        <w:pageBreakBefore w:val="0"/>
        <w:widowControl/>
        <w:kinsoku/>
        <w:overflowPunct/>
        <w:topLinePunct w:val="0"/>
        <w:autoSpaceDE/>
        <w:autoSpaceDN/>
        <w:bidi w:val="0"/>
        <w:adjustRightInd/>
        <w:snapToGrid/>
        <w:spacing w:line="360" w:lineRule="exact"/>
        <w:jc w:val="righ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续上表</w:t>
      </w:r>
    </w:p>
    <w:tbl>
      <w:tblPr>
        <w:tblStyle w:val="30"/>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979"/>
        <w:gridCol w:w="1305"/>
        <w:gridCol w:w="7114"/>
      </w:tblGrid>
      <w:tr w14:paraId="4AECD3E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jc w:val="center"/>
        </w:trPr>
        <w:tc>
          <w:tcPr>
            <w:tcW w:w="979" w:type="dxa"/>
            <w:noWrap w:val="0"/>
            <w:vAlign w:val="center"/>
          </w:tcPr>
          <w:p w14:paraId="77E7A4B9">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条款号</w:t>
            </w:r>
          </w:p>
        </w:tc>
        <w:tc>
          <w:tcPr>
            <w:tcW w:w="1305" w:type="dxa"/>
            <w:noWrap w:val="0"/>
            <w:vAlign w:val="center"/>
          </w:tcPr>
          <w:p w14:paraId="7A62BF76">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条款名称</w:t>
            </w:r>
          </w:p>
        </w:tc>
        <w:tc>
          <w:tcPr>
            <w:tcW w:w="7114" w:type="dxa"/>
            <w:noWrap w:val="0"/>
            <w:vAlign w:val="center"/>
          </w:tcPr>
          <w:p w14:paraId="4A5DA0C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评审因素与评审标准</w:t>
            </w:r>
          </w:p>
        </w:tc>
      </w:tr>
      <w:tr w14:paraId="2D7CCFA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40" w:hRule="atLeast"/>
          <w:jc w:val="center"/>
        </w:trPr>
        <w:tc>
          <w:tcPr>
            <w:tcW w:w="979" w:type="dxa"/>
            <w:noWrap w:val="0"/>
            <w:vAlign w:val="center"/>
          </w:tcPr>
          <w:p w14:paraId="518D684E">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2.5</w:t>
            </w:r>
          </w:p>
        </w:tc>
        <w:tc>
          <w:tcPr>
            <w:tcW w:w="1305" w:type="dxa"/>
            <w:noWrap w:val="0"/>
            <w:vAlign w:val="center"/>
          </w:tcPr>
          <w:p w14:paraId="6AA6AA02">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第一信封</w:t>
            </w:r>
          </w:p>
          <w:p w14:paraId="31AF3A4D">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详细评审</w:t>
            </w:r>
          </w:p>
        </w:tc>
        <w:tc>
          <w:tcPr>
            <w:tcW w:w="7114" w:type="dxa"/>
            <w:noWrap w:val="0"/>
            <w:vAlign w:val="center"/>
          </w:tcPr>
          <w:p w14:paraId="706DF487">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第一个信封（商务及技术文件）评分分值构成：</w:t>
            </w:r>
          </w:p>
          <w:p w14:paraId="656B4AE6">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类似</w:t>
            </w:r>
            <w:r>
              <w:rPr>
                <w:rFonts w:hint="eastAsia" w:ascii="宋体" w:hAnsi="宋体" w:eastAsia="宋体" w:cs="宋体"/>
                <w:color w:val="auto"/>
                <w:sz w:val="22"/>
                <w:szCs w:val="22"/>
                <w:highlight w:val="none"/>
              </w:rPr>
              <w:t>业绩</w:t>
            </w:r>
            <w:r>
              <w:rPr>
                <w:rFonts w:hint="eastAsia" w:ascii="宋体" w:hAnsi="宋体" w:eastAsia="宋体" w:cs="宋体"/>
                <w:color w:val="auto"/>
                <w:sz w:val="22"/>
                <w:szCs w:val="22"/>
                <w:highlight w:val="none"/>
                <w:lang w:val="en-US" w:eastAsia="zh-CN"/>
              </w:rPr>
              <w:t>：2</w:t>
            </w:r>
            <w:r>
              <w:rPr>
                <w:rFonts w:hint="eastAsia" w:ascii="宋体" w:hAnsi="宋体" w:cs="宋体"/>
                <w:color w:val="auto"/>
                <w:sz w:val="22"/>
                <w:szCs w:val="22"/>
                <w:highlight w:val="none"/>
                <w:lang w:val="en-US" w:eastAsia="zh-CN"/>
              </w:rPr>
              <w:t>5</w:t>
            </w:r>
            <w:r>
              <w:rPr>
                <w:rFonts w:hint="eastAsia" w:ascii="宋体" w:hAnsi="宋体" w:eastAsia="宋体" w:cs="宋体"/>
                <w:color w:val="auto"/>
                <w:sz w:val="22"/>
                <w:szCs w:val="22"/>
                <w:highlight w:val="none"/>
              </w:rPr>
              <w:t>分</w:t>
            </w:r>
          </w:p>
          <w:p w14:paraId="7ADEE96C">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工作大纲</w:t>
            </w:r>
            <w:r>
              <w:rPr>
                <w:rFonts w:hint="eastAsia" w:ascii="宋体" w:hAnsi="宋体" w:eastAsia="宋体" w:cs="宋体"/>
                <w:color w:val="auto"/>
                <w:sz w:val="22"/>
                <w:szCs w:val="22"/>
                <w:highlight w:val="none"/>
                <w:lang w:val="en-US" w:eastAsia="zh-CN"/>
              </w:rPr>
              <w:t>：</w:t>
            </w:r>
            <w:r>
              <w:rPr>
                <w:rFonts w:hint="eastAsia" w:ascii="宋体" w:hAnsi="宋体" w:cs="宋体"/>
                <w:color w:val="auto"/>
                <w:sz w:val="22"/>
                <w:szCs w:val="22"/>
                <w:highlight w:val="none"/>
                <w:lang w:val="en-US" w:eastAsia="zh-CN"/>
              </w:rPr>
              <w:t>65</w:t>
            </w:r>
            <w:r>
              <w:rPr>
                <w:rFonts w:hint="eastAsia" w:ascii="宋体" w:hAnsi="宋体" w:eastAsia="宋体" w:cs="宋体"/>
                <w:color w:val="auto"/>
                <w:sz w:val="22"/>
                <w:szCs w:val="22"/>
                <w:highlight w:val="none"/>
              </w:rPr>
              <w:t>分</w:t>
            </w:r>
          </w:p>
        </w:tc>
      </w:tr>
      <w:tr w14:paraId="1E1288A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75" w:hRule="atLeast"/>
          <w:jc w:val="center"/>
        </w:trPr>
        <w:tc>
          <w:tcPr>
            <w:tcW w:w="979" w:type="dxa"/>
            <w:noWrap w:val="0"/>
            <w:vAlign w:val="center"/>
          </w:tcPr>
          <w:p w14:paraId="45E425F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2.7</w:t>
            </w:r>
          </w:p>
        </w:tc>
        <w:tc>
          <w:tcPr>
            <w:tcW w:w="1305" w:type="dxa"/>
            <w:noWrap w:val="0"/>
            <w:vAlign w:val="center"/>
          </w:tcPr>
          <w:p w14:paraId="760BF15C">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第二信封</w:t>
            </w:r>
          </w:p>
          <w:p w14:paraId="2047EAD3">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初步评审</w:t>
            </w:r>
          </w:p>
        </w:tc>
        <w:tc>
          <w:tcPr>
            <w:tcW w:w="7114" w:type="dxa"/>
            <w:noWrap w:val="0"/>
            <w:vAlign w:val="center"/>
          </w:tcPr>
          <w:p w14:paraId="6187F203">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（1）投标文件按照招标文件规定的格式、内容填写</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字迹清晰可辨</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内容齐全完整：a.投标函按招标文件规定填报了项目名称、标段号、补遗书编号（如有）、投标价；b.投标文件组成齐全完整</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内容均按规定填写。</w:t>
            </w:r>
          </w:p>
          <w:p w14:paraId="251957DA">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（2）投标文件上法定代表人或其委托代理人的签字、投标人的单位章盖章齐全</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符合招标文件规定。</w:t>
            </w:r>
          </w:p>
          <w:p w14:paraId="063BBEF0">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rPr>
              <w:t>（3）投标报价超出招标人设定的最高投标限价的</w:t>
            </w:r>
            <w:r>
              <w:rPr>
                <w:rFonts w:hint="eastAsia" w:ascii="宋体" w:hAnsi="宋体" w:cs="宋体"/>
                <w:b/>
                <w:bCs/>
                <w:color w:val="auto"/>
                <w:sz w:val="22"/>
                <w:szCs w:val="22"/>
                <w:highlight w:val="none"/>
                <w:lang w:eastAsia="zh-CN"/>
              </w:rPr>
              <w:t>。</w:t>
            </w:r>
          </w:p>
          <w:p w14:paraId="25C8300F">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（4）同一投标人未提交两个以上不同的投标报价。</w:t>
            </w:r>
          </w:p>
          <w:p w14:paraId="740C2B61">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（5）投标报价的大写金额能够确定具体数值。</w:t>
            </w:r>
          </w:p>
        </w:tc>
      </w:tr>
      <w:tr w14:paraId="0D774A0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5" w:hRule="atLeast"/>
          <w:jc w:val="center"/>
        </w:trPr>
        <w:tc>
          <w:tcPr>
            <w:tcW w:w="979" w:type="dxa"/>
            <w:noWrap w:val="0"/>
            <w:vAlign w:val="center"/>
          </w:tcPr>
          <w:p w14:paraId="548B3983">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2.9</w:t>
            </w:r>
          </w:p>
        </w:tc>
        <w:tc>
          <w:tcPr>
            <w:tcW w:w="1305" w:type="dxa"/>
            <w:noWrap w:val="0"/>
            <w:vAlign w:val="center"/>
          </w:tcPr>
          <w:p w14:paraId="71F3C5AF">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第二信封</w:t>
            </w:r>
          </w:p>
          <w:p w14:paraId="2326FB7E">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澄清</w:t>
            </w:r>
          </w:p>
        </w:tc>
        <w:tc>
          <w:tcPr>
            <w:tcW w:w="7114" w:type="dxa"/>
            <w:noWrap w:val="0"/>
            <w:vAlign w:val="center"/>
          </w:tcPr>
          <w:p w14:paraId="432B7674">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第二信封澄清过程中</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发生以下任一情形的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作否决投标处理：</w:t>
            </w:r>
          </w:p>
          <w:p w14:paraId="2647B634">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（1）投标人拒绝确认算术性修正后的报价；</w:t>
            </w:r>
          </w:p>
          <w:p w14:paraId="002BA27A">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（2）修正后的最终投标报价超过最高投标限价。</w:t>
            </w:r>
          </w:p>
        </w:tc>
      </w:tr>
      <w:tr w14:paraId="31E13E2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769" w:hRule="atLeast"/>
          <w:jc w:val="center"/>
        </w:trPr>
        <w:tc>
          <w:tcPr>
            <w:tcW w:w="979" w:type="dxa"/>
            <w:noWrap w:val="0"/>
            <w:vAlign w:val="center"/>
          </w:tcPr>
          <w:p w14:paraId="1D4723E4">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2.10</w:t>
            </w:r>
          </w:p>
        </w:tc>
        <w:tc>
          <w:tcPr>
            <w:tcW w:w="1305" w:type="dxa"/>
            <w:noWrap w:val="0"/>
            <w:vAlign w:val="center"/>
          </w:tcPr>
          <w:p w14:paraId="7511D40A">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第二信封</w:t>
            </w:r>
          </w:p>
          <w:p w14:paraId="5289349C">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详细评审</w:t>
            </w:r>
          </w:p>
        </w:tc>
        <w:tc>
          <w:tcPr>
            <w:tcW w:w="7114" w:type="dxa"/>
            <w:noWrap w:val="0"/>
            <w:vAlign w:val="center"/>
          </w:tcPr>
          <w:p w14:paraId="07DBED91">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投标报价</w:t>
            </w:r>
            <w:r>
              <w:rPr>
                <w:rFonts w:hint="eastAsia" w:ascii="宋体" w:hAnsi="宋体" w:eastAsia="宋体" w:cs="宋体"/>
                <w:b/>
                <w:bCs/>
                <w:color w:val="auto"/>
                <w:sz w:val="22"/>
                <w:szCs w:val="22"/>
                <w:highlight w:val="none"/>
              </w:rPr>
              <w:t>（满分10分）</w:t>
            </w:r>
          </w:p>
          <w:p w14:paraId="4AE85035">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注：</w:t>
            </w:r>
            <w:r>
              <w:rPr>
                <w:rFonts w:hint="eastAsia" w:ascii="宋体" w:hAnsi="宋体" w:eastAsia="宋体" w:cs="宋体"/>
                <w:b/>
                <w:bCs/>
                <w:snapToGrid w:val="0"/>
                <w:color w:val="auto"/>
                <w:kern w:val="0"/>
                <w:sz w:val="22"/>
                <w:szCs w:val="22"/>
                <w:highlight w:val="none"/>
              </w:rPr>
              <w:t>未通过第一信封评审和第二信封初步</w:t>
            </w:r>
            <w:r>
              <w:rPr>
                <w:rFonts w:hint="eastAsia" w:ascii="宋体" w:hAnsi="宋体" w:eastAsia="宋体" w:cs="宋体"/>
                <w:b/>
                <w:bCs/>
                <w:snapToGrid w:val="0"/>
                <w:color w:val="auto"/>
                <w:kern w:val="0"/>
                <w:sz w:val="22"/>
                <w:szCs w:val="22"/>
                <w:highlight w:val="none"/>
                <w:lang w:val="en-US" w:eastAsia="zh-CN"/>
              </w:rPr>
              <w:t>评审</w:t>
            </w:r>
            <w:r>
              <w:rPr>
                <w:rFonts w:hint="eastAsia" w:ascii="宋体" w:hAnsi="宋体" w:eastAsia="宋体" w:cs="宋体"/>
                <w:b/>
                <w:bCs/>
                <w:snapToGrid w:val="0"/>
                <w:color w:val="auto"/>
                <w:kern w:val="0"/>
                <w:sz w:val="22"/>
                <w:szCs w:val="22"/>
                <w:highlight w:val="none"/>
              </w:rPr>
              <w:t>和澄清的</w:t>
            </w:r>
            <w:r>
              <w:rPr>
                <w:rFonts w:hint="eastAsia" w:ascii="宋体" w:hAnsi="宋体" w:cs="宋体"/>
                <w:b/>
                <w:bCs/>
                <w:snapToGrid w:val="0"/>
                <w:color w:val="auto"/>
                <w:kern w:val="0"/>
                <w:sz w:val="22"/>
                <w:szCs w:val="22"/>
                <w:highlight w:val="none"/>
                <w:lang w:eastAsia="zh-CN"/>
              </w:rPr>
              <w:t>，</w:t>
            </w:r>
            <w:r>
              <w:rPr>
                <w:rFonts w:hint="eastAsia" w:ascii="宋体" w:hAnsi="宋体" w:eastAsia="宋体" w:cs="宋体"/>
                <w:b/>
                <w:color w:val="auto"/>
                <w:sz w:val="22"/>
                <w:szCs w:val="22"/>
                <w:highlight w:val="none"/>
              </w:rPr>
              <w:t>不再参与评第二信封详细评审。</w:t>
            </w:r>
          </w:p>
        </w:tc>
      </w:tr>
      <w:tr w14:paraId="1D4F330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979" w:type="dxa"/>
            <w:noWrap w:val="0"/>
            <w:vAlign w:val="center"/>
          </w:tcPr>
          <w:p w14:paraId="6E9F5225">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2.12</w:t>
            </w:r>
          </w:p>
        </w:tc>
        <w:tc>
          <w:tcPr>
            <w:tcW w:w="1305" w:type="dxa"/>
            <w:noWrap w:val="0"/>
            <w:vAlign w:val="center"/>
          </w:tcPr>
          <w:p w14:paraId="22DA2A40">
            <w:pPr>
              <w:keepNext w:val="0"/>
              <w:keepLines w:val="0"/>
              <w:pageBreakBefore w:val="0"/>
              <w:kinsoku/>
              <w:overflowPunct/>
              <w:topLinePunct w:val="0"/>
              <w:autoSpaceDE/>
              <w:autoSpaceDN/>
              <w:bidi w:val="0"/>
              <w:adjustRightInd/>
              <w:snapToGrid/>
              <w:spacing w:line="36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评标结果</w:t>
            </w:r>
          </w:p>
        </w:tc>
        <w:tc>
          <w:tcPr>
            <w:tcW w:w="7114" w:type="dxa"/>
            <w:noWrap w:val="0"/>
            <w:vAlign w:val="center"/>
          </w:tcPr>
          <w:p w14:paraId="7841D6F3">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b w:val="0"/>
                <w:bCs w:val="0"/>
                <w:color w:val="auto"/>
                <w:sz w:val="22"/>
                <w:szCs w:val="22"/>
                <w:highlight w:val="none"/>
                <w:u w:val="none"/>
              </w:rPr>
              <w:t>推荐的中标候选人的人数为3名（分别为第一、二、三中标候选人</w:t>
            </w:r>
            <w:r>
              <w:rPr>
                <w:rFonts w:hint="eastAsia" w:ascii="宋体" w:hAnsi="宋体" w:cs="宋体"/>
                <w:b w:val="0"/>
                <w:bCs w:val="0"/>
                <w:color w:val="auto"/>
                <w:sz w:val="22"/>
                <w:szCs w:val="22"/>
                <w:highlight w:val="none"/>
                <w:u w:val="none"/>
                <w:lang w:eastAsia="zh-CN"/>
              </w:rPr>
              <w:t>，</w:t>
            </w:r>
            <w:r>
              <w:rPr>
                <w:rFonts w:hint="eastAsia" w:ascii="宋体" w:hAnsi="宋体" w:eastAsia="宋体" w:cs="宋体"/>
                <w:b w:val="0"/>
                <w:bCs w:val="0"/>
                <w:color w:val="auto"/>
                <w:sz w:val="22"/>
                <w:szCs w:val="22"/>
                <w:highlight w:val="none"/>
                <w:u w:val="none"/>
              </w:rPr>
              <w:t>不足三名</w:t>
            </w:r>
            <w:r>
              <w:rPr>
                <w:rFonts w:hint="eastAsia" w:ascii="宋体" w:hAnsi="宋体" w:cs="宋体"/>
                <w:b w:val="0"/>
                <w:bCs w:val="0"/>
                <w:color w:val="auto"/>
                <w:sz w:val="22"/>
                <w:szCs w:val="22"/>
                <w:highlight w:val="none"/>
                <w:u w:val="none"/>
                <w:lang w:eastAsia="zh-CN"/>
              </w:rPr>
              <w:t>，</w:t>
            </w:r>
            <w:r>
              <w:rPr>
                <w:rFonts w:hint="eastAsia" w:ascii="宋体" w:hAnsi="宋体" w:eastAsia="宋体" w:cs="宋体"/>
                <w:b w:val="0"/>
                <w:bCs w:val="0"/>
                <w:color w:val="auto"/>
                <w:sz w:val="22"/>
                <w:szCs w:val="22"/>
                <w:highlight w:val="none"/>
                <w:u w:val="none"/>
              </w:rPr>
              <w:t>则按实际数量推荐）</w:t>
            </w:r>
            <w:r>
              <w:rPr>
                <w:rFonts w:hint="eastAsia" w:ascii="宋体" w:hAnsi="宋体" w:eastAsia="宋体" w:cs="宋体"/>
                <w:b w:val="0"/>
                <w:bCs w:val="0"/>
                <w:color w:val="auto"/>
                <w:kern w:val="0"/>
                <w:sz w:val="22"/>
                <w:szCs w:val="22"/>
                <w:highlight w:val="none"/>
                <w:u w:val="none"/>
              </w:rPr>
              <w:t>。</w:t>
            </w:r>
          </w:p>
        </w:tc>
      </w:tr>
    </w:tbl>
    <w:p w14:paraId="5265C2FF">
      <w:pPr>
        <w:keepNext w:val="0"/>
        <w:keepLines w:val="0"/>
        <w:pageBreakBefore w:val="0"/>
        <w:widowControl/>
        <w:kinsoku/>
        <w:overflowPunct/>
        <w:topLinePunct w:val="0"/>
        <w:autoSpaceDE/>
        <w:autoSpaceDN/>
        <w:bidi w:val="0"/>
        <w:adjustRightInd/>
        <w:snapToGrid/>
        <w:spacing w:line="360" w:lineRule="exact"/>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color w:val="auto"/>
          <w:sz w:val="21"/>
          <w:szCs w:val="21"/>
          <w:highlight w:val="none"/>
        </w:rPr>
        <w:t>续上表</w:t>
      </w:r>
    </w:p>
    <w:tbl>
      <w:tblPr>
        <w:tblStyle w:val="30"/>
        <w:tblW w:w="9565"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16"/>
        <w:gridCol w:w="1959"/>
        <w:gridCol w:w="1215"/>
        <w:gridCol w:w="5675"/>
      </w:tblGrid>
      <w:tr w14:paraId="0C4FD03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3890" w:type="dxa"/>
            <w:gridSpan w:val="3"/>
            <w:noWrap w:val="0"/>
            <w:vAlign w:val="center"/>
          </w:tcPr>
          <w:p w14:paraId="4584A833">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评审因素与评分值</w:t>
            </w:r>
          </w:p>
        </w:tc>
        <w:tc>
          <w:tcPr>
            <w:tcW w:w="5675" w:type="dxa"/>
            <w:vMerge w:val="restart"/>
            <w:noWrap w:val="0"/>
            <w:vAlign w:val="center"/>
          </w:tcPr>
          <w:p w14:paraId="19038991">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各评审因素细分项</w:t>
            </w:r>
          </w:p>
        </w:tc>
      </w:tr>
      <w:tr w14:paraId="37C3D7B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34" w:hRule="atLeast"/>
          <w:jc w:val="center"/>
        </w:trPr>
        <w:tc>
          <w:tcPr>
            <w:tcW w:w="716" w:type="dxa"/>
            <w:noWrap w:val="0"/>
            <w:vAlign w:val="center"/>
          </w:tcPr>
          <w:p w14:paraId="4D510FD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序号</w:t>
            </w:r>
          </w:p>
        </w:tc>
        <w:tc>
          <w:tcPr>
            <w:tcW w:w="1959" w:type="dxa"/>
            <w:noWrap w:val="0"/>
            <w:vAlign w:val="center"/>
          </w:tcPr>
          <w:p w14:paraId="44C725B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评审因素</w:t>
            </w:r>
          </w:p>
        </w:tc>
        <w:tc>
          <w:tcPr>
            <w:tcW w:w="1215" w:type="dxa"/>
            <w:noWrap w:val="0"/>
            <w:vAlign w:val="center"/>
          </w:tcPr>
          <w:p w14:paraId="06A93C6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评分因素权重分值</w:t>
            </w:r>
          </w:p>
        </w:tc>
        <w:tc>
          <w:tcPr>
            <w:tcW w:w="5675" w:type="dxa"/>
            <w:vMerge w:val="continue"/>
            <w:noWrap w:val="0"/>
            <w:vAlign w:val="center"/>
          </w:tcPr>
          <w:p w14:paraId="371D2792">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color w:val="auto"/>
                <w:sz w:val="22"/>
                <w:szCs w:val="22"/>
                <w:highlight w:val="none"/>
              </w:rPr>
            </w:pPr>
          </w:p>
        </w:tc>
      </w:tr>
      <w:tr w14:paraId="27BD1A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16" w:type="dxa"/>
            <w:noWrap w:val="0"/>
            <w:vAlign w:val="center"/>
          </w:tcPr>
          <w:p w14:paraId="0AEF43C1">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1</w:t>
            </w:r>
          </w:p>
        </w:tc>
        <w:tc>
          <w:tcPr>
            <w:tcW w:w="1959" w:type="dxa"/>
            <w:noWrap w:val="0"/>
            <w:vAlign w:val="center"/>
          </w:tcPr>
          <w:p w14:paraId="68216602">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类似业绩</w:t>
            </w:r>
          </w:p>
        </w:tc>
        <w:tc>
          <w:tcPr>
            <w:tcW w:w="1215" w:type="dxa"/>
            <w:noWrap w:val="0"/>
            <w:vAlign w:val="center"/>
          </w:tcPr>
          <w:p w14:paraId="26C38204">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default" w:ascii="宋体" w:hAnsi="宋体" w:eastAsia="宋体" w:cs="宋体"/>
                <w:b w:val="0"/>
                <w:bCs w:val="0"/>
                <w:color w:val="auto"/>
                <w:sz w:val="22"/>
                <w:szCs w:val="22"/>
                <w:highlight w:val="none"/>
                <w:lang w:val="en-US" w:eastAsia="zh-CN"/>
              </w:rPr>
            </w:pPr>
            <w:r>
              <w:rPr>
                <w:rFonts w:hint="eastAsia" w:ascii="宋体" w:hAnsi="宋体" w:cs="宋体"/>
                <w:b w:val="0"/>
                <w:bCs w:val="0"/>
                <w:color w:val="auto"/>
                <w:sz w:val="22"/>
                <w:szCs w:val="22"/>
                <w:highlight w:val="none"/>
                <w:lang w:val="en-US" w:eastAsia="zh-CN"/>
              </w:rPr>
              <w:t>25</w:t>
            </w:r>
          </w:p>
        </w:tc>
        <w:tc>
          <w:tcPr>
            <w:tcW w:w="5675" w:type="dxa"/>
            <w:noWrap w:val="0"/>
            <w:vAlign w:val="center"/>
          </w:tcPr>
          <w:p w14:paraId="028957D1">
            <w:pPr>
              <w:keepNext w:val="0"/>
              <w:keepLines w:val="0"/>
              <w:pageBreakBefore w:val="0"/>
              <w:kinsoku/>
              <w:wordWrap/>
              <w:overflowPunct/>
              <w:topLinePunct w:val="0"/>
              <w:bidi w:val="0"/>
              <w:adjustRightInd/>
              <w:snapToGrid/>
              <w:spacing w:line="340" w:lineRule="exact"/>
              <w:textAlignment w:val="auto"/>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cs="宋体"/>
                <w:color w:val="auto"/>
                <w:sz w:val="22"/>
                <w:szCs w:val="22"/>
                <w:highlight w:val="none"/>
                <w:lang w:val="en-US" w:eastAsia="zh-CN"/>
              </w:rPr>
              <w:t>满足资格条件要求的得基本分20分，在此基础上，每增加一个满足资格条件的企业业绩加2.5分，最多可加5分。</w:t>
            </w:r>
          </w:p>
        </w:tc>
      </w:tr>
      <w:tr w14:paraId="6E579B0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9" w:hRule="atLeast"/>
          <w:jc w:val="center"/>
        </w:trPr>
        <w:tc>
          <w:tcPr>
            <w:tcW w:w="716" w:type="dxa"/>
            <w:noWrap w:val="0"/>
            <w:vAlign w:val="center"/>
          </w:tcPr>
          <w:p w14:paraId="75BAE94B">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default" w:ascii="宋体" w:hAnsi="宋体" w:eastAsia="宋体" w:cs="宋体"/>
                <w:b w:val="0"/>
                <w:bCs w:val="0"/>
                <w:color w:val="auto"/>
                <w:sz w:val="22"/>
                <w:szCs w:val="22"/>
                <w:highlight w:val="none"/>
                <w:lang w:val="en-US" w:eastAsia="zh-CN"/>
              </w:rPr>
            </w:pPr>
            <w:r>
              <w:rPr>
                <w:rFonts w:hint="eastAsia" w:ascii="宋体" w:hAnsi="宋体" w:cs="宋体"/>
                <w:b w:val="0"/>
                <w:bCs w:val="0"/>
                <w:color w:val="auto"/>
                <w:sz w:val="22"/>
                <w:szCs w:val="22"/>
                <w:highlight w:val="none"/>
                <w:lang w:val="en-US" w:eastAsia="zh-CN"/>
              </w:rPr>
              <w:t>2</w:t>
            </w:r>
          </w:p>
        </w:tc>
        <w:tc>
          <w:tcPr>
            <w:tcW w:w="8849" w:type="dxa"/>
            <w:gridSpan w:val="3"/>
            <w:noWrap w:val="0"/>
            <w:vAlign w:val="center"/>
          </w:tcPr>
          <w:p w14:paraId="486D9ABF">
            <w:pPr>
              <w:keepNext w:val="0"/>
              <w:keepLines w:val="0"/>
              <w:pageBreakBefore w:val="0"/>
              <w:widowControl w:val="0"/>
              <w:kinsoku/>
              <w:overflowPunct/>
              <w:topLinePunct w:val="0"/>
              <w:autoSpaceDE/>
              <w:autoSpaceDN/>
              <w:bidi w:val="0"/>
              <w:adjustRightInd/>
              <w:snapToGrid/>
              <w:spacing w:line="340" w:lineRule="exact"/>
              <w:ind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snapToGrid w:val="0"/>
                <w:color w:val="auto"/>
                <w:kern w:val="0"/>
                <w:sz w:val="22"/>
                <w:szCs w:val="22"/>
                <w:highlight w:val="none"/>
              </w:rPr>
              <w:t>工作大纲</w:t>
            </w:r>
          </w:p>
        </w:tc>
      </w:tr>
      <w:tr w14:paraId="3727A1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16" w:type="dxa"/>
            <w:noWrap w:val="0"/>
            <w:vAlign w:val="center"/>
          </w:tcPr>
          <w:p w14:paraId="695ECA81">
            <w:pPr>
              <w:keepNext w:val="0"/>
              <w:keepLines w:val="0"/>
              <w:pageBreakBefore w:val="0"/>
              <w:widowControl w:val="0"/>
              <w:kinsoku/>
              <w:overflowPunct/>
              <w:topLinePunct w:val="0"/>
              <w:autoSpaceDE/>
              <w:autoSpaceDN/>
              <w:bidi w:val="0"/>
              <w:adjustRightInd/>
              <w:snapToGrid/>
              <w:spacing w:line="340" w:lineRule="exact"/>
              <w:jc w:val="right"/>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1）</w:t>
            </w:r>
          </w:p>
        </w:tc>
        <w:tc>
          <w:tcPr>
            <w:tcW w:w="1959" w:type="dxa"/>
            <w:noWrap w:val="0"/>
            <w:vAlign w:val="center"/>
          </w:tcPr>
          <w:p w14:paraId="585E9062">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kern w:val="2"/>
                <w:sz w:val="22"/>
                <w:szCs w:val="22"/>
                <w:highlight w:val="none"/>
                <w:lang w:val="en-US" w:eastAsia="zh-CN" w:bidi="ar-SA"/>
              </w:rPr>
              <w:t>对招标项目的理解</w:t>
            </w:r>
          </w:p>
        </w:tc>
        <w:tc>
          <w:tcPr>
            <w:tcW w:w="1215" w:type="dxa"/>
            <w:noWrap w:val="0"/>
            <w:vAlign w:val="center"/>
          </w:tcPr>
          <w:p w14:paraId="073F21EE">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lang w:val="en-US" w:eastAsia="zh-CN"/>
              </w:rPr>
              <w:t>1</w:t>
            </w:r>
            <w:r>
              <w:rPr>
                <w:rFonts w:hint="eastAsia" w:ascii="宋体" w:hAnsi="宋体" w:cs="宋体"/>
                <w:b w:val="0"/>
                <w:bCs w:val="0"/>
                <w:color w:val="auto"/>
                <w:sz w:val="22"/>
                <w:szCs w:val="22"/>
                <w:highlight w:val="none"/>
                <w:lang w:val="en-US" w:eastAsia="zh-CN"/>
              </w:rPr>
              <w:t>5</w:t>
            </w:r>
          </w:p>
        </w:tc>
        <w:tc>
          <w:tcPr>
            <w:tcW w:w="5675" w:type="dxa"/>
            <w:noWrap w:val="0"/>
            <w:vAlign w:val="center"/>
          </w:tcPr>
          <w:p w14:paraId="385036B7">
            <w:pPr>
              <w:keepNext w:val="0"/>
              <w:keepLines w:val="0"/>
              <w:pageBreakBefore w:val="0"/>
              <w:widowControl w:val="0"/>
              <w:kinsoku/>
              <w:wordWrap/>
              <w:overflowPunct/>
              <w:topLinePunct w:val="0"/>
              <w:autoSpaceDE/>
              <w:autoSpaceDN/>
              <w:bidi w:val="0"/>
              <w:adjustRightInd/>
              <w:snapToGrid/>
              <w:spacing w:line="340" w:lineRule="exact"/>
              <w:ind w:right="0" w:rightChars="0"/>
              <w:textAlignment w:val="auto"/>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color w:val="auto"/>
                <w:sz w:val="22"/>
                <w:szCs w:val="22"/>
                <w:highlight w:val="none"/>
              </w:rPr>
              <w:t>根据投标人对招标项目的理解是否正确、目标是否符合实际并符合招标文件要求、程序是否严谨、方法是否切实可行等方面进行评审。</w:t>
            </w:r>
          </w:p>
        </w:tc>
      </w:tr>
      <w:tr w14:paraId="500579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16" w:type="dxa"/>
            <w:noWrap w:val="0"/>
            <w:vAlign w:val="center"/>
          </w:tcPr>
          <w:p w14:paraId="2AC42BBC">
            <w:pPr>
              <w:keepNext w:val="0"/>
              <w:keepLines w:val="0"/>
              <w:pageBreakBefore w:val="0"/>
              <w:widowControl w:val="0"/>
              <w:kinsoku/>
              <w:overflowPunct/>
              <w:topLinePunct w:val="0"/>
              <w:autoSpaceDE/>
              <w:autoSpaceDN/>
              <w:bidi w:val="0"/>
              <w:adjustRightInd/>
              <w:snapToGrid/>
              <w:spacing w:line="340" w:lineRule="exact"/>
              <w:jc w:val="right"/>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2）</w:t>
            </w:r>
          </w:p>
        </w:tc>
        <w:tc>
          <w:tcPr>
            <w:tcW w:w="1959" w:type="dxa"/>
            <w:noWrap w:val="0"/>
            <w:vAlign w:val="center"/>
          </w:tcPr>
          <w:p w14:paraId="4EFF9BF2">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lang w:val="en-US" w:eastAsia="zh-CN"/>
              </w:rPr>
              <w:t>对本项目的特点和难点的认识，拟解决的关键问题</w:t>
            </w:r>
          </w:p>
        </w:tc>
        <w:tc>
          <w:tcPr>
            <w:tcW w:w="1215" w:type="dxa"/>
            <w:noWrap w:val="0"/>
            <w:vAlign w:val="center"/>
          </w:tcPr>
          <w:p w14:paraId="15CCD834">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lang w:val="en-US" w:eastAsia="zh-CN"/>
              </w:rPr>
              <w:t>15</w:t>
            </w:r>
          </w:p>
        </w:tc>
        <w:tc>
          <w:tcPr>
            <w:tcW w:w="5675" w:type="dxa"/>
            <w:noWrap w:val="0"/>
            <w:vAlign w:val="center"/>
          </w:tcPr>
          <w:p w14:paraId="6C47A308">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color w:val="auto"/>
                <w:kern w:val="2"/>
                <w:sz w:val="22"/>
                <w:szCs w:val="22"/>
                <w:highlight w:val="none"/>
                <w:lang w:val="en-GB" w:eastAsia="zh-CN" w:bidi="ar-SA"/>
              </w:rPr>
            </w:pPr>
            <w:r>
              <w:rPr>
                <w:rFonts w:hint="eastAsia" w:ascii="宋体" w:hAnsi="宋体" w:eastAsia="宋体" w:cs="宋体"/>
                <w:b w:val="0"/>
                <w:bCs w:val="0"/>
                <w:color w:val="auto"/>
                <w:sz w:val="22"/>
                <w:szCs w:val="22"/>
                <w:highlight w:val="none"/>
              </w:rPr>
              <w:t>从本项目的特点和难点的认识、拟解决的关键问题分析等方面进行评审。</w:t>
            </w:r>
          </w:p>
        </w:tc>
      </w:tr>
      <w:tr w14:paraId="6C95A02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jc w:val="center"/>
        </w:trPr>
        <w:tc>
          <w:tcPr>
            <w:tcW w:w="716" w:type="dxa"/>
            <w:noWrap w:val="0"/>
            <w:vAlign w:val="center"/>
          </w:tcPr>
          <w:p w14:paraId="6C0E9BAC">
            <w:pPr>
              <w:keepNext w:val="0"/>
              <w:keepLines w:val="0"/>
              <w:pageBreakBefore w:val="0"/>
              <w:widowControl w:val="0"/>
              <w:kinsoku/>
              <w:overflowPunct/>
              <w:topLinePunct w:val="0"/>
              <w:autoSpaceDE/>
              <w:autoSpaceDN/>
              <w:bidi w:val="0"/>
              <w:adjustRightInd/>
              <w:snapToGrid/>
              <w:spacing w:line="340" w:lineRule="exact"/>
              <w:jc w:val="right"/>
              <w:textAlignment w:val="auto"/>
              <w:rPr>
                <w:rFonts w:hint="eastAsia" w:ascii="宋体" w:hAnsi="宋体" w:eastAsia="宋体" w:cs="宋体"/>
                <w:b w:val="0"/>
                <w:bCs w:val="0"/>
                <w:color w:val="auto"/>
                <w:sz w:val="22"/>
                <w:szCs w:val="22"/>
                <w:highlight w:val="none"/>
                <w:lang w:val="en-US" w:eastAsia="zh-CN"/>
              </w:rPr>
            </w:pPr>
            <w:r>
              <w:rPr>
                <w:rFonts w:hint="eastAsia" w:ascii="宋体" w:hAnsi="宋体" w:cs="宋体"/>
                <w:b w:val="0"/>
                <w:bCs w:val="0"/>
                <w:color w:val="auto"/>
                <w:sz w:val="22"/>
                <w:szCs w:val="22"/>
                <w:highlight w:val="none"/>
                <w:lang w:val="en-US" w:eastAsia="zh-CN"/>
              </w:rPr>
              <w:t>3）</w:t>
            </w:r>
          </w:p>
        </w:tc>
        <w:tc>
          <w:tcPr>
            <w:tcW w:w="1959" w:type="dxa"/>
            <w:noWrap w:val="0"/>
            <w:vAlign w:val="center"/>
          </w:tcPr>
          <w:p w14:paraId="232ED0EE">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default" w:ascii="宋体" w:hAnsi="宋体" w:eastAsia="宋体" w:cs="宋体"/>
                <w:b w:val="0"/>
                <w:bCs w:val="0"/>
                <w:color w:val="auto"/>
                <w:sz w:val="22"/>
                <w:szCs w:val="22"/>
                <w:highlight w:val="none"/>
                <w:lang w:val="en-US" w:eastAsia="zh-CN"/>
              </w:rPr>
            </w:pPr>
            <w:r>
              <w:rPr>
                <w:rFonts w:hint="eastAsia" w:ascii="宋体" w:hAnsi="宋体" w:cs="宋体"/>
                <w:b w:val="0"/>
                <w:bCs w:val="0"/>
                <w:color w:val="auto"/>
                <w:sz w:val="22"/>
                <w:szCs w:val="22"/>
                <w:highlight w:val="none"/>
                <w:lang w:val="en-US" w:eastAsia="zh-CN"/>
              </w:rPr>
              <w:t>活动策划安排</w:t>
            </w:r>
          </w:p>
        </w:tc>
        <w:tc>
          <w:tcPr>
            <w:tcW w:w="1215" w:type="dxa"/>
            <w:noWrap w:val="0"/>
            <w:vAlign w:val="center"/>
          </w:tcPr>
          <w:p w14:paraId="7715E665">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default" w:ascii="宋体" w:hAnsi="宋体" w:eastAsia="宋体" w:cs="宋体"/>
                <w:b w:val="0"/>
                <w:bCs w:val="0"/>
                <w:color w:val="auto"/>
                <w:sz w:val="22"/>
                <w:szCs w:val="22"/>
                <w:highlight w:val="none"/>
                <w:lang w:val="en-US" w:eastAsia="zh-CN"/>
              </w:rPr>
            </w:pPr>
            <w:r>
              <w:rPr>
                <w:rFonts w:hint="eastAsia" w:ascii="宋体" w:hAnsi="宋体" w:cs="宋体"/>
                <w:b w:val="0"/>
                <w:bCs w:val="0"/>
                <w:color w:val="auto"/>
                <w:sz w:val="22"/>
                <w:szCs w:val="22"/>
                <w:highlight w:val="none"/>
                <w:lang w:val="en-US" w:eastAsia="zh-CN"/>
              </w:rPr>
              <w:t>10</w:t>
            </w:r>
          </w:p>
        </w:tc>
        <w:tc>
          <w:tcPr>
            <w:tcW w:w="5675" w:type="dxa"/>
            <w:noWrap w:val="0"/>
            <w:vAlign w:val="center"/>
          </w:tcPr>
          <w:p w14:paraId="61515EDC">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从活动策划安排</w:t>
            </w:r>
            <w:r>
              <w:rPr>
                <w:rFonts w:hint="eastAsia" w:ascii="宋体" w:hAnsi="宋体" w:cs="宋体"/>
                <w:b w:val="0"/>
                <w:bCs w:val="0"/>
                <w:color w:val="auto"/>
                <w:sz w:val="22"/>
                <w:szCs w:val="22"/>
                <w:highlight w:val="none"/>
                <w:lang w:val="en-US" w:eastAsia="zh-CN"/>
              </w:rPr>
              <w:t>的合理性</w:t>
            </w:r>
            <w:r>
              <w:rPr>
                <w:rFonts w:hint="eastAsia" w:ascii="宋体" w:hAnsi="宋体" w:eastAsia="宋体" w:cs="宋体"/>
                <w:b w:val="0"/>
                <w:bCs w:val="0"/>
                <w:color w:val="auto"/>
                <w:sz w:val="22"/>
                <w:szCs w:val="22"/>
                <w:highlight w:val="none"/>
              </w:rPr>
              <w:t>等方面进行评审。</w:t>
            </w:r>
          </w:p>
        </w:tc>
      </w:tr>
      <w:tr w14:paraId="733E1A3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624" w:hRule="atLeast"/>
          <w:jc w:val="center"/>
        </w:trPr>
        <w:tc>
          <w:tcPr>
            <w:tcW w:w="716" w:type="dxa"/>
            <w:noWrap w:val="0"/>
            <w:vAlign w:val="center"/>
          </w:tcPr>
          <w:p w14:paraId="4C991991">
            <w:pPr>
              <w:keepNext w:val="0"/>
              <w:keepLines w:val="0"/>
              <w:pageBreakBefore w:val="0"/>
              <w:widowControl w:val="0"/>
              <w:kinsoku/>
              <w:overflowPunct/>
              <w:topLinePunct w:val="0"/>
              <w:autoSpaceDE/>
              <w:autoSpaceDN/>
              <w:bidi w:val="0"/>
              <w:adjustRightInd/>
              <w:snapToGrid/>
              <w:spacing w:line="340" w:lineRule="exact"/>
              <w:jc w:val="right"/>
              <w:textAlignment w:val="auto"/>
              <w:rPr>
                <w:rFonts w:hint="eastAsia" w:ascii="宋体" w:hAnsi="宋体" w:eastAsia="宋体" w:cs="宋体"/>
                <w:b w:val="0"/>
                <w:bCs w:val="0"/>
                <w:color w:val="auto"/>
                <w:sz w:val="22"/>
                <w:szCs w:val="22"/>
                <w:highlight w:val="none"/>
              </w:rPr>
            </w:pPr>
            <w:r>
              <w:rPr>
                <w:rFonts w:hint="eastAsia" w:ascii="宋体" w:hAnsi="宋体" w:cs="宋体"/>
                <w:b w:val="0"/>
                <w:bCs w:val="0"/>
                <w:color w:val="auto"/>
                <w:sz w:val="22"/>
                <w:szCs w:val="22"/>
                <w:highlight w:val="none"/>
                <w:lang w:val="en-US" w:eastAsia="zh-CN"/>
              </w:rPr>
              <w:t>4</w:t>
            </w:r>
            <w:r>
              <w:rPr>
                <w:rFonts w:hint="eastAsia" w:ascii="宋体" w:hAnsi="宋体" w:eastAsia="宋体" w:cs="宋体"/>
                <w:b w:val="0"/>
                <w:bCs w:val="0"/>
                <w:color w:val="auto"/>
                <w:sz w:val="22"/>
                <w:szCs w:val="22"/>
                <w:highlight w:val="none"/>
              </w:rPr>
              <w:t>）</w:t>
            </w:r>
          </w:p>
        </w:tc>
        <w:tc>
          <w:tcPr>
            <w:tcW w:w="1959" w:type="dxa"/>
            <w:noWrap w:val="0"/>
            <w:vAlign w:val="center"/>
          </w:tcPr>
          <w:p w14:paraId="5EC480F7">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lang w:val="en-US" w:eastAsia="zh-CN"/>
              </w:rPr>
              <w:t>工作进度安排、进度及质量保证措施</w:t>
            </w:r>
          </w:p>
        </w:tc>
        <w:tc>
          <w:tcPr>
            <w:tcW w:w="1215" w:type="dxa"/>
            <w:noWrap w:val="0"/>
            <w:vAlign w:val="center"/>
          </w:tcPr>
          <w:p w14:paraId="22258E04">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lang w:val="en-US" w:eastAsia="zh-CN"/>
              </w:rPr>
              <w:t>15</w:t>
            </w:r>
          </w:p>
        </w:tc>
        <w:tc>
          <w:tcPr>
            <w:tcW w:w="5675" w:type="dxa"/>
            <w:noWrap w:val="0"/>
            <w:vAlign w:val="center"/>
          </w:tcPr>
          <w:p w14:paraId="1B8D55B1">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sz w:val="22"/>
                <w:szCs w:val="22"/>
                <w:highlight w:val="none"/>
              </w:rPr>
              <w:t>从工作进度安排、进度及质量保证措施等方面进行评审。</w:t>
            </w:r>
          </w:p>
        </w:tc>
      </w:tr>
      <w:tr w14:paraId="68D4B2E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16" w:type="dxa"/>
            <w:noWrap w:val="0"/>
            <w:vAlign w:val="center"/>
          </w:tcPr>
          <w:p w14:paraId="1C753030">
            <w:pPr>
              <w:keepNext w:val="0"/>
              <w:keepLines w:val="0"/>
              <w:pageBreakBefore w:val="0"/>
              <w:widowControl w:val="0"/>
              <w:kinsoku/>
              <w:overflowPunct/>
              <w:topLinePunct w:val="0"/>
              <w:autoSpaceDE/>
              <w:autoSpaceDN/>
              <w:bidi w:val="0"/>
              <w:adjustRightInd/>
              <w:snapToGrid/>
              <w:spacing w:line="340" w:lineRule="exact"/>
              <w:jc w:val="right"/>
              <w:textAlignment w:val="auto"/>
              <w:rPr>
                <w:rFonts w:hint="eastAsia" w:ascii="宋体" w:hAnsi="宋体" w:eastAsia="宋体" w:cs="宋体"/>
                <w:b w:val="0"/>
                <w:bCs w:val="0"/>
                <w:color w:val="auto"/>
                <w:sz w:val="22"/>
                <w:szCs w:val="22"/>
                <w:highlight w:val="none"/>
              </w:rPr>
            </w:pPr>
            <w:r>
              <w:rPr>
                <w:rFonts w:hint="eastAsia" w:ascii="宋体" w:hAnsi="宋体" w:cs="宋体"/>
                <w:b w:val="0"/>
                <w:bCs w:val="0"/>
                <w:color w:val="auto"/>
                <w:sz w:val="22"/>
                <w:szCs w:val="22"/>
                <w:highlight w:val="none"/>
                <w:lang w:val="en-US" w:eastAsia="zh-CN"/>
              </w:rPr>
              <w:t>5</w:t>
            </w:r>
            <w:r>
              <w:rPr>
                <w:rFonts w:hint="eastAsia" w:ascii="宋体" w:hAnsi="宋体" w:eastAsia="宋体" w:cs="宋体"/>
                <w:b w:val="0"/>
                <w:bCs w:val="0"/>
                <w:color w:val="auto"/>
                <w:sz w:val="22"/>
                <w:szCs w:val="22"/>
                <w:highlight w:val="none"/>
              </w:rPr>
              <w:t>）</w:t>
            </w:r>
          </w:p>
        </w:tc>
        <w:tc>
          <w:tcPr>
            <w:tcW w:w="1959" w:type="dxa"/>
            <w:noWrap w:val="0"/>
            <w:vAlign w:val="center"/>
          </w:tcPr>
          <w:p w14:paraId="4A6E5197">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eastAsia" w:ascii="宋体" w:hAnsi="宋体" w:eastAsia="宋体" w:cs="宋体"/>
                <w:b w:val="0"/>
                <w:bCs w:val="0"/>
                <w:color w:val="auto"/>
                <w:kern w:val="2"/>
                <w:sz w:val="22"/>
                <w:szCs w:val="22"/>
                <w:highlight w:val="none"/>
                <w:lang w:val="en-US" w:eastAsia="zh-CN" w:bidi="ar-SA"/>
              </w:rPr>
            </w:pPr>
            <w:r>
              <w:rPr>
                <w:rFonts w:hint="eastAsia" w:ascii="宋体" w:hAnsi="宋体" w:eastAsia="宋体" w:cs="宋体"/>
                <w:b w:val="0"/>
                <w:bCs w:val="0"/>
                <w:color w:val="auto"/>
                <w:kern w:val="2"/>
                <w:sz w:val="22"/>
                <w:szCs w:val="22"/>
                <w:highlight w:val="none"/>
                <w:lang w:val="en-US" w:eastAsia="zh-CN" w:bidi="ar-SA"/>
              </w:rPr>
              <w:t>服务承诺及合理化建议</w:t>
            </w:r>
          </w:p>
        </w:tc>
        <w:tc>
          <w:tcPr>
            <w:tcW w:w="1215" w:type="dxa"/>
            <w:noWrap w:val="0"/>
            <w:vAlign w:val="center"/>
          </w:tcPr>
          <w:p w14:paraId="542FF8EC">
            <w:pPr>
              <w:keepNext w:val="0"/>
              <w:keepLines w:val="0"/>
              <w:pageBreakBefore w:val="0"/>
              <w:widowControl w:val="0"/>
              <w:tabs>
                <w:tab w:val="left" w:pos="993"/>
              </w:tabs>
              <w:kinsoku/>
              <w:wordWrap/>
              <w:overflowPunct/>
              <w:topLinePunct w:val="0"/>
              <w:autoSpaceDE w:val="0"/>
              <w:autoSpaceDN w:val="0"/>
              <w:bidi w:val="0"/>
              <w:adjustRightInd/>
              <w:snapToGrid/>
              <w:spacing w:line="340" w:lineRule="exact"/>
              <w:jc w:val="center"/>
              <w:textAlignment w:val="auto"/>
              <w:rPr>
                <w:rFonts w:hint="default" w:ascii="宋体" w:hAnsi="宋体" w:eastAsia="宋体" w:cs="宋体"/>
                <w:b w:val="0"/>
                <w:bCs w:val="0"/>
                <w:color w:val="auto"/>
                <w:kern w:val="2"/>
                <w:sz w:val="22"/>
                <w:szCs w:val="22"/>
                <w:highlight w:val="none"/>
                <w:lang w:val="en-US" w:eastAsia="zh-CN" w:bidi="ar-SA"/>
              </w:rPr>
            </w:pPr>
            <w:r>
              <w:rPr>
                <w:rFonts w:hint="eastAsia" w:ascii="宋体" w:hAnsi="宋体" w:cs="宋体"/>
                <w:b w:val="0"/>
                <w:bCs w:val="0"/>
                <w:color w:val="auto"/>
                <w:sz w:val="22"/>
                <w:szCs w:val="22"/>
                <w:highlight w:val="none"/>
                <w:lang w:val="en-US" w:eastAsia="zh-CN"/>
              </w:rPr>
              <w:t>10</w:t>
            </w:r>
          </w:p>
        </w:tc>
        <w:tc>
          <w:tcPr>
            <w:tcW w:w="5675" w:type="dxa"/>
            <w:noWrap w:val="0"/>
            <w:vAlign w:val="center"/>
          </w:tcPr>
          <w:p w14:paraId="023982E0">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eastAsia" w:ascii="宋体" w:hAnsi="宋体" w:eastAsia="宋体" w:cs="宋体"/>
                <w:b w:val="0"/>
                <w:bCs w:val="0"/>
                <w:snapToGrid w:val="0"/>
                <w:color w:val="auto"/>
                <w:kern w:val="0"/>
                <w:sz w:val="22"/>
                <w:szCs w:val="22"/>
                <w:highlight w:val="none"/>
                <w:lang w:val="en-US" w:eastAsia="zh-CN" w:bidi="ar-SA"/>
              </w:rPr>
            </w:pPr>
            <w:r>
              <w:rPr>
                <w:rFonts w:hint="eastAsia" w:ascii="宋体" w:hAnsi="宋体" w:eastAsia="宋体" w:cs="宋体"/>
                <w:b w:val="0"/>
                <w:bCs w:val="0"/>
                <w:snapToGrid w:val="0"/>
                <w:color w:val="auto"/>
                <w:kern w:val="0"/>
                <w:sz w:val="22"/>
                <w:szCs w:val="22"/>
                <w:highlight w:val="none"/>
                <w:lang w:val="en-US" w:eastAsia="zh-CN" w:bidi="ar-SA"/>
              </w:rPr>
              <w:t>根据投标人的服务承诺及合理化建议</w:t>
            </w:r>
            <w:r>
              <w:rPr>
                <w:rFonts w:hint="eastAsia" w:ascii="宋体" w:hAnsi="宋体" w:eastAsia="宋体" w:cs="宋体"/>
                <w:b w:val="0"/>
                <w:bCs w:val="0"/>
                <w:color w:val="auto"/>
                <w:sz w:val="22"/>
                <w:szCs w:val="22"/>
                <w:highlight w:val="none"/>
              </w:rPr>
              <w:t>等方面进行评审</w:t>
            </w:r>
            <w:r>
              <w:rPr>
                <w:rFonts w:hint="eastAsia" w:ascii="宋体" w:hAnsi="宋体" w:eastAsia="宋体" w:cs="宋体"/>
                <w:b w:val="0"/>
                <w:bCs w:val="0"/>
                <w:color w:val="auto"/>
                <w:sz w:val="22"/>
                <w:szCs w:val="22"/>
                <w:highlight w:val="none"/>
                <w:lang w:eastAsia="zh-CN"/>
              </w:rPr>
              <w:t>。</w:t>
            </w:r>
          </w:p>
        </w:tc>
      </w:tr>
      <w:tr w14:paraId="3EEFAB2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716" w:type="dxa"/>
            <w:noWrap w:val="0"/>
            <w:vAlign w:val="center"/>
          </w:tcPr>
          <w:p w14:paraId="3AA06ABE">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color w:val="auto"/>
                <w:sz w:val="22"/>
                <w:szCs w:val="22"/>
                <w:highlight w:val="none"/>
                <w:lang w:eastAsia="zh-CN"/>
              </w:rPr>
            </w:pPr>
            <w:r>
              <w:rPr>
                <w:rFonts w:hint="eastAsia" w:ascii="宋体" w:hAnsi="宋体" w:cs="宋体"/>
                <w:color w:val="auto"/>
                <w:sz w:val="22"/>
                <w:szCs w:val="22"/>
                <w:highlight w:val="none"/>
                <w:lang w:val="en-US" w:eastAsia="zh-CN"/>
              </w:rPr>
              <w:t>3</w:t>
            </w:r>
          </w:p>
        </w:tc>
        <w:tc>
          <w:tcPr>
            <w:tcW w:w="1959" w:type="dxa"/>
            <w:noWrap w:val="0"/>
            <w:vAlign w:val="center"/>
          </w:tcPr>
          <w:p w14:paraId="1B3C0F84">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评标价</w:t>
            </w:r>
          </w:p>
        </w:tc>
        <w:tc>
          <w:tcPr>
            <w:tcW w:w="1215" w:type="dxa"/>
            <w:noWrap w:val="0"/>
            <w:vAlign w:val="center"/>
          </w:tcPr>
          <w:p w14:paraId="419624D3">
            <w:pPr>
              <w:keepNext w:val="0"/>
              <w:keepLines w:val="0"/>
              <w:pageBreakBefore w:val="0"/>
              <w:widowControl w:val="0"/>
              <w:kinsoku/>
              <w:overflowPunct/>
              <w:topLinePunct w:val="0"/>
              <w:autoSpaceDE/>
              <w:autoSpaceDN/>
              <w:bidi w:val="0"/>
              <w:adjustRightInd/>
              <w:snapToGrid/>
              <w:spacing w:line="340" w:lineRule="exact"/>
              <w:jc w:val="center"/>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w:t>
            </w:r>
          </w:p>
        </w:tc>
        <w:tc>
          <w:tcPr>
            <w:tcW w:w="5675" w:type="dxa"/>
            <w:noWrap w:val="0"/>
            <w:vAlign w:val="center"/>
          </w:tcPr>
          <w:p w14:paraId="70FD4369">
            <w:pPr>
              <w:keepNext w:val="0"/>
              <w:keepLines w:val="0"/>
              <w:pageBreakBefore w:val="0"/>
              <w:kinsoku/>
              <w:overflowPunct/>
              <w:topLinePunct w:val="0"/>
              <w:autoSpaceDE/>
              <w:autoSpaceDN/>
              <w:bidi w:val="0"/>
              <w:adjustRightInd/>
              <w:snapToGrid/>
              <w:spacing w:line="36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招标人设有最高投标限价</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最高投标限价：人民币</w:t>
            </w:r>
            <w:r>
              <w:rPr>
                <w:rFonts w:hint="eastAsia" w:cs="宋体"/>
                <w:b/>
                <w:bCs/>
                <w:snapToGrid w:val="0"/>
                <w:color w:val="auto"/>
                <w:kern w:val="0"/>
                <w:sz w:val="22"/>
                <w:szCs w:val="22"/>
                <w:highlight w:val="none"/>
                <w:u w:val="single"/>
                <w:lang w:val="en-US" w:eastAsia="zh-CN"/>
              </w:rPr>
              <w:t>壹拾捌万伍仟</w:t>
            </w:r>
            <w:r>
              <w:rPr>
                <w:rFonts w:hint="eastAsia" w:ascii="宋体" w:hAnsi="宋体" w:eastAsia="宋体" w:cs="宋体"/>
                <w:b/>
                <w:bCs/>
                <w:snapToGrid w:val="0"/>
                <w:color w:val="auto"/>
                <w:kern w:val="0"/>
                <w:sz w:val="22"/>
                <w:szCs w:val="22"/>
                <w:highlight w:val="none"/>
                <w:u w:val="single"/>
              </w:rPr>
              <w:t>整（¥</w:t>
            </w:r>
            <w:r>
              <w:rPr>
                <w:rFonts w:hint="eastAsia" w:cs="宋体"/>
                <w:b/>
                <w:bCs/>
                <w:snapToGrid w:val="0"/>
                <w:color w:val="auto"/>
                <w:kern w:val="0"/>
                <w:sz w:val="22"/>
                <w:szCs w:val="22"/>
                <w:highlight w:val="none"/>
                <w:u w:val="single"/>
                <w:lang w:val="en-US" w:eastAsia="zh-CN"/>
              </w:rPr>
              <w:t>185000</w:t>
            </w:r>
            <w:r>
              <w:rPr>
                <w:rFonts w:hint="eastAsia" w:ascii="宋体" w:hAnsi="宋体" w:eastAsia="宋体" w:cs="宋体"/>
                <w:b/>
                <w:bCs/>
                <w:snapToGrid w:val="0"/>
                <w:color w:val="auto"/>
                <w:kern w:val="0"/>
                <w:sz w:val="22"/>
                <w:szCs w:val="22"/>
                <w:highlight w:val="none"/>
                <w:u w:val="single"/>
              </w:rPr>
              <w:t>元）</w:t>
            </w:r>
            <w:r>
              <w:rPr>
                <w:rFonts w:hint="eastAsia" w:ascii="宋体" w:hAnsi="宋体" w:eastAsia="宋体" w:cs="宋体"/>
                <w:color w:val="auto"/>
                <w:sz w:val="22"/>
                <w:szCs w:val="22"/>
                <w:highlight w:val="none"/>
              </w:rPr>
              <w:t>。投标人的投标报价超出招标人设定的最高投标限价的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招标人不予接受</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其投标按否决投标处理。投标人的投标报价发生算术性修正时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修正后的经投标人确认的投标报价超出招标人设定的最高投标限价</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其投标按否决投标处理。</w:t>
            </w:r>
          </w:p>
          <w:p w14:paraId="199D80F6">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评标基准价的计算：</w:t>
            </w:r>
          </w:p>
          <w:p w14:paraId="57D7FBD5">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在开标现场，招标人将当场计算并宣布评标基准价</w:t>
            </w:r>
          </w:p>
          <w:p w14:paraId="0B79B8E0">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(1)评标价的确定：</w:t>
            </w:r>
          </w:p>
          <w:p w14:paraId="77229278">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评标价=投标函文字报价-0（招标代理服务费）-0（公证费）-0（暂列金）-0（其他不可竞争费）</w:t>
            </w:r>
          </w:p>
          <w:p w14:paraId="60080C17">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投标报价=清单小计+0（招标代理服务费）+0（公证费）+0（暂列金）+0（其他不可竞争费）</w:t>
            </w:r>
          </w:p>
          <w:p w14:paraId="476BE553">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(2)基准价计算公式：</w:t>
            </w:r>
          </w:p>
          <w:p w14:paraId="30878972">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当n&lt;5时：C=[A*T+((a1+a2+a3+...+an)/n)*(1-T)]*K</w:t>
            </w:r>
          </w:p>
          <w:p w14:paraId="28F95AC4">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当5&lt;=n&lt;12时：</w:t>
            </w:r>
          </w:p>
          <w:p w14:paraId="3A61717A">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C=[A*T+((a1+a2+a3+...+an-M1-N1)/(n-2))*(1-T)]*K</w:t>
            </w:r>
          </w:p>
          <w:p w14:paraId="5BA937AD">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当12&lt;=n&lt;18时：</w:t>
            </w:r>
          </w:p>
          <w:p w14:paraId="3926FA1F">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C=[A*T+((a1+a2+a3+...+an-M1-M2-N1-N2)/(n-4))*(1-T)]*K</w:t>
            </w:r>
          </w:p>
          <w:p w14:paraId="4455E9FF">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当18&lt;=n&lt;24时：</w:t>
            </w:r>
          </w:p>
          <w:p w14:paraId="2C9A3BAA">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C=[A*T+((a1+a2+a3+...+an-M1-M2-M3-N1-N2-N3)/(n-6))*(1-T)]*K</w:t>
            </w:r>
          </w:p>
          <w:p w14:paraId="63573A1C">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当24&lt;=n时：</w:t>
            </w:r>
          </w:p>
          <w:p w14:paraId="29E64CEF">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C=[A*T+((a1+a2+a3+...+an-M1-M2-M3-M4-N1-N2-N3-N4)/(n-8))*(1-T)]*K</w:t>
            </w:r>
          </w:p>
          <w:p w14:paraId="4506E078">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A=招标人设定投标控制价上限；</w:t>
            </w:r>
          </w:p>
          <w:p w14:paraId="7E8AEBD8">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C—评标基准价；</w:t>
            </w:r>
          </w:p>
          <w:p w14:paraId="32432BDB">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T—投标控制价上限权重值，T的数值为0.3、0.35、0.4三个数值之一，开标现场由招标人代表或监督机构代表或招标代理机构随机抽取产生；</w:t>
            </w:r>
          </w:p>
          <w:p w14:paraId="7E438C35">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K—评标基准价浮动系数，K的数值为0.99、1、1.01三个数值之一，开标现场由招标人代表或监督机构代表或招标代理机构随机抽取产生；</w:t>
            </w:r>
          </w:p>
          <w:p w14:paraId="3032239F">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ai—进入评标基准价计算的合格投标人的评标价（i＝1，2，…，n）；</w:t>
            </w:r>
          </w:p>
          <w:p w14:paraId="34E6A337">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n—进入评标基准价计算的合格投标人个数；</w:t>
            </w:r>
          </w:p>
          <w:p w14:paraId="719EE1AB">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M—进入评标基准价计算的最高的合格投标人的评标价（M1为第一个最高评标价、M2为去掉M1后的一个最高评标价，M3为去掉M1和M2后的一个最高评标价，M4为去掉M1、M2和M3后的一个最高评标价）；</w:t>
            </w:r>
          </w:p>
          <w:p w14:paraId="6C2C9811">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N—进入基准价计算最低的合格投标人有效报价（N1为第一个最低评标价、N2为去掉N1后的一个最低评标价，N3为去掉N1和N2后的一个最低评标价，N4为去掉N1、N2和N3后的一个最低评标价）</w:t>
            </w:r>
          </w:p>
          <w:p w14:paraId="35A6B839">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偏差率=100%×(投标人评标价－评标基准价)/评标基准价</w:t>
            </w:r>
          </w:p>
          <w:p w14:paraId="304103A4">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当偏差率大于0：偏差率从0开始每递升1%减0.2分；</w:t>
            </w:r>
          </w:p>
          <w:p w14:paraId="0FAAAE1C">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当偏差率等于0：报价分为满分；</w:t>
            </w:r>
          </w:p>
          <w:p w14:paraId="6937202C">
            <w:pPr>
              <w:keepNext w:val="0"/>
              <w:keepLines w:val="0"/>
              <w:pageBreakBefore w:val="0"/>
              <w:widowControl w:val="0"/>
              <w:kinsoku/>
              <w:overflowPunct/>
              <w:topLinePunct w:val="0"/>
              <w:autoSpaceDE/>
              <w:autoSpaceDN/>
              <w:bidi w:val="0"/>
              <w:adjustRightInd/>
              <w:snapToGrid/>
              <w:spacing w:line="340" w:lineRule="exact"/>
              <w:jc w:val="left"/>
              <w:textAlignment w:val="auto"/>
              <w:rPr>
                <w:rFonts w:hint="eastAsia" w:ascii="宋体" w:hAnsi="宋体" w:eastAsia="宋体" w:cs="宋体"/>
                <w:snapToGrid w:val="0"/>
                <w:color w:val="auto"/>
                <w:kern w:val="0"/>
                <w:sz w:val="22"/>
                <w:szCs w:val="22"/>
                <w:highlight w:val="none"/>
              </w:rPr>
            </w:pPr>
            <w:r>
              <w:rPr>
                <w:rFonts w:hint="eastAsia" w:ascii="宋体" w:hAnsi="宋体" w:eastAsia="宋体" w:cs="宋体"/>
                <w:color w:val="auto"/>
                <w:sz w:val="22"/>
                <w:szCs w:val="22"/>
                <w:highlight w:val="none"/>
              </w:rPr>
              <w:t>当偏差率小于0：偏差率从0开始每降1%减0.1分。</w:t>
            </w:r>
          </w:p>
        </w:tc>
      </w:tr>
      <w:tr w14:paraId="68B43C3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 w:hRule="atLeast"/>
          <w:jc w:val="center"/>
        </w:trPr>
        <w:tc>
          <w:tcPr>
            <w:tcW w:w="9565" w:type="dxa"/>
            <w:gridSpan w:val="4"/>
            <w:noWrap w:val="0"/>
            <w:vAlign w:val="center"/>
          </w:tcPr>
          <w:p w14:paraId="76DF02BF">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需要补充的其他内容：</w:t>
            </w:r>
          </w:p>
          <w:p w14:paraId="02668364">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1.评标委员会首先依据本章第2.2款的规定对投标文件第一个信封（商务及技术文件）进行资格审查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有一项不符合评审标准的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作否决投标处理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且不再参与投标文件第二个信封（报价文件）开标、评审。</w:t>
            </w:r>
          </w:p>
          <w:p w14:paraId="28916378">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2.评标委员会根据本章第2.3款的规定对投标文件第一个信封（商务及技术文件）进行形式与响应</w:t>
            </w:r>
            <w:r>
              <w:rPr>
                <w:rFonts w:hint="eastAsia" w:ascii="宋体" w:hAnsi="宋体" w:cs="宋体"/>
                <w:color w:val="auto"/>
                <w:sz w:val="22"/>
                <w:szCs w:val="22"/>
                <w:highlight w:val="none"/>
                <w:lang w:val="en-US" w:eastAsia="zh-CN"/>
              </w:rPr>
              <w:t>性</w:t>
            </w:r>
            <w:r>
              <w:rPr>
                <w:rFonts w:hint="eastAsia" w:ascii="宋体" w:hAnsi="宋体" w:eastAsia="宋体" w:cs="宋体"/>
                <w:color w:val="auto"/>
                <w:sz w:val="22"/>
                <w:szCs w:val="22"/>
                <w:highlight w:val="none"/>
              </w:rPr>
              <w:t>评审</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有一项不符合评审标准的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作否决投标处理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且不再参与投标文件第二个信封（报价文件）开标、评审。</w:t>
            </w:r>
          </w:p>
          <w:p w14:paraId="4BE98D7D">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3</w:t>
            </w:r>
            <w:r>
              <w:rPr>
                <w:rFonts w:hint="eastAsia" w:ascii="宋体" w:hAnsi="宋体" w:eastAsia="宋体" w:cs="宋体"/>
                <w:color w:val="auto"/>
                <w:sz w:val="22"/>
                <w:szCs w:val="22"/>
                <w:highlight w:val="none"/>
              </w:rPr>
              <w:t>.</w:t>
            </w:r>
            <w:r>
              <w:rPr>
                <w:rFonts w:hint="eastAsia" w:ascii="宋体" w:hAnsi="宋体" w:eastAsia="宋体" w:cs="宋体"/>
                <w:b/>
                <w:color w:val="auto"/>
                <w:sz w:val="22"/>
                <w:szCs w:val="22"/>
                <w:highlight w:val="none"/>
              </w:rPr>
              <w:t>若有效投标文件不足三个</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评标委员会应当认真审查有效投标是否具有竞争性</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如认定投标具有竞争性的</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可以进行评标</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并在评标报告中载明；如认定投标明显缺乏竞争</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决定否决全部投标的</w:t>
            </w:r>
            <w:r>
              <w:rPr>
                <w:rFonts w:hint="eastAsia" w:ascii="宋体" w:hAnsi="宋体" w:cs="宋体"/>
                <w:b/>
                <w:color w:val="auto"/>
                <w:sz w:val="22"/>
                <w:szCs w:val="22"/>
                <w:highlight w:val="none"/>
                <w:lang w:eastAsia="zh-CN"/>
              </w:rPr>
              <w:t>，</w:t>
            </w:r>
            <w:r>
              <w:rPr>
                <w:rFonts w:hint="eastAsia" w:ascii="宋体" w:hAnsi="宋体" w:eastAsia="宋体" w:cs="宋体"/>
                <w:b/>
                <w:color w:val="auto"/>
                <w:sz w:val="22"/>
                <w:szCs w:val="22"/>
                <w:highlight w:val="none"/>
              </w:rPr>
              <w:t>招标人应当依法重新招标。</w:t>
            </w:r>
          </w:p>
          <w:p w14:paraId="23481FA5">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4.评标委员会各成员应以投标人的投标文件及根据要求所提交的澄清文件为依据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在讨论的基础上独立评分</w:t>
            </w:r>
            <w:r>
              <w:rPr>
                <w:rFonts w:hint="eastAsia" w:ascii="宋体" w:hAnsi="宋体" w:cs="宋体"/>
                <w:color w:val="auto"/>
                <w:sz w:val="22"/>
                <w:szCs w:val="22"/>
                <w:highlight w:val="none"/>
                <w:lang w:eastAsia="zh-CN"/>
              </w:rPr>
              <w:t>，</w:t>
            </w:r>
            <w:r>
              <w:rPr>
                <w:rFonts w:hint="eastAsia" w:ascii="宋体" w:hAnsi="宋体" w:eastAsia="宋体" w:cs="宋体"/>
                <w:b/>
                <w:bCs/>
                <w:color w:val="auto"/>
                <w:sz w:val="22"/>
                <w:szCs w:val="22"/>
                <w:highlight w:val="none"/>
              </w:rPr>
              <w:t>各评分均保留至小数点后一位</w:t>
            </w:r>
            <w:r>
              <w:rPr>
                <w:rFonts w:hint="eastAsia" w:ascii="宋体" w:hAnsi="宋体" w:cs="宋体"/>
                <w:color w:val="auto"/>
                <w:sz w:val="22"/>
                <w:szCs w:val="22"/>
                <w:highlight w:val="none"/>
                <w:lang w:eastAsia="zh-CN"/>
              </w:rPr>
              <w:t>，</w:t>
            </w:r>
            <w:r>
              <w:rPr>
                <w:rFonts w:hint="eastAsia" w:ascii="宋体" w:hAnsi="宋体" w:eastAsia="宋体" w:cs="宋体"/>
                <w:b/>
                <w:bCs/>
                <w:color w:val="auto"/>
                <w:sz w:val="22"/>
                <w:szCs w:val="22"/>
                <w:highlight w:val="none"/>
              </w:rPr>
              <w:t>评分分值计算保留小数点后两位</w:t>
            </w:r>
            <w:r>
              <w:rPr>
                <w:rFonts w:hint="eastAsia" w:ascii="宋体" w:hAnsi="宋体" w:eastAsia="宋体" w:cs="宋体"/>
                <w:color w:val="auto"/>
                <w:sz w:val="22"/>
                <w:szCs w:val="22"/>
                <w:highlight w:val="none"/>
              </w:rPr>
              <w:t>。对各评分因素评分低于其权重得分60%的需在评标报告予以说明。</w:t>
            </w:r>
          </w:p>
          <w:p w14:paraId="5A4FCD3F">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5.各评分因素细分项的得分以评标委员会各成员的评分平均值确定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评标委员会成员总数为7人及以上时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该平均值以去掉一个最高和一个最低分后计算；投标文件第一个信封评分分值为各项的评分之和。计算结果保留2位小数</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小数点后第三位“四舍五入”。</w:t>
            </w:r>
          </w:p>
          <w:p w14:paraId="278CA4CA">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6.招标人仅对通过投标文件第一个信封商务及技术评审的投标人的投标文件第二个信封（报价文件）进行开标。</w:t>
            </w:r>
          </w:p>
          <w:p w14:paraId="43B59B12">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7.评标委员会依据本章第2.7款的规定对投标文件第二个信封（报价文件）进行初步评审。</w:t>
            </w:r>
          </w:p>
          <w:p w14:paraId="2F937086">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u w:val="none"/>
              </w:rPr>
            </w:pPr>
            <w:r>
              <w:rPr>
                <w:rFonts w:hint="eastAsia" w:ascii="宋体" w:hAnsi="宋体" w:eastAsia="宋体" w:cs="宋体"/>
                <w:b w:val="0"/>
                <w:bCs w:val="0"/>
                <w:color w:val="auto"/>
                <w:kern w:val="0"/>
                <w:sz w:val="22"/>
                <w:szCs w:val="22"/>
                <w:highlight w:val="none"/>
                <w:u w:val="none"/>
                <w:lang w:val="en-US" w:eastAsia="zh-CN"/>
              </w:rPr>
              <w:t>8</w:t>
            </w:r>
            <w:r>
              <w:rPr>
                <w:rFonts w:hint="eastAsia" w:ascii="宋体" w:hAnsi="宋体" w:eastAsia="宋体" w:cs="宋体"/>
                <w:color w:val="auto"/>
                <w:sz w:val="22"/>
                <w:szCs w:val="22"/>
                <w:highlight w:val="none"/>
              </w:rPr>
              <w:t>.</w:t>
            </w:r>
            <w:r>
              <w:rPr>
                <w:rFonts w:hint="eastAsia" w:ascii="宋体" w:hAnsi="宋体" w:eastAsia="宋体" w:cs="宋体"/>
                <w:b w:val="0"/>
                <w:bCs w:val="0"/>
                <w:color w:val="auto"/>
                <w:kern w:val="0"/>
                <w:sz w:val="22"/>
                <w:szCs w:val="22"/>
                <w:highlight w:val="none"/>
                <w:u w:val="none"/>
                <w:lang w:val="en-US" w:eastAsia="zh-CN"/>
              </w:rPr>
              <w:t>评标价得分最低为0分。</w:t>
            </w:r>
          </w:p>
          <w:p w14:paraId="0B72749C">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9</w:t>
            </w:r>
            <w:r>
              <w:rPr>
                <w:rFonts w:hint="eastAsia" w:ascii="宋体" w:hAnsi="宋体" w:eastAsia="宋体" w:cs="宋体"/>
                <w:color w:val="auto"/>
                <w:sz w:val="22"/>
                <w:szCs w:val="22"/>
                <w:highlight w:val="none"/>
              </w:rPr>
              <w:t>.评标委员会按照综合得分</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lang w:val="en-US" w:eastAsia="zh-CN"/>
              </w:rPr>
              <w:t>第一信封得分和第二信封得分合计</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从高到低的顺序推荐中标候选人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得分最高者为第一中标候选人、第二、第三名依次为第二、第三中标候选人。综合得分相等时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评标委员会按照以下优先顺序推荐中标候选人：</w:t>
            </w:r>
          </w:p>
          <w:p w14:paraId="4C5FB962">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（1）评标价低的投标人优先；</w:t>
            </w:r>
          </w:p>
          <w:p w14:paraId="51036ED6">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2</w:t>
            </w:r>
            <w:r>
              <w:rPr>
                <w:rFonts w:hint="eastAsia" w:ascii="宋体" w:hAnsi="宋体" w:eastAsia="宋体" w:cs="宋体"/>
                <w:b/>
                <w:color w:val="auto"/>
                <w:sz w:val="22"/>
                <w:szCs w:val="22"/>
                <w:highlight w:val="none"/>
              </w:rPr>
              <w:t>）工作大纲得分较高的投标人优先；</w:t>
            </w:r>
          </w:p>
          <w:p w14:paraId="0EFC7F09">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w:t>
            </w:r>
            <w:r>
              <w:rPr>
                <w:rFonts w:hint="eastAsia" w:ascii="宋体" w:hAnsi="宋体" w:eastAsia="宋体" w:cs="宋体"/>
                <w:b/>
                <w:color w:val="auto"/>
                <w:sz w:val="22"/>
                <w:szCs w:val="22"/>
                <w:highlight w:val="none"/>
                <w:lang w:val="en-US" w:eastAsia="zh-CN"/>
              </w:rPr>
              <w:t>3</w:t>
            </w:r>
            <w:r>
              <w:rPr>
                <w:rFonts w:hint="eastAsia" w:ascii="宋体" w:hAnsi="宋体" w:eastAsia="宋体" w:cs="宋体"/>
                <w:b/>
                <w:color w:val="auto"/>
                <w:sz w:val="22"/>
                <w:szCs w:val="22"/>
                <w:highlight w:val="none"/>
              </w:rPr>
              <w:t>）评标委员会全体成员记名票决确定中标候选人。</w:t>
            </w:r>
          </w:p>
          <w:p w14:paraId="61226FC5">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val="en-US" w:eastAsia="zh-CN"/>
              </w:rPr>
              <w:t>10</w:t>
            </w:r>
            <w:r>
              <w:rPr>
                <w:rFonts w:hint="eastAsia" w:ascii="宋体" w:hAnsi="宋体" w:eastAsia="宋体" w:cs="宋体"/>
                <w:color w:val="auto"/>
                <w:sz w:val="22"/>
                <w:szCs w:val="22"/>
                <w:highlight w:val="none"/>
              </w:rPr>
              <w:t>.如果评标委员会认为在评标过程中有影响最终评标结果的不能确定的特殊问题</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应在评标意见中记载并提请招标人决定。</w:t>
            </w:r>
          </w:p>
          <w:p w14:paraId="1D25FAFD">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b/>
                <w:bCs/>
                <w:color w:val="auto"/>
                <w:sz w:val="22"/>
                <w:szCs w:val="22"/>
                <w:highlight w:val="none"/>
              </w:rPr>
            </w:pPr>
            <w:r>
              <w:rPr>
                <w:rFonts w:hint="eastAsia" w:ascii="宋体" w:hAnsi="宋体" w:cs="宋体"/>
                <w:b/>
                <w:bCs/>
                <w:color w:val="auto"/>
                <w:sz w:val="22"/>
                <w:szCs w:val="22"/>
                <w:highlight w:val="none"/>
                <w:lang w:val="en-US" w:eastAsia="zh-CN"/>
              </w:rPr>
              <w:t>11.</w:t>
            </w:r>
            <w:r>
              <w:rPr>
                <w:rFonts w:hint="eastAsia" w:ascii="宋体" w:hAnsi="宋体" w:eastAsia="宋体" w:cs="宋体"/>
                <w:b/>
                <w:bCs/>
                <w:color w:val="auto"/>
                <w:sz w:val="22"/>
                <w:szCs w:val="22"/>
                <w:highlight w:val="none"/>
              </w:rPr>
              <w:t>如果投标人认为某一标段的评标基准价计算有误，有权在开标现场提出，经招标人当场核实确认之后，可重新宣布评标基准价。开标现场宣布的评标基准价除计算有误经评标委员会修正外，在整个评标期间保持不变，不随任何因素发生变化（包括因投诉或其他原因而进行的评标复议期间）。</w:t>
            </w:r>
          </w:p>
          <w:p w14:paraId="441B43AF">
            <w:pPr>
              <w:keepNext w:val="0"/>
              <w:keepLines w:val="0"/>
              <w:pageBreakBefore w:val="0"/>
              <w:widowControl w:val="0"/>
              <w:kinsoku/>
              <w:overflowPunct/>
              <w:topLinePunct w:val="0"/>
              <w:autoSpaceDE/>
              <w:autoSpaceDN/>
              <w:bidi w:val="0"/>
              <w:adjustRightInd/>
              <w:snapToGrid/>
              <w:spacing w:line="340" w:lineRule="exact"/>
              <w:textAlignment w:val="auto"/>
              <w:rPr>
                <w:rFonts w:hint="eastAsia" w:ascii="宋体" w:hAnsi="宋体" w:eastAsia="宋体" w:cs="宋体"/>
                <w:color w:val="auto"/>
                <w:sz w:val="22"/>
                <w:szCs w:val="22"/>
                <w:highlight w:val="none"/>
              </w:rPr>
            </w:pPr>
            <w:r>
              <w:rPr>
                <w:rFonts w:hint="eastAsia" w:ascii="宋体" w:hAnsi="宋体" w:cs="宋体"/>
                <w:b/>
                <w:bCs/>
                <w:color w:val="auto"/>
                <w:sz w:val="22"/>
                <w:szCs w:val="22"/>
                <w:highlight w:val="none"/>
                <w:lang w:val="en-US" w:eastAsia="zh-CN"/>
              </w:rPr>
              <w:t>12.</w:t>
            </w:r>
            <w:r>
              <w:rPr>
                <w:rFonts w:hint="eastAsia" w:ascii="宋体" w:hAnsi="宋体" w:eastAsia="宋体" w:cs="宋体"/>
                <w:b/>
                <w:bCs/>
                <w:color w:val="auto"/>
                <w:sz w:val="22"/>
                <w:szCs w:val="22"/>
                <w:highlight w:val="none"/>
              </w:rPr>
              <w:t>T—投标控制价上限权重值、 K—评标基准价浮动系数在第二信封开标现场由招标人代表或监督机构代表或招标代理机构随机抽取产生；报价分计算方法：（1）评标价的确定：第二条投标报价为“投标函文字报价”，（2）A=招标人设定投标控制价上限总价。</w:t>
            </w:r>
          </w:p>
        </w:tc>
      </w:tr>
    </w:tbl>
    <w:p w14:paraId="1B0023E5">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b/>
          <w:color w:val="auto"/>
          <w:sz w:val="22"/>
          <w:szCs w:val="22"/>
          <w:highlight w:val="none"/>
        </w:rPr>
      </w:pPr>
      <w:r>
        <w:rPr>
          <w:rFonts w:hint="eastAsia" w:ascii="宋体" w:hAnsi="宋体" w:cs="宋体"/>
          <w:color w:val="auto"/>
          <w:sz w:val="21"/>
          <w:szCs w:val="21"/>
          <w:highlight w:val="none"/>
        </w:rPr>
        <w:br w:type="page"/>
      </w:r>
      <w:r>
        <w:rPr>
          <w:rFonts w:hint="eastAsia" w:ascii="宋体" w:hAnsi="宋体" w:cs="宋体"/>
          <w:b/>
          <w:color w:val="auto"/>
          <w:sz w:val="22"/>
          <w:szCs w:val="22"/>
          <w:highlight w:val="none"/>
        </w:rPr>
        <w:t>1.总则</w:t>
      </w:r>
    </w:p>
    <w:p w14:paraId="2759533F">
      <w:pPr>
        <w:keepNext w:val="0"/>
        <w:keepLines w:val="0"/>
        <w:pageBreakBefore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sz w:val="22"/>
          <w:szCs w:val="22"/>
          <w:highlight w:val="none"/>
        </w:rPr>
      </w:pPr>
      <w:r>
        <w:rPr>
          <w:rFonts w:hint="eastAsia" w:ascii="宋体" w:hAnsi="宋体" w:cs="宋体"/>
          <w:color w:val="auto"/>
          <w:sz w:val="22"/>
          <w:szCs w:val="22"/>
          <w:highlight w:val="none"/>
        </w:rPr>
        <w:t>本次评标采用综合评估法。评标委员会对满足招标文件实质性要求的投标文件</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按照本章第2条规定的评分标准进行打分</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并按得分由高到低顺序推荐中标候选人</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或根据招标人授权直接确定中标人。</w:t>
      </w:r>
    </w:p>
    <w:p w14:paraId="60C9C0CB">
      <w:pPr>
        <w:keepNext w:val="0"/>
        <w:keepLines w:val="0"/>
        <w:pageBreakBefore w:val="0"/>
        <w:kinsoku/>
        <w:wordWrap/>
        <w:overflowPunct/>
        <w:topLinePunct w:val="0"/>
        <w:autoSpaceDE/>
        <w:autoSpaceDN/>
        <w:bidi w:val="0"/>
        <w:adjustRightInd w:val="0"/>
        <w:snapToGrid w:val="0"/>
        <w:spacing w:line="360" w:lineRule="auto"/>
        <w:ind w:firstLine="442" w:firstLineChars="200"/>
        <w:jc w:val="left"/>
        <w:textAlignment w:val="auto"/>
        <w:rPr>
          <w:rFonts w:hint="eastAsia" w:ascii="宋体" w:hAnsi="宋体" w:cs="宋体"/>
          <w:b/>
          <w:color w:val="auto"/>
          <w:sz w:val="22"/>
          <w:szCs w:val="22"/>
          <w:highlight w:val="none"/>
        </w:rPr>
      </w:pPr>
      <w:r>
        <w:rPr>
          <w:rFonts w:hint="eastAsia" w:ascii="宋体" w:hAnsi="宋体" w:cs="宋体"/>
          <w:b/>
          <w:color w:val="auto"/>
          <w:sz w:val="22"/>
          <w:szCs w:val="22"/>
          <w:highlight w:val="none"/>
        </w:rPr>
        <w:t>2.评标程序和评审标准</w:t>
      </w:r>
    </w:p>
    <w:p w14:paraId="47A6979C">
      <w:pPr>
        <w:keepNext w:val="0"/>
        <w:keepLines w:val="0"/>
        <w:pageBreakBefore w:val="0"/>
        <w:kinsoku/>
        <w:wordWrap/>
        <w:overflowPunct/>
        <w:topLinePunct w:val="0"/>
        <w:autoSpaceDE/>
        <w:autoSpaceDN/>
        <w:bidi w:val="0"/>
        <w:adjustRightInd w:val="0"/>
        <w:snapToGrid w:val="0"/>
        <w:spacing w:line="360" w:lineRule="auto"/>
        <w:ind w:firstLine="442" w:firstLineChars="200"/>
        <w:jc w:val="left"/>
        <w:textAlignment w:val="auto"/>
        <w:rPr>
          <w:rFonts w:hint="eastAsia" w:ascii="宋体" w:hAnsi="宋体" w:cs="宋体"/>
          <w:b/>
          <w:color w:val="auto"/>
          <w:sz w:val="22"/>
          <w:szCs w:val="22"/>
          <w:highlight w:val="none"/>
        </w:rPr>
      </w:pPr>
      <w:r>
        <w:rPr>
          <w:rFonts w:hint="eastAsia" w:ascii="宋体" w:hAnsi="宋体" w:cs="宋体"/>
          <w:b/>
          <w:color w:val="auto"/>
          <w:sz w:val="22"/>
          <w:szCs w:val="22"/>
          <w:highlight w:val="none"/>
        </w:rPr>
        <w:t>2.1 评标程序</w:t>
      </w:r>
    </w:p>
    <w:p w14:paraId="18CEE01D">
      <w:pPr>
        <w:keepNext w:val="0"/>
        <w:keepLines w:val="0"/>
        <w:pageBreakBefore w:val="0"/>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sz w:val="22"/>
          <w:szCs w:val="22"/>
          <w:highlight w:val="none"/>
        </w:rPr>
      </w:pPr>
      <w:r>
        <w:rPr>
          <w:rFonts w:hint="eastAsia" w:ascii="宋体" w:hAnsi="宋体" w:cs="宋体"/>
          <w:color w:val="auto"/>
          <w:sz w:val="22"/>
          <w:szCs w:val="22"/>
          <w:highlight w:val="none"/>
        </w:rPr>
        <w:t>评标工作按以下程序进行：</w:t>
      </w:r>
    </w:p>
    <w:p w14:paraId="2C4811E4">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2.1.1 第一信封资格审查；</w:t>
      </w:r>
    </w:p>
    <w:p w14:paraId="69B1EB2E">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第一信封形式与响应性评审；</w:t>
      </w:r>
    </w:p>
    <w:p w14:paraId="71AFA4EE">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第一信封澄清（如果需要）；</w:t>
      </w:r>
    </w:p>
    <w:p w14:paraId="011EE16A">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第一信封详细评审。</w:t>
      </w:r>
    </w:p>
    <w:p w14:paraId="2BD52FF2">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2.1.2 第二信封初步评审；</w:t>
      </w:r>
    </w:p>
    <w:p w14:paraId="6371CA54">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第二信封算术性修正</w:t>
      </w:r>
    </w:p>
    <w:p w14:paraId="3B0AD4F0">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第二信封澄清（如果需要）；</w:t>
      </w:r>
    </w:p>
    <w:p w14:paraId="5BD4DBE1">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第二信封详细评审。</w:t>
      </w:r>
    </w:p>
    <w:p w14:paraId="59BCA91C">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2.1.3 综合评价</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推荐中标候选人。</w:t>
      </w:r>
    </w:p>
    <w:p w14:paraId="3E3C7F36">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2.1.4 编写评标报告。</w:t>
      </w:r>
    </w:p>
    <w:p w14:paraId="41F555B3">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2.2 第一信封资格审查</w:t>
      </w:r>
    </w:p>
    <w:p w14:paraId="28845883">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评标委员会首先对投标人提交的资格审查表进行审查</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有一项不符合评审标准的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作废标处理。通过资格审查的标准见“评标办法前附表”。评标委员会可以要求投标人提交有关证明和证件的原件</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以便核验。</w:t>
      </w:r>
    </w:p>
    <w:p w14:paraId="7E4405CD">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2.3 第一信封形式与响应性评审</w:t>
      </w:r>
    </w:p>
    <w:p w14:paraId="2B5700CC">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b w:val="0"/>
          <w:bCs w:val="0"/>
          <w:color w:val="auto"/>
          <w:sz w:val="22"/>
          <w:szCs w:val="22"/>
          <w:highlight w:val="none"/>
        </w:rPr>
        <w:t>评标委员会对通过资格审查的投标文件</w:t>
      </w:r>
      <w:r>
        <w:rPr>
          <w:rFonts w:hint="eastAsia" w:ascii="宋体" w:hAnsi="宋体" w:cs="宋体"/>
          <w:b w:val="0"/>
          <w:bCs w:val="0"/>
          <w:color w:val="auto"/>
          <w:sz w:val="22"/>
          <w:szCs w:val="22"/>
          <w:highlight w:val="none"/>
          <w:lang w:eastAsia="zh-CN"/>
        </w:rPr>
        <w:t>第一个信封（商务及技术文件）</w:t>
      </w:r>
      <w:r>
        <w:rPr>
          <w:rFonts w:hint="eastAsia" w:ascii="宋体" w:hAnsi="宋体" w:cs="宋体"/>
          <w:b w:val="0"/>
          <w:bCs w:val="0"/>
          <w:color w:val="auto"/>
          <w:sz w:val="22"/>
          <w:szCs w:val="22"/>
          <w:highlight w:val="none"/>
        </w:rPr>
        <w:t>进行初步形式与响应性评审</w:t>
      </w:r>
      <w:r>
        <w:rPr>
          <w:rFonts w:hint="eastAsia" w:ascii="宋体" w:hAnsi="宋体" w:cs="宋体"/>
          <w:b w:val="0"/>
          <w:bCs w:val="0"/>
          <w:color w:val="auto"/>
          <w:sz w:val="22"/>
          <w:szCs w:val="22"/>
          <w:highlight w:val="none"/>
          <w:lang w:eastAsia="zh-CN"/>
        </w:rPr>
        <w:t>，</w:t>
      </w:r>
      <w:r>
        <w:rPr>
          <w:rFonts w:hint="eastAsia" w:ascii="宋体" w:hAnsi="宋体" w:cs="宋体"/>
          <w:b w:val="0"/>
          <w:bCs w:val="0"/>
          <w:color w:val="auto"/>
          <w:sz w:val="22"/>
          <w:szCs w:val="22"/>
          <w:highlight w:val="none"/>
        </w:rPr>
        <w:t>有一项不符合评审标准的</w:t>
      </w:r>
      <w:r>
        <w:rPr>
          <w:rFonts w:hint="eastAsia" w:ascii="宋体" w:hAnsi="宋体" w:cs="宋体"/>
          <w:b w:val="0"/>
          <w:bCs w:val="0"/>
          <w:color w:val="auto"/>
          <w:sz w:val="22"/>
          <w:szCs w:val="22"/>
          <w:highlight w:val="none"/>
          <w:lang w:eastAsia="zh-CN"/>
        </w:rPr>
        <w:t>，</w:t>
      </w:r>
      <w:r>
        <w:rPr>
          <w:rFonts w:hint="eastAsia" w:ascii="宋体" w:hAnsi="宋体" w:cs="宋体"/>
          <w:b w:val="0"/>
          <w:bCs w:val="0"/>
          <w:color w:val="auto"/>
          <w:sz w:val="22"/>
          <w:szCs w:val="22"/>
          <w:highlight w:val="none"/>
        </w:rPr>
        <w:t>作废标处理。通过初步评审的标准见“评标办法前附表”。</w:t>
      </w:r>
    </w:p>
    <w:p w14:paraId="37AB6D3E">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2.4 第一信封澄清</w:t>
      </w:r>
    </w:p>
    <w:p w14:paraId="43C4472E">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在评标过程中</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评标委员会可以书面形式要求投标人对所提交投标文件中含义不明确、对同类问题表述不一致或者有明显文字错误的内容作必要的澄清、说明或者补正。评标委员会不接受投标人主动提出的澄清、说明或补正。</w:t>
      </w:r>
    </w:p>
    <w:p w14:paraId="0BF85331">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澄清、说明或者补正应以书面方式进行</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并不得超出投标文件的范围或者改变投标文件的实质性内容。投标人的书面澄清、说明和补正属于投标文件的组成部分。</w:t>
      </w:r>
    </w:p>
    <w:p w14:paraId="77F7FA24">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评标委员会对投标人提交的澄清、说明或补正有疑问的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可以要求投标人进一步澄清、说明或补正</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直至满足评标委员会的要求。凡超出招标文件规定的或给发包人带来未曾要求的利益的变化、偏差或其他因素在评标时不予考虑。</w:t>
      </w:r>
    </w:p>
    <w:p w14:paraId="7370D977">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2.5 第一信封详细评审</w:t>
      </w:r>
    </w:p>
    <w:p w14:paraId="45DBB01F">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评标委员会只对通过初步评审的投标文件</w:t>
      </w:r>
      <w:r>
        <w:rPr>
          <w:rFonts w:hint="eastAsia" w:ascii="宋体" w:hAnsi="宋体" w:cs="宋体"/>
          <w:color w:val="auto"/>
          <w:sz w:val="22"/>
          <w:szCs w:val="22"/>
          <w:highlight w:val="none"/>
          <w:lang w:eastAsia="zh-CN"/>
        </w:rPr>
        <w:t>第一个信封（商务及技术文件）</w:t>
      </w:r>
      <w:r>
        <w:rPr>
          <w:rFonts w:hint="eastAsia" w:ascii="宋体" w:hAnsi="宋体" w:cs="宋体"/>
          <w:color w:val="auto"/>
          <w:sz w:val="22"/>
          <w:szCs w:val="22"/>
          <w:highlight w:val="none"/>
        </w:rPr>
        <w:t>进行详细评审。评标委员会按“评标办法前附表”规定的评审因素和评分值进行评分</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并计算出各投标人的商务和技术得分。</w:t>
      </w:r>
    </w:p>
    <w:p w14:paraId="3617F1A6">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2.6  第二信封开标</w:t>
      </w:r>
    </w:p>
    <w:p w14:paraId="56DAB800">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lang w:eastAsia="zh-CN"/>
        </w:rPr>
        <w:t>第一个信封（商务及技术文件）</w:t>
      </w:r>
      <w:r>
        <w:rPr>
          <w:rFonts w:hint="eastAsia" w:ascii="宋体" w:hAnsi="宋体" w:cs="宋体"/>
          <w:color w:val="auto"/>
          <w:sz w:val="22"/>
          <w:szCs w:val="22"/>
          <w:highlight w:val="none"/>
        </w:rPr>
        <w:t>评审结束后</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招标人将对通过投标文件</w:t>
      </w:r>
      <w:r>
        <w:rPr>
          <w:rFonts w:hint="eastAsia" w:ascii="宋体" w:hAnsi="宋体" w:cs="宋体"/>
          <w:color w:val="auto"/>
          <w:sz w:val="22"/>
          <w:szCs w:val="22"/>
          <w:highlight w:val="none"/>
          <w:lang w:eastAsia="zh-CN"/>
        </w:rPr>
        <w:t>第一个信封（商务及技术文件）</w:t>
      </w:r>
      <w:r>
        <w:rPr>
          <w:rFonts w:hint="eastAsia" w:ascii="宋体" w:hAnsi="宋体" w:cs="宋体"/>
          <w:color w:val="auto"/>
          <w:sz w:val="22"/>
          <w:szCs w:val="22"/>
          <w:highlight w:val="none"/>
        </w:rPr>
        <w:t>评审的投标文件</w:t>
      </w:r>
      <w:r>
        <w:rPr>
          <w:rFonts w:hint="eastAsia" w:ascii="宋体" w:hAnsi="宋体" w:cs="宋体"/>
          <w:color w:val="auto"/>
          <w:sz w:val="22"/>
          <w:szCs w:val="22"/>
          <w:highlight w:val="none"/>
          <w:lang w:eastAsia="zh-CN"/>
        </w:rPr>
        <w:t>第二个信封（报价文件）</w:t>
      </w:r>
      <w:r>
        <w:rPr>
          <w:rFonts w:hint="eastAsia" w:ascii="宋体" w:hAnsi="宋体" w:cs="宋体"/>
          <w:color w:val="auto"/>
          <w:sz w:val="22"/>
          <w:szCs w:val="22"/>
          <w:highlight w:val="none"/>
        </w:rPr>
        <w:t>进行开标。未通过第一信封评审的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不再参与投标文件第二个信封（报价文件）开标、评审。</w:t>
      </w:r>
    </w:p>
    <w:p w14:paraId="0083F28F">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2.7 第二信封初步评审</w:t>
      </w:r>
    </w:p>
    <w:p w14:paraId="02B69FD3">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评标委员会对通过投标文件</w:t>
      </w:r>
      <w:r>
        <w:rPr>
          <w:rFonts w:hint="eastAsia" w:ascii="宋体" w:hAnsi="宋体" w:cs="宋体"/>
          <w:color w:val="auto"/>
          <w:sz w:val="22"/>
          <w:szCs w:val="22"/>
          <w:highlight w:val="none"/>
          <w:lang w:eastAsia="zh-CN"/>
        </w:rPr>
        <w:t>第一个信封（商务及技术文件）</w:t>
      </w:r>
      <w:r>
        <w:rPr>
          <w:rFonts w:hint="eastAsia" w:ascii="宋体" w:hAnsi="宋体" w:cs="宋体"/>
          <w:color w:val="auto"/>
          <w:sz w:val="22"/>
          <w:szCs w:val="22"/>
          <w:highlight w:val="none"/>
        </w:rPr>
        <w:t>评审的投标文件</w:t>
      </w:r>
      <w:r>
        <w:rPr>
          <w:rFonts w:hint="eastAsia" w:ascii="宋体" w:hAnsi="宋体" w:cs="宋体"/>
          <w:color w:val="auto"/>
          <w:sz w:val="22"/>
          <w:szCs w:val="22"/>
          <w:highlight w:val="none"/>
          <w:lang w:eastAsia="zh-CN"/>
        </w:rPr>
        <w:t>第二个信封（报价文件）</w:t>
      </w:r>
      <w:r>
        <w:rPr>
          <w:rFonts w:hint="eastAsia" w:ascii="宋体" w:hAnsi="宋体" w:cs="宋体"/>
          <w:color w:val="auto"/>
          <w:sz w:val="22"/>
          <w:szCs w:val="22"/>
          <w:highlight w:val="none"/>
        </w:rPr>
        <w:t>进行初步评审</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有一项不符合评审标准的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作废标处理。通过初步评审的标准见“评标办法前附表”。</w:t>
      </w:r>
    </w:p>
    <w:p w14:paraId="372B96BB">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2.8 第二信封算术性修正</w:t>
      </w:r>
    </w:p>
    <w:p w14:paraId="0D77058F">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评标委员会对通过投标文件</w:t>
      </w:r>
      <w:r>
        <w:rPr>
          <w:rFonts w:hint="eastAsia" w:ascii="宋体" w:hAnsi="宋体" w:cs="宋体"/>
          <w:color w:val="auto"/>
          <w:sz w:val="22"/>
          <w:szCs w:val="22"/>
          <w:highlight w:val="none"/>
          <w:lang w:eastAsia="zh-CN"/>
        </w:rPr>
        <w:t>第二个信封（报价文件）</w:t>
      </w:r>
      <w:r>
        <w:rPr>
          <w:rFonts w:hint="eastAsia" w:ascii="宋体" w:hAnsi="宋体" w:cs="宋体"/>
          <w:color w:val="auto"/>
          <w:sz w:val="22"/>
          <w:szCs w:val="22"/>
          <w:highlight w:val="none"/>
        </w:rPr>
        <w:t>初步评审的投标人的投标报价进行校核</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并对其中的算术性错误予以修正。修正的原则如下：</w:t>
      </w:r>
    </w:p>
    <w:p w14:paraId="7F9FFFEB">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（1）大写金额与小写金额不一致的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以大写金额为准；</w:t>
      </w:r>
    </w:p>
    <w:p w14:paraId="6342366C">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（2）单价金额与数量相乘与合价金额不一致的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以单价金额为准；如果单价金额有明显的小数点位置差错</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应以标出的合价金额为准</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同时对单价金额予以修正；</w:t>
      </w:r>
    </w:p>
    <w:p w14:paraId="03CCBD55">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（3）合价金额累计与总价金额不一致的</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以合价金额为准</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修正总价金额。</w:t>
      </w:r>
    </w:p>
    <w:p w14:paraId="64E5F321">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2.9 第二信封澄清</w:t>
      </w:r>
    </w:p>
    <w:p w14:paraId="58591093">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算术性修正后的报价如果与投标人原报价不同</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评标时将书面通知投标人进行澄清</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投标人应确认算术性修正后的报价；如投标人拒绝确认</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则其投标文件将不予评审</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作废标处理。修正后的最终投标报价若超过最高投标限价</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投标人的投标文件作废标处理。</w:t>
      </w:r>
    </w:p>
    <w:p w14:paraId="6E3632E0">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2.10 第二信封详细评审</w:t>
      </w:r>
    </w:p>
    <w:p w14:paraId="36BE62BD">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计算所有通过</w:t>
      </w:r>
      <w:r>
        <w:rPr>
          <w:rFonts w:hint="eastAsia" w:ascii="宋体" w:hAnsi="宋体" w:cs="宋体"/>
          <w:color w:val="auto"/>
          <w:sz w:val="22"/>
          <w:szCs w:val="22"/>
          <w:highlight w:val="none"/>
          <w:lang w:eastAsia="zh-CN"/>
        </w:rPr>
        <w:t>第二个信封（报价文件）</w:t>
      </w:r>
      <w:r>
        <w:rPr>
          <w:rFonts w:hint="eastAsia" w:ascii="宋体" w:hAnsi="宋体" w:cs="宋体"/>
          <w:color w:val="auto"/>
          <w:sz w:val="22"/>
          <w:szCs w:val="22"/>
          <w:highlight w:val="none"/>
        </w:rPr>
        <w:t>初步评审以及算术性修正后的投标人的投标价得分。投标价得分的计算方法见“评标办法前附表”。</w:t>
      </w:r>
    </w:p>
    <w:p w14:paraId="2E72F5E1">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2.11 评标排序</w:t>
      </w:r>
    </w:p>
    <w:p w14:paraId="73FFCDE0">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评标委员会成员应当按照评标办法的规定</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独立评分并署名。各投标人的综合得分为商务和技术得分与报价得分之和。按照综合得分由高到低的顺序</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评标委员会对投标人进行排名。</w:t>
      </w:r>
    </w:p>
    <w:p w14:paraId="4982C892">
      <w:pPr>
        <w:spacing w:line="360" w:lineRule="auto"/>
        <w:ind w:firstLine="440" w:firstLineChars="200"/>
        <w:jc w:val="left"/>
        <w:rPr>
          <w:rFonts w:hint="eastAsia" w:ascii="宋体" w:hAnsi="宋体" w:cs="宋体"/>
          <w:color w:val="auto"/>
          <w:sz w:val="22"/>
          <w:szCs w:val="22"/>
          <w:highlight w:val="none"/>
        </w:rPr>
      </w:pPr>
      <w:r>
        <w:rPr>
          <w:rFonts w:hint="eastAsia" w:ascii="宋体" w:hAnsi="宋体" w:cs="宋体"/>
          <w:color w:val="auto"/>
          <w:sz w:val="22"/>
          <w:szCs w:val="22"/>
          <w:highlight w:val="none"/>
        </w:rPr>
        <w:t>评标委员会推荐综合得分排名第一的投标人为第一中标候选人</w:t>
      </w:r>
      <w:r>
        <w:rPr>
          <w:rFonts w:hint="eastAsia" w:ascii="宋体" w:hAnsi="宋体" w:cs="宋体"/>
          <w:color w:val="auto"/>
          <w:sz w:val="22"/>
          <w:szCs w:val="22"/>
          <w:highlight w:val="none"/>
          <w:lang w:eastAsia="zh-CN"/>
        </w:rPr>
        <w:t>，</w:t>
      </w:r>
      <w:r>
        <w:rPr>
          <w:rFonts w:hint="eastAsia" w:ascii="宋体" w:hAnsi="宋体" w:cs="宋体"/>
          <w:color w:val="auto"/>
          <w:sz w:val="22"/>
          <w:szCs w:val="22"/>
          <w:highlight w:val="none"/>
        </w:rPr>
        <w:t>综合得分排名第二、第三的投标人分别为第二、第三中标候选人。</w:t>
      </w:r>
    </w:p>
    <w:p w14:paraId="601B9753">
      <w:pPr>
        <w:spacing w:line="360" w:lineRule="auto"/>
        <w:ind w:firstLine="442" w:firstLineChars="200"/>
        <w:jc w:val="left"/>
        <w:rPr>
          <w:rFonts w:hint="eastAsia" w:ascii="宋体" w:hAnsi="宋体" w:cs="宋体"/>
          <w:b/>
          <w:color w:val="auto"/>
          <w:sz w:val="22"/>
          <w:szCs w:val="22"/>
          <w:highlight w:val="none"/>
        </w:rPr>
      </w:pPr>
      <w:r>
        <w:rPr>
          <w:rFonts w:hint="eastAsia" w:ascii="宋体" w:hAnsi="宋体" w:cs="宋体"/>
          <w:b/>
          <w:color w:val="auto"/>
          <w:sz w:val="22"/>
          <w:szCs w:val="22"/>
          <w:highlight w:val="none"/>
        </w:rPr>
        <w:t>2.12 评标结果</w:t>
      </w:r>
    </w:p>
    <w:p w14:paraId="6A141349">
      <w:pPr>
        <w:pStyle w:val="28"/>
        <w:spacing w:before="0" w:after="0" w:line="360" w:lineRule="auto"/>
        <w:ind w:firstLine="440" w:firstLineChars="200"/>
        <w:jc w:val="left"/>
        <w:outlineLvl w:val="9"/>
        <w:rPr>
          <w:rFonts w:hint="eastAsia" w:ascii="宋体" w:hAnsi="宋体" w:cs="宋体"/>
          <w:b w:val="0"/>
          <w:bCs w:val="0"/>
          <w:color w:val="auto"/>
          <w:kern w:val="2"/>
          <w:sz w:val="22"/>
          <w:szCs w:val="22"/>
          <w:highlight w:val="none"/>
        </w:rPr>
      </w:pPr>
      <w:r>
        <w:rPr>
          <w:rFonts w:hint="eastAsia" w:ascii="宋体" w:hAnsi="宋体" w:cs="宋体"/>
          <w:b w:val="0"/>
          <w:bCs w:val="0"/>
          <w:color w:val="auto"/>
          <w:kern w:val="2"/>
          <w:sz w:val="22"/>
          <w:szCs w:val="22"/>
          <w:highlight w:val="none"/>
        </w:rPr>
        <w:t>评标委员会应当在评标工作完成后</w:t>
      </w:r>
      <w:r>
        <w:rPr>
          <w:rFonts w:hint="eastAsia" w:ascii="宋体" w:hAnsi="宋体" w:cs="宋体"/>
          <w:b w:val="0"/>
          <w:bCs w:val="0"/>
          <w:color w:val="auto"/>
          <w:kern w:val="2"/>
          <w:sz w:val="22"/>
          <w:szCs w:val="22"/>
          <w:highlight w:val="none"/>
          <w:lang w:eastAsia="zh-CN"/>
        </w:rPr>
        <w:t>，</w:t>
      </w:r>
      <w:r>
        <w:rPr>
          <w:rFonts w:hint="eastAsia" w:ascii="宋体" w:hAnsi="宋体" w:cs="宋体"/>
          <w:b w:val="0"/>
          <w:bCs w:val="0"/>
          <w:color w:val="auto"/>
          <w:kern w:val="2"/>
          <w:sz w:val="22"/>
          <w:szCs w:val="22"/>
          <w:highlight w:val="none"/>
        </w:rPr>
        <w:t>按“评标办法前附表”规定的人数推荐中标候选人并向招标人提交书面评标报告。</w:t>
      </w:r>
    </w:p>
    <w:p w14:paraId="0FB6CB11">
      <w:pPr>
        <w:pStyle w:val="28"/>
        <w:spacing w:before="0" w:after="0" w:line="360" w:lineRule="auto"/>
        <w:rPr>
          <w:rFonts w:hint="eastAsia" w:cs="Arial"/>
          <w:color w:val="auto"/>
          <w:sz w:val="32"/>
          <w:szCs w:val="22"/>
          <w:highlight w:val="none"/>
        </w:rPr>
      </w:pPr>
      <w:r>
        <w:rPr>
          <w:rFonts w:ascii="宋体" w:hAnsi="宋体"/>
          <w:color w:val="auto"/>
          <w:sz w:val="22"/>
          <w:szCs w:val="22"/>
          <w:highlight w:val="none"/>
        </w:rPr>
        <w:br w:type="page"/>
      </w:r>
      <w:bookmarkStart w:id="69" w:name="_Toc300760821"/>
      <w:bookmarkStart w:id="70" w:name="_Toc33625856"/>
      <w:r>
        <w:rPr>
          <w:rFonts w:hint="eastAsia" w:cs="Arial"/>
          <w:color w:val="auto"/>
          <w:sz w:val="32"/>
          <w:szCs w:val="22"/>
          <w:highlight w:val="none"/>
        </w:rPr>
        <w:t>第四章 合同条款</w:t>
      </w:r>
      <w:bookmarkEnd w:id="69"/>
      <w:bookmarkStart w:id="71" w:name="_Toc142466840"/>
      <w:bookmarkStart w:id="72" w:name="_Toc142467793"/>
      <w:bookmarkStart w:id="73" w:name="_Toc43117627"/>
      <w:bookmarkStart w:id="74" w:name="_Toc258313639"/>
      <w:bookmarkStart w:id="75" w:name="_Toc16408980"/>
      <w:r>
        <w:rPr>
          <w:rFonts w:hint="eastAsia" w:cs="Arial"/>
          <w:color w:val="auto"/>
          <w:sz w:val="32"/>
          <w:szCs w:val="22"/>
          <w:highlight w:val="none"/>
        </w:rPr>
        <w:t>及格式</w:t>
      </w:r>
      <w:bookmarkEnd w:id="70"/>
    </w:p>
    <w:p w14:paraId="653CB38E">
      <w:pPr>
        <w:keepNext w:val="0"/>
        <w:keepLines w:val="0"/>
        <w:pageBreakBefore w:val="0"/>
        <w:widowControl w:val="0"/>
        <w:tabs>
          <w:tab w:val="left" w:pos="3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76" w:name="_Toc62509784"/>
      <w:r>
        <w:rPr>
          <w:rFonts w:hint="eastAsia" w:ascii="宋体" w:hAnsi="宋体" w:eastAsia="宋体" w:cs="宋体"/>
          <w:b/>
          <w:bCs/>
          <w:color w:val="auto"/>
          <w:sz w:val="22"/>
          <w:szCs w:val="22"/>
          <w:highlight w:val="none"/>
        </w:rPr>
        <w:t>一、定义与解释</w:t>
      </w:r>
      <w:bookmarkEnd w:id="76"/>
    </w:p>
    <w:p w14:paraId="6DEFA4B8">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本合同条款下述定义和解释仅限于本招标文件使用。</w:t>
      </w:r>
    </w:p>
    <w:p w14:paraId="434B436C">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1、委托方：本合同的委托方为</w:t>
      </w:r>
      <w:r>
        <w:rPr>
          <w:rFonts w:hint="eastAsia" w:ascii="宋体" w:hAnsi="宋体" w:eastAsia="宋体" w:cs="宋体"/>
          <w:color w:val="auto"/>
          <w:sz w:val="22"/>
          <w:szCs w:val="22"/>
          <w:highlight w:val="none"/>
          <w:u w:val="single"/>
          <w:lang w:eastAsia="zh-CN"/>
        </w:rPr>
        <w:t>南通市江海河联运项目建设指挥部</w:t>
      </w:r>
      <w:r>
        <w:rPr>
          <w:rFonts w:hint="eastAsia" w:ascii="宋体" w:hAnsi="宋体" w:eastAsia="宋体" w:cs="宋体"/>
          <w:color w:val="auto"/>
          <w:sz w:val="22"/>
          <w:szCs w:val="22"/>
          <w:highlight w:val="none"/>
        </w:rPr>
        <w:t>。</w:t>
      </w:r>
    </w:p>
    <w:p w14:paraId="39F75685">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2、受托方：是指其投标书已为委托方所接受</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并与委托方签订了合同书承担本项目服务的机构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以及取得该当事机构资格的合法继承人。</w:t>
      </w:r>
    </w:p>
    <w:p w14:paraId="13AA5814">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3、项目负责人：是指由受托方书面委任的负责本项目质量技术服务工作的组织管理者。</w:t>
      </w:r>
    </w:p>
    <w:p w14:paraId="5D4CF718">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rPr>
        <w:t>、签约合同价格：是指签订合同时合同协议书中写明的服务报酬总金额。</w:t>
      </w:r>
    </w:p>
    <w:p w14:paraId="47242A09">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、天：指日历日。年、月、日按公历计算。</w:t>
      </w:r>
    </w:p>
    <w:p w14:paraId="39D4E682">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6</w:t>
      </w:r>
      <w:r>
        <w:rPr>
          <w:rFonts w:hint="eastAsia" w:ascii="宋体" w:hAnsi="宋体" w:eastAsia="宋体" w:cs="宋体"/>
          <w:color w:val="auto"/>
          <w:sz w:val="22"/>
          <w:szCs w:val="22"/>
          <w:highlight w:val="none"/>
        </w:rPr>
        <w:t>、时间：本招标文件所指时间均为北京时间。</w:t>
      </w:r>
    </w:p>
    <w:p w14:paraId="10FF6D41">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77" w:name="_Toc393638321"/>
      <w:bookmarkStart w:id="78" w:name="_Toc143763566"/>
      <w:bookmarkStart w:id="79" w:name="_Toc510442598"/>
      <w:bookmarkStart w:id="80" w:name="_Toc62509785"/>
      <w:r>
        <w:rPr>
          <w:rFonts w:hint="eastAsia" w:ascii="宋体" w:hAnsi="宋体" w:eastAsia="宋体" w:cs="宋体"/>
          <w:b/>
          <w:bCs/>
          <w:color w:val="auto"/>
          <w:sz w:val="22"/>
          <w:szCs w:val="22"/>
          <w:highlight w:val="none"/>
        </w:rPr>
        <w:t>二、委托的项目名称</w:t>
      </w:r>
      <w:bookmarkEnd w:id="77"/>
      <w:bookmarkEnd w:id="78"/>
      <w:bookmarkEnd w:id="79"/>
      <w:bookmarkEnd w:id="80"/>
    </w:p>
    <w:p w14:paraId="77827449">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“水运江苏”建设跨江竞技劳动技能竞赛服务项目SYJS-JNJS标段</w:t>
      </w:r>
    </w:p>
    <w:p w14:paraId="773DCE4E">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81" w:name="_Toc393638322"/>
      <w:bookmarkStart w:id="82" w:name="_Toc143763567"/>
      <w:bookmarkStart w:id="83" w:name="_Toc62509786"/>
      <w:bookmarkStart w:id="84" w:name="_Toc510442599"/>
      <w:r>
        <w:rPr>
          <w:rFonts w:hint="eastAsia" w:ascii="宋体" w:hAnsi="宋体" w:eastAsia="宋体" w:cs="宋体"/>
          <w:b/>
          <w:bCs/>
          <w:color w:val="auto"/>
          <w:sz w:val="22"/>
          <w:szCs w:val="22"/>
          <w:highlight w:val="none"/>
        </w:rPr>
        <w:t>三、委托的内容和</w:t>
      </w:r>
      <w:bookmarkEnd w:id="81"/>
      <w:bookmarkEnd w:id="82"/>
      <w:r>
        <w:rPr>
          <w:rFonts w:hint="eastAsia" w:ascii="宋体" w:hAnsi="宋体" w:eastAsia="宋体" w:cs="宋体"/>
          <w:b/>
          <w:color w:val="auto"/>
          <w:sz w:val="22"/>
          <w:szCs w:val="22"/>
          <w:highlight w:val="none"/>
        </w:rPr>
        <w:t>成果要求</w:t>
      </w:r>
      <w:bookmarkEnd w:id="83"/>
      <w:bookmarkEnd w:id="84"/>
    </w:p>
    <w:p w14:paraId="5C496BB0">
      <w:pPr>
        <w:keepNext w:val="0"/>
        <w:keepLines w:val="0"/>
        <w:pageBreakBefore w:val="0"/>
        <w:widowControl w:val="0"/>
        <w:kinsoku/>
        <w:wordWrap/>
        <w:overflowPunct/>
        <w:topLinePunct w:val="0"/>
        <w:autoSpaceDE/>
        <w:autoSpaceDN/>
        <w:bidi w:val="0"/>
        <w:adjustRightInd/>
        <w:snapToGrid/>
        <w:spacing w:line="360" w:lineRule="auto"/>
        <w:ind w:left="0" w:leftChars="0" w:firstLine="442" w:firstLineChars="200"/>
        <w:textAlignment w:val="auto"/>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1、委托的内容</w:t>
      </w:r>
    </w:p>
    <w:p w14:paraId="2114577B">
      <w:pPr>
        <w:keepNext w:val="0"/>
        <w:keepLines w:val="0"/>
        <w:pageBreakBefore w:val="0"/>
        <w:widowControl w:val="0"/>
        <w:kinsoku/>
        <w:wordWrap w:val="0"/>
        <w:overflowPunct/>
        <w:topLinePunct w:val="0"/>
        <w:autoSpaceDE/>
        <w:autoSpaceDN/>
        <w:bidi w:val="0"/>
        <w:adjustRightInd/>
        <w:snapToGrid/>
        <w:spacing w:line="360" w:lineRule="auto"/>
        <w:ind w:right="0" w:firstLine="440" w:firstLineChars="200"/>
        <w:textAlignment w:val="auto"/>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rPr>
        <w:t>本次招标共设1个标段</w:t>
      </w:r>
      <w:r>
        <w:rPr>
          <w:rFonts w:hint="eastAsia" w:ascii="宋体" w:hAnsi="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rPr>
        <w:t>即</w:t>
      </w:r>
      <w:r>
        <w:rPr>
          <w:rFonts w:hint="eastAsia" w:ascii="宋体" w:hAnsi="宋体" w:cs="宋体"/>
          <w:b w:val="0"/>
          <w:bCs w:val="0"/>
          <w:color w:val="auto"/>
          <w:sz w:val="22"/>
          <w:szCs w:val="22"/>
          <w:highlight w:val="none"/>
          <w:lang w:eastAsia="zh-CN"/>
        </w:rPr>
        <w:t>SYJS-JNJS</w:t>
      </w:r>
      <w:r>
        <w:rPr>
          <w:rFonts w:hint="eastAsia" w:ascii="宋体" w:hAnsi="宋体" w:eastAsia="宋体" w:cs="宋体"/>
          <w:b w:val="0"/>
          <w:bCs w:val="0"/>
          <w:color w:val="auto"/>
          <w:sz w:val="22"/>
          <w:szCs w:val="22"/>
          <w:highlight w:val="none"/>
        </w:rPr>
        <w:t>标段</w:t>
      </w:r>
      <w:r>
        <w:rPr>
          <w:rFonts w:hint="eastAsia" w:ascii="宋体" w:hAnsi="宋体" w:cs="宋体"/>
          <w:b w:val="0"/>
          <w:bCs w:val="0"/>
          <w:color w:val="auto"/>
          <w:sz w:val="22"/>
          <w:szCs w:val="22"/>
          <w:highlight w:val="none"/>
          <w:lang w:eastAsia="zh-CN"/>
        </w:rPr>
        <w:t>，</w:t>
      </w:r>
      <w:r>
        <w:rPr>
          <w:rFonts w:hint="eastAsia" w:ascii="宋体" w:hAnsi="宋体" w:eastAsia="宋体" w:cs="宋体"/>
          <w:b w:val="0"/>
          <w:bCs w:val="0"/>
          <w:color w:val="auto"/>
          <w:sz w:val="22"/>
          <w:szCs w:val="22"/>
          <w:highlight w:val="none"/>
        </w:rPr>
        <w:t>主要</w:t>
      </w:r>
      <w:r>
        <w:rPr>
          <w:rFonts w:hint="eastAsia" w:ascii="宋体" w:hAnsi="宋体" w:cs="宋体"/>
          <w:b w:val="0"/>
          <w:bCs w:val="0"/>
          <w:color w:val="auto"/>
          <w:sz w:val="22"/>
          <w:szCs w:val="22"/>
          <w:highlight w:val="none"/>
          <w:lang w:val="en-US" w:eastAsia="zh-CN"/>
        </w:rPr>
        <w:t>服务</w:t>
      </w:r>
      <w:r>
        <w:rPr>
          <w:rFonts w:hint="eastAsia" w:ascii="宋体" w:hAnsi="宋体" w:eastAsia="宋体" w:cs="宋体"/>
          <w:b w:val="0"/>
          <w:bCs w:val="0"/>
          <w:color w:val="auto"/>
          <w:sz w:val="22"/>
          <w:szCs w:val="22"/>
          <w:highlight w:val="none"/>
        </w:rPr>
        <w:t>内容（包括但不限于）：</w:t>
      </w:r>
    </w:p>
    <w:p w14:paraId="417609A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（1）竞赛策划与组织服务。</w:t>
      </w:r>
    </w:p>
    <w:p w14:paraId="646227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（2）赛前组织培训及培训结束后，组织考核。</w:t>
      </w:r>
    </w:p>
    <w:p w14:paraId="637C1A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（3）竞赛设备与物资供应。</w:t>
      </w:r>
    </w:p>
    <w:p w14:paraId="7645B9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（4）竞赛评委与专家服务。​</w:t>
      </w:r>
    </w:p>
    <w:p w14:paraId="2588F3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40" w:firstLineChars="200"/>
        <w:textAlignment w:val="auto"/>
        <w:rPr>
          <w:rFonts w:hint="eastAsia" w:ascii="宋体" w:hAnsi="宋体" w:cs="Times New Roman"/>
          <w:b w:val="0"/>
          <w:bCs w:val="0"/>
          <w:color w:val="auto"/>
          <w:kern w:val="2"/>
          <w:sz w:val="22"/>
          <w:szCs w:val="22"/>
          <w:highlight w:val="none"/>
          <w:lang w:val="en-US" w:eastAsia="zh-CN" w:bidi="ar-SA"/>
        </w:rPr>
      </w:pPr>
      <w:r>
        <w:rPr>
          <w:rFonts w:hint="eastAsia" w:ascii="宋体" w:hAnsi="宋体" w:cs="Times New Roman"/>
          <w:b w:val="0"/>
          <w:bCs w:val="0"/>
          <w:color w:val="auto"/>
          <w:kern w:val="2"/>
          <w:sz w:val="22"/>
          <w:szCs w:val="22"/>
          <w:highlight w:val="none"/>
          <w:lang w:val="en-US" w:eastAsia="zh-CN" w:bidi="ar-SA"/>
        </w:rPr>
        <w:t>（5）后勤保障服务。</w:t>
      </w:r>
    </w:p>
    <w:p w14:paraId="1C908500">
      <w:pPr>
        <w:keepNext w:val="0"/>
        <w:keepLines w:val="0"/>
        <w:pageBreakBefore w:val="0"/>
        <w:widowControl w:val="0"/>
        <w:kinsoku/>
        <w:wordWrap w:val="0"/>
        <w:overflowPunct/>
        <w:topLinePunct w:val="0"/>
        <w:autoSpaceDE/>
        <w:autoSpaceDN/>
        <w:bidi w:val="0"/>
        <w:adjustRightInd/>
        <w:snapToGrid/>
        <w:spacing w:line="360" w:lineRule="auto"/>
        <w:ind w:right="0" w:firstLine="442" w:firstLineChars="200"/>
        <w:textAlignment w:val="auto"/>
        <w:rPr>
          <w:rFonts w:hint="eastAsia" w:ascii="宋体" w:hAnsi="宋体" w:eastAsia="宋体" w:cs="宋体"/>
          <w:b/>
          <w:bCs w:val="0"/>
          <w:color w:val="auto"/>
          <w:sz w:val="22"/>
          <w:szCs w:val="22"/>
          <w:highlight w:val="none"/>
          <w:lang w:eastAsia="zh-CN"/>
        </w:rPr>
      </w:pPr>
      <w:r>
        <w:rPr>
          <w:rFonts w:hint="eastAsia" w:ascii="宋体" w:hAnsi="宋体" w:eastAsia="宋体" w:cs="宋体"/>
          <w:b/>
          <w:bCs w:val="0"/>
          <w:color w:val="auto"/>
          <w:sz w:val="22"/>
          <w:szCs w:val="22"/>
          <w:highlight w:val="none"/>
          <w:lang w:val="en-US" w:eastAsia="zh-CN"/>
        </w:rPr>
        <w:t>2、</w:t>
      </w:r>
      <w:r>
        <w:rPr>
          <w:rFonts w:hint="eastAsia" w:ascii="宋体" w:hAnsi="宋体" w:eastAsia="宋体" w:cs="宋体"/>
          <w:b/>
          <w:bCs w:val="0"/>
          <w:color w:val="auto"/>
          <w:sz w:val="22"/>
          <w:szCs w:val="22"/>
          <w:highlight w:val="none"/>
          <w:lang w:eastAsia="zh-CN"/>
        </w:rPr>
        <w:t>服务周期</w:t>
      </w:r>
    </w:p>
    <w:p w14:paraId="4FD58388">
      <w:pPr>
        <w:keepNext w:val="0"/>
        <w:keepLines w:val="0"/>
        <w:pageBreakBefore w:val="0"/>
        <w:widowControl w:val="0"/>
        <w:kinsoku/>
        <w:wordWrap/>
        <w:overflowPunct/>
        <w:topLinePunct w:val="0"/>
        <w:autoSpaceDE/>
        <w:autoSpaceDN/>
        <w:bidi w:val="0"/>
        <w:adjustRightInd/>
        <w:snapToGrid/>
        <w:spacing w:line="360" w:lineRule="auto"/>
        <w:ind w:left="0" w:leftChars="0" w:firstLine="440" w:firstLineChars="200"/>
        <w:textAlignment w:val="auto"/>
        <w:rPr>
          <w:rFonts w:hint="eastAsia" w:ascii="宋体" w:hAnsi="宋体" w:cs="宋体"/>
          <w:color w:val="auto"/>
          <w:sz w:val="22"/>
          <w:szCs w:val="22"/>
          <w:highlight w:val="none"/>
          <w:lang w:eastAsia="zh-CN"/>
        </w:rPr>
      </w:pPr>
      <w:r>
        <w:rPr>
          <w:rFonts w:hint="eastAsia" w:ascii="宋体" w:hAnsi="宋体" w:cs="宋体"/>
          <w:color w:val="auto"/>
          <w:sz w:val="22"/>
          <w:szCs w:val="22"/>
          <w:highlight w:val="none"/>
          <w:lang w:eastAsia="zh-CN"/>
        </w:rPr>
        <w:t>自签订合同之日起至技能竞赛结束为止。</w:t>
      </w:r>
    </w:p>
    <w:p w14:paraId="4F0E10E6">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85" w:name="_Toc393638323"/>
      <w:bookmarkStart w:id="86" w:name="_Toc143763568"/>
      <w:bookmarkStart w:id="87" w:name="_Toc510442600"/>
      <w:bookmarkStart w:id="88" w:name="_Toc62509787"/>
      <w:r>
        <w:rPr>
          <w:rFonts w:hint="eastAsia" w:ascii="宋体" w:hAnsi="宋体" w:eastAsia="宋体" w:cs="宋体"/>
          <w:b/>
          <w:bCs/>
          <w:color w:val="auto"/>
          <w:sz w:val="22"/>
          <w:szCs w:val="22"/>
          <w:highlight w:val="none"/>
        </w:rPr>
        <w:t>四、各方的责任</w:t>
      </w:r>
      <w:bookmarkEnd w:id="85"/>
      <w:bookmarkEnd w:id="86"/>
      <w:bookmarkEnd w:id="87"/>
      <w:bookmarkEnd w:id="88"/>
    </w:p>
    <w:p w14:paraId="2919DD59">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rPr>
        <w:t>、委托方的责任：</w:t>
      </w:r>
    </w:p>
    <w:p w14:paraId="4B44756A">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委托方根据工程项目的具体情况和技术要求</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确定各阶段</w:t>
      </w:r>
      <w:r>
        <w:rPr>
          <w:rFonts w:hint="eastAsia" w:ascii="宋体" w:hAnsi="宋体" w:eastAsia="宋体" w:cs="宋体"/>
          <w:color w:val="auto"/>
          <w:sz w:val="22"/>
          <w:szCs w:val="22"/>
          <w:highlight w:val="none"/>
          <w:lang w:eastAsia="zh-CN"/>
        </w:rPr>
        <w:t>服务周期</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并按本合同有关规定及时支付咨询服务的费用。</w:t>
      </w:r>
    </w:p>
    <w:p w14:paraId="54DFAF9F">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委托方应向受托方提供开展咨询服务工作所需要的相关前期文件、批复、资料及附件、有关的协议、文件等</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并对提供的原始资料的可靠性负责。</w:t>
      </w:r>
    </w:p>
    <w:p w14:paraId="6E7502E2">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在</w:t>
      </w:r>
      <w:r>
        <w:rPr>
          <w:rFonts w:hint="eastAsia" w:ascii="宋体" w:hAnsi="宋体" w:eastAsia="宋体" w:cs="宋体"/>
          <w:color w:val="auto"/>
          <w:sz w:val="22"/>
          <w:szCs w:val="22"/>
          <w:highlight w:val="none"/>
          <w:lang w:val="en-US" w:eastAsia="zh-CN"/>
        </w:rPr>
        <w:t>受托方</w:t>
      </w:r>
      <w:r>
        <w:rPr>
          <w:rFonts w:hint="eastAsia" w:ascii="宋体" w:hAnsi="宋体" w:eastAsia="宋体" w:cs="宋体"/>
          <w:color w:val="auto"/>
          <w:sz w:val="22"/>
          <w:szCs w:val="22"/>
          <w:highlight w:val="none"/>
        </w:rPr>
        <w:t>进入现场进行调查作业时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委托方应对</w:t>
      </w:r>
      <w:r>
        <w:rPr>
          <w:rFonts w:hint="eastAsia" w:ascii="宋体" w:hAnsi="宋体" w:eastAsia="宋体" w:cs="宋体"/>
          <w:color w:val="auto"/>
          <w:sz w:val="22"/>
          <w:szCs w:val="22"/>
          <w:highlight w:val="none"/>
          <w:lang w:val="en-US" w:eastAsia="zh-CN"/>
        </w:rPr>
        <w:t>受托方</w:t>
      </w:r>
      <w:r>
        <w:rPr>
          <w:rFonts w:hint="eastAsia" w:ascii="宋体" w:hAnsi="宋体" w:eastAsia="宋体" w:cs="宋体"/>
          <w:color w:val="auto"/>
          <w:sz w:val="22"/>
          <w:szCs w:val="22"/>
          <w:highlight w:val="none"/>
        </w:rPr>
        <w:t>与地方政府及有关部门的协调工作提供必要的协助</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但不免除受托方根据本合同规定应负的责任。</w:t>
      </w:r>
    </w:p>
    <w:p w14:paraId="1E704F45">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4</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除合同另有规定外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委托方应保护</w:t>
      </w:r>
      <w:r>
        <w:rPr>
          <w:rFonts w:hint="eastAsia" w:ascii="宋体" w:hAnsi="宋体" w:eastAsia="宋体" w:cs="宋体"/>
          <w:color w:val="auto"/>
          <w:sz w:val="22"/>
          <w:szCs w:val="22"/>
          <w:highlight w:val="none"/>
          <w:lang w:val="en-US" w:eastAsia="zh-CN"/>
        </w:rPr>
        <w:t>受托方</w:t>
      </w:r>
      <w:r>
        <w:rPr>
          <w:rFonts w:hint="eastAsia" w:ascii="宋体" w:hAnsi="宋体" w:eastAsia="宋体" w:cs="宋体"/>
          <w:color w:val="auto"/>
          <w:sz w:val="22"/>
          <w:szCs w:val="22"/>
          <w:highlight w:val="none"/>
        </w:rPr>
        <w:t>的</w:t>
      </w:r>
      <w:r>
        <w:rPr>
          <w:rFonts w:hint="eastAsia" w:ascii="宋体" w:hAnsi="宋体" w:eastAsia="宋体" w:cs="宋体"/>
          <w:color w:val="auto"/>
          <w:sz w:val="22"/>
          <w:szCs w:val="22"/>
          <w:highlight w:val="none"/>
          <w:lang w:val="en-US" w:eastAsia="zh-CN"/>
        </w:rPr>
        <w:t>投标函</w:t>
      </w:r>
      <w:r>
        <w:rPr>
          <w:rFonts w:hint="eastAsia" w:ascii="宋体" w:hAnsi="宋体" w:eastAsia="宋体" w:cs="宋体"/>
          <w:color w:val="auto"/>
          <w:sz w:val="22"/>
          <w:szCs w:val="22"/>
          <w:highlight w:val="none"/>
        </w:rPr>
        <w:t>、报告书。未经受托方同意</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委托方对受托方交付的成果文件不得擅自修改、复制或向第三方转让或用于本合同以外的项目。</w:t>
      </w:r>
    </w:p>
    <w:p w14:paraId="76BF3963">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由于执行委托方的书面指令而造成相关报告书不能通过主管部门的审查或不能取得批复</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应由委托方承担主要责任。但不免除受托方应负的责任。</w:t>
      </w:r>
    </w:p>
    <w:p w14:paraId="73F7DC6B">
      <w:pPr>
        <w:keepNext w:val="0"/>
        <w:keepLines w:val="0"/>
        <w:pageBreakBefore w:val="0"/>
        <w:widowControl w:val="0"/>
        <w:tabs>
          <w:tab w:val="left" w:pos="360"/>
        </w:tabs>
        <w:kinsoku/>
        <w:wordWrap/>
        <w:overflowPunct/>
        <w:topLinePunct w:val="0"/>
        <w:bidi w:val="0"/>
        <w:adjustRightInd/>
        <w:snapToGrid/>
        <w:spacing w:line="360" w:lineRule="auto"/>
        <w:ind w:left="0" w:leftChars="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val="en-US" w:eastAsia="zh-CN"/>
        </w:rPr>
        <w:t>2、</w:t>
      </w:r>
      <w:r>
        <w:rPr>
          <w:rFonts w:hint="eastAsia" w:ascii="宋体" w:hAnsi="宋体" w:eastAsia="宋体" w:cs="宋体"/>
          <w:b/>
          <w:bCs/>
          <w:color w:val="auto"/>
          <w:sz w:val="22"/>
          <w:szCs w:val="22"/>
          <w:highlight w:val="none"/>
        </w:rPr>
        <w:t>受托方的责任：</w:t>
      </w:r>
    </w:p>
    <w:p w14:paraId="2B9868DC">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（1）受托方应根据本合同工程项目的特点和具体情况</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充分考虑到本项目的复杂性和不确定性</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按照国家及地方、水利、交通等部门关于</w:t>
      </w:r>
      <w:r>
        <w:rPr>
          <w:rFonts w:hint="eastAsia" w:ascii="宋体" w:hAnsi="宋体" w:eastAsia="宋体" w:cs="宋体"/>
          <w:color w:val="auto"/>
          <w:sz w:val="22"/>
          <w:szCs w:val="22"/>
          <w:highlight w:val="none"/>
          <w:lang w:val="en-US" w:eastAsia="zh-CN"/>
        </w:rPr>
        <w:t>本项目</w:t>
      </w:r>
      <w:r>
        <w:rPr>
          <w:rFonts w:hint="eastAsia" w:ascii="宋体" w:hAnsi="宋体" w:eastAsia="宋体" w:cs="宋体"/>
          <w:color w:val="auto"/>
          <w:sz w:val="22"/>
          <w:szCs w:val="22"/>
          <w:highlight w:val="none"/>
        </w:rPr>
        <w:t>方面现行的法律、法规、标准、规范、规程、办法、示例等有关规定</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在委托方规定的时间内完成本合同工程的咨询服务工作。</w:t>
      </w:r>
    </w:p>
    <w:p w14:paraId="58967AC8">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2" w:firstLineChars="200"/>
        <w:rPr>
          <w:rFonts w:hint="default" w:ascii="宋体" w:hAnsi="宋体" w:eastAsia="宋体" w:cs="宋体"/>
          <w:b/>
          <w:bCs/>
          <w:color w:val="auto"/>
          <w:sz w:val="22"/>
          <w:szCs w:val="22"/>
          <w:highlight w:val="none"/>
          <w:lang w:val="en-US" w:eastAsia="zh-CN"/>
        </w:rPr>
      </w:pPr>
      <w:r>
        <w:rPr>
          <w:rFonts w:hint="eastAsia" w:hAnsi="宋体" w:cs="宋体"/>
          <w:b/>
          <w:bCs/>
          <w:color w:val="auto"/>
          <w:sz w:val="22"/>
          <w:szCs w:val="22"/>
          <w:highlight w:val="none"/>
          <w:lang w:eastAsia="zh-CN"/>
        </w:rPr>
        <w:t>（</w:t>
      </w:r>
      <w:r>
        <w:rPr>
          <w:rFonts w:hint="eastAsia" w:hAnsi="宋体" w:cs="宋体"/>
          <w:b/>
          <w:bCs/>
          <w:color w:val="auto"/>
          <w:sz w:val="22"/>
          <w:szCs w:val="22"/>
          <w:highlight w:val="none"/>
          <w:lang w:val="en-US" w:eastAsia="zh-CN"/>
        </w:rPr>
        <w:t>2）受托方在技术服务工作开展之前应编制劳动竞赛方案等，经委托方组织审查批准后方可进行。</w:t>
      </w:r>
    </w:p>
    <w:p w14:paraId="614590F0">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3</w:t>
      </w:r>
      <w:r>
        <w:rPr>
          <w:rFonts w:hint="eastAsia" w:ascii="宋体" w:hAnsi="宋体" w:eastAsia="宋体" w:cs="宋体"/>
          <w:color w:val="auto"/>
          <w:sz w:val="22"/>
          <w:szCs w:val="22"/>
          <w:highlight w:val="none"/>
        </w:rPr>
        <w:t>）受托方应按相关规定做好质量管理工作</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建立健全质量保证体系</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加强全过程的质量控制</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建立完整的文件的编制、复核、审核、会签和批准制度</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明确各阶段的责任人</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并对本合同工程的咨询服务质量负责。</w:t>
      </w:r>
    </w:p>
    <w:p w14:paraId="760F5024">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4</w:t>
      </w:r>
      <w:r>
        <w:rPr>
          <w:rFonts w:hint="eastAsia" w:ascii="宋体" w:hAnsi="宋体" w:eastAsia="宋体" w:cs="宋体"/>
          <w:color w:val="auto"/>
          <w:sz w:val="22"/>
          <w:szCs w:val="22"/>
          <w:highlight w:val="none"/>
        </w:rPr>
        <w:t>）受托方必须根据委托方提供的规划文件、设计文件及其它资料</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如果咨询服务过程中</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缺少与项目有关的资料</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应与委托方协商借阅或购买</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除委托方提供的资料外</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受托方应根据工作要求收集相关资料。</w:t>
      </w:r>
    </w:p>
    <w:p w14:paraId="02EAD5D0">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5</w:t>
      </w:r>
      <w:r>
        <w:rPr>
          <w:rFonts w:hint="eastAsia" w:ascii="宋体" w:hAnsi="宋体" w:eastAsia="宋体" w:cs="宋体"/>
          <w:color w:val="auto"/>
          <w:sz w:val="22"/>
          <w:szCs w:val="22"/>
          <w:highlight w:val="none"/>
        </w:rPr>
        <w:t>）受托方应按委托方要求的数量提供相关文件</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接受委托方或上级主管部门及相关主管部门的审查</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并对相关问题做出澄清和解答。</w:t>
      </w:r>
    </w:p>
    <w:p w14:paraId="56109477">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6</w:t>
      </w:r>
      <w:r>
        <w:rPr>
          <w:rFonts w:hint="eastAsia" w:ascii="宋体" w:hAnsi="宋体" w:eastAsia="宋体" w:cs="宋体"/>
          <w:color w:val="auto"/>
          <w:sz w:val="22"/>
          <w:szCs w:val="22"/>
          <w:highlight w:val="none"/>
        </w:rPr>
        <w:t>）人员保证与变更</w:t>
      </w:r>
    </w:p>
    <w:p w14:paraId="7C559728">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1）受托方应安排</w:t>
      </w:r>
      <w:r>
        <w:rPr>
          <w:rFonts w:hint="eastAsia" w:ascii="宋体" w:hAnsi="宋体" w:eastAsia="宋体" w:cs="宋体"/>
          <w:color w:val="auto"/>
          <w:sz w:val="22"/>
          <w:szCs w:val="22"/>
          <w:highlight w:val="none"/>
          <w:lang w:val="en-US" w:eastAsia="zh-CN"/>
        </w:rPr>
        <w:t>投标文件</w:t>
      </w:r>
      <w:r>
        <w:rPr>
          <w:rFonts w:hint="eastAsia" w:ascii="宋体" w:hAnsi="宋体" w:eastAsia="宋体" w:cs="宋体"/>
          <w:color w:val="auto"/>
          <w:sz w:val="22"/>
          <w:szCs w:val="22"/>
          <w:highlight w:val="none"/>
        </w:rPr>
        <w:t>中承诺的人员投入工作</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并在服务过程中和</w:t>
      </w:r>
      <w:r>
        <w:rPr>
          <w:rFonts w:hint="eastAsia" w:ascii="宋体" w:hAnsi="宋体" w:eastAsia="宋体" w:cs="宋体"/>
          <w:color w:val="auto"/>
          <w:sz w:val="22"/>
          <w:szCs w:val="22"/>
          <w:highlight w:val="none"/>
          <w:lang w:eastAsia="zh-CN"/>
        </w:rPr>
        <w:t>服务周期</w:t>
      </w:r>
      <w:r>
        <w:rPr>
          <w:rFonts w:hint="eastAsia" w:ascii="宋体" w:hAnsi="宋体" w:eastAsia="宋体" w:cs="宋体"/>
          <w:color w:val="auto"/>
          <w:sz w:val="22"/>
          <w:szCs w:val="22"/>
          <w:highlight w:val="none"/>
        </w:rPr>
        <w:t>内保持人员的相对稳定。</w:t>
      </w:r>
    </w:p>
    <w:p w14:paraId="3930960B">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2）如果项目服务人员不能胜任工作、渎职或从事其他违法活动</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委托方有权以书面形式提出更换要求</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受托方应立即派出具有同等资历的人员替换；若非因上述原因</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受托方有权拒绝。</w:t>
      </w:r>
    </w:p>
    <w:p w14:paraId="62A8F9E2">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3）受托方的工作进度没有达到</w:t>
      </w:r>
      <w:r>
        <w:rPr>
          <w:rFonts w:hint="eastAsia" w:ascii="宋体" w:hAnsi="宋体" w:eastAsia="宋体" w:cs="宋体"/>
          <w:color w:val="auto"/>
          <w:sz w:val="22"/>
          <w:szCs w:val="22"/>
          <w:highlight w:val="none"/>
          <w:lang w:val="en-US" w:eastAsia="zh-CN"/>
        </w:rPr>
        <w:t>投标文件</w:t>
      </w:r>
      <w:r>
        <w:rPr>
          <w:rFonts w:hint="eastAsia" w:ascii="宋体" w:hAnsi="宋体" w:eastAsia="宋体" w:cs="宋体"/>
          <w:color w:val="auto"/>
          <w:sz w:val="22"/>
          <w:szCs w:val="22"/>
          <w:highlight w:val="none"/>
        </w:rPr>
        <w:t>中承诺的进度计划时</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委托方有权提出要求增加服务人员</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受托方应立即安排</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其费用被认为已包含在合同价格之中</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不再另行支付。</w:t>
      </w:r>
    </w:p>
    <w:p w14:paraId="5B2D00FB">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7</w:t>
      </w:r>
      <w:r>
        <w:rPr>
          <w:rFonts w:hint="eastAsia" w:ascii="宋体" w:hAnsi="宋体" w:eastAsia="宋体" w:cs="宋体"/>
          <w:color w:val="auto"/>
          <w:sz w:val="22"/>
          <w:szCs w:val="22"/>
          <w:highlight w:val="none"/>
        </w:rPr>
        <w:t>）受托方咨询服务过程中</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如果因其采用的技术方案等方面发生侵犯专利权的行为而引起索赔或诉讼</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则受托方应承担全部责任</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并保障委托方免于承担由此造成的一切损害和损失。受托方采用其它未成交人响应文件中技术方案的</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应当征得未成交人的书面同意</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并支付合理的使用费。</w:t>
      </w:r>
    </w:p>
    <w:p w14:paraId="7875A36D">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8</w:t>
      </w:r>
      <w:r>
        <w:rPr>
          <w:rFonts w:hint="eastAsia" w:ascii="宋体" w:hAnsi="宋体" w:eastAsia="宋体" w:cs="宋体"/>
          <w:color w:val="auto"/>
          <w:sz w:val="22"/>
          <w:szCs w:val="22"/>
          <w:highlight w:val="none"/>
        </w:rPr>
        <w:t>）受托方除需承担在工作过程中的决策和指导责任外</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对其工作范围外的工作不承担任何责任。</w:t>
      </w:r>
    </w:p>
    <w:p w14:paraId="323C3764">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9</w:t>
      </w:r>
      <w:r>
        <w:rPr>
          <w:rFonts w:hint="eastAsia" w:ascii="宋体" w:hAnsi="宋体" w:eastAsia="宋体" w:cs="宋体"/>
          <w:color w:val="auto"/>
          <w:sz w:val="22"/>
          <w:szCs w:val="22"/>
          <w:highlight w:val="none"/>
        </w:rPr>
        <w:t>）对于受托方在咨询服务过程中发生的人员伤亡</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或者造成第三方的人员伤亡</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或财产损失</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或由此而引起的其他一切损害和损失</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委托方均不承担责任。</w:t>
      </w:r>
    </w:p>
    <w:p w14:paraId="4A416A42">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w:t>
      </w:r>
      <w:r>
        <w:rPr>
          <w:rFonts w:hint="eastAsia" w:hAnsi="宋体" w:cs="宋体"/>
          <w:color w:val="auto"/>
          <w:sz w:val="22"/>
          <w:szCs w:val="22"/>
          <w:highlight w:val="none"/>
          <w:lang w:val="en-US" w:eastAsia="zh-CN"/>
        </w:rPr>
        <w:t>10</w:t>
      </w:r>
      <w:r>
        <w:rPr>
          <w:rFonts w:hint="eastAsia" w:ascii="宋体" w:hAnsi="宋体" w:eastAsia="宋体" w:cs="宋体"/>
          <w:color w:val="auto"/>
          <w:sz w:val="22"/>
          <w:szCs w:val="22"/>
          <w:highlight w:val="none"/>
        </w:rPr>
        <w:t>）咨询服务过程中</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受托方为完成咨询服务项目</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而购买或收集的一切资料和文件的所有权为受托方与委托方共有。</w:t>
      </w:r>
    </w:p>
    <w:p w14:paraId="039DFD28">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hAnsi="宋体" w:cs="宋体"/>
          <w:color w:val="auto"/>
          <w:sz w:val="22"/>
          <w:szCs w:val="22"/>
          <w:highlight w:val="none"/>
          <w:lang w:val="en-US" w:eastAsia="zh-CN"/>
        </w:rPr>
        <w:t>1</w:t>
      </w:r>
      <w:r>
        <w:rPr>
          <w:rFonts w:hint="eastAsia" w:ascii="宋体" w:hAnsi="宋体" w:eastAsia="宋体" w:cs="宋体"/>
          <w:color w:val="auto"/>
          <w:sz w:val="22"/>
          <w:szCs w:val="22"/>
          <w:highlight w:val="none"/>
        </w:rPr>
        <w:t>）本项目按期</w:t>
      </w:r>
      <w:r>
        <w:rPr>
          <w:rFonts w:hint="eastAsia" w:hAnsi="宋体" w:cs="宋体"/>
          <w:color w:val="auto"/>
          <w:sz w:val="22"/>
          <w:szCs w:val="22"/>
          <w:highlight w:val="none"/>
          <w:lang w:val="en-US" w:eastAsia="zh-CN"/>
        </w:rPr>
        <w:t>提交各类相关报告书</w:t>
      </w:r>
      <w:r>
        <w:rPr>
          <w:rFonts w:hint="eastAsia" w:ascii="宋体" w:hAnsi="宋体" w:eastAsia="宋体" w:cs="宋体"/>
          <w:color w:val="auto"/>
          <w:sz w:val="22"/>
          <w:szCs w:val="22"/>
          <w:highlight w:val="none"/>
        </w:rPr>
        <w:t>所需一切工作和费用均由受托方负责和承担。</w:t>
      </w:r>
    </w:p>
    <w:p w14:paraId="1E009F72">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89" w:name="_Toc393638324"/>
      <w:bookmarkStart w:id="90" w:name="_Toc510442601"/>
      <w:bookmarkStart w:id="91" w:name="_Toc143763569"/>
      <w:bookmarkStart w:id="92" w:name="_Toc62509788"/>
      <w:r>
        <w:rPr>
          <w:rFonts w:hint="eastAsia" w:ascii="宋体" w:hAnsi="宋体" w:eastAsia="宋体" w:cs="宋体"/>
          <w:b/>
          <w:bCs/>
          <w:color w:val="auto"/>
          <w:sz w:val="22"/>
          <w:szCs w:val="22"/>
          <w:highlight w:val="none"/>
        </w:rPr>
        <w:t>五、违约责任</w:t>
      </w:r>
      <w:bookmarkEnd w:id="89"/>
      <w:bookmarkEnd w:id="90"/>
      <w:bookmarkEnd w:id="91"/>
      <w:bookmarkEnd w:id="92"/>
    </w:p>
    <w:p w14:paraId="25D091CF">
      <w:pPr>
        <w:pStyle w:val="16"/>
        <w:keepNext w:val="0"/>
        <w:keepLines w:val="0"/>
        <w:pageBreakBefore w:val="0"/>
        <w:widowControl w:val="0"/>
        <w:tabs>
          <w:tab w:val="left" w:pos="3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1、委托方的违约：合同生效后</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因委托方原因</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委托方提出终止合同</w:t>
      </w:r>
      <w:r>
        <w:rPr>
          <w:rFonts w:hint="eastAsia" w:hAnsi="宋体" w:cs="宋体"/>
          <w:color w:val="auto"/>
          <w:sz w:val="22"/>
          <w:szCs w:val="22"/>
          <w:highlight w:val="none"/>
          <w:lang w:eastAsia="zh-CN"/>
        </w:rPr>
        <w:t>，</w:t>
      </w:r>
      <w:r>
        <w:rPr>
          <w:rFonts w:hint="eastAsia" w:ascii="宋体" w:hAnsi="宋体" w:eastAsia="宋体" w:cs="宋体"/>
          <w:color w:val="auto"/>
          <w:sz w:val="22"/>
          <w:szCs w:val="22"/>
          <w:highlight w:val="none"/>
        </w:rPr>
        <w:t>委托方将给予受托方2万～4万元违约罚款。</w:t>
      </w:r>
    </w:p>
    <w:p w14:paraId="32792FBA">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2、受托方的违约</w:t>
      </w:r>
    </w:p>
    <w:p w14:paraId="6A8F40F0">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（1）如果受托方将任务转包或者分包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除整改外委托方将按合同价的</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%扣除受托方的违约金。</w:t>
      </w:r>
    </w:p>
    <w:p w14:paraId="2A8DB61B">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（2）受托方未按照国家及相关主管部门现行的强制性技术标准、规范和规程编制咨询服务报告书（表）</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委托方将计扣受托方合同价</w:t>
      </w: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val="en-US" w:eastAsia="zh-CN"/>
        </w:rPr>
        <w:t>5</w:t>
      </w:r>
      <w:r>
        <w:rPr>
          <w:rFonts w:hint="eastAsia" w:ascii="宋体" w:hAnsi="宋体" w:eastAsia="宋体" w:cs="宋体"/>
          <w:color w:val="auto"/>
          <w:sz w:val="22"/>
          <w:szCs w:val="22"/>
          <w:highlight w:val="none"/>
        </w:rPr>
        <w:t>%的违约金。</w:t>
      </w:r>
    </w:p>
    <w:p w14:paraId="60F1EC83">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受托方未能按期提交</w:t>
      </w:r>
      <w:r>
        <w:rPr>
          <w:rFonts w:hint="eastAsia" w:ascii="宋体" w:hAnsi="宋体" w:cs="宋体"/>
          <w:b/>
          <w:bCs/>
          <w:color w:val="auto"/>
          <w:sz w:val="22"/>
          <w:szCs w:val="22"/>
          <w:highlight w:val="none"/>
          <w:lang w:val="en-US" w:eastAsia="zh-CN"/>
        </w:rPr>
        <w:t>各类相关</w:t>
      </w:r>
      <w:r>
        <w:rPr>
          <w:rFonts w:hint="eastAsia" w:ascii="宋体" w:hAnsi="宋体" w:eastAsia="宋体" w:cs="宋体"/>
          <w:b/>
          <w:bCs/>
          <w:color w:val="auto"/>
          <w:sz w:val="22"/>
          <w:szCs w:val="22"/>
          <w:highlight w:val="none"/>
        </w:rPr>
        <w:t>报告书的按0.3万/天标准扣除受托方的违约金</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受托方未能在承诺的工作周期内拿到相关主管部门的批文的</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则按0.5万/天标准扣除受托方的违约金</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延期超过30天时</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委托方可以中止合同（委托方同意延长期的除外）</w:t>
      </w:r>
      <w:r>
        <w:rPr>
          <w:rFonts w:hint="eastAsia" w:ascii="宋体" w:hAnsi="宋体" w:cs="宋体"/>
          <w:b/>
          <w:bCs/>
          <w:color w:val="auto"/>
          <w:sz w:val="22"/>
          <w:szCs w:val="22"/>
          <w:highlight w:val="none"/>
          <w:lang w:eastAsia="zh-CN"/>
        </w:rPr>
        <w:t>，</w:t>
      </w:r>
      <w:r>
        <w:rPr>
          <w:rFonts w:hint="eastAsia" w:ascii="宋体" w:hAnsi="宋体" w:eastAsia="宋体" w:cs="宋体"/>
          <w:b/>
          <w:bCs/>
          <w:color w:val="auto"/>
          <w:sz w:val="22"/>
          <w:szCs w:val="22"/>
          <w:highlight w:val="none"/>
        </w:rPr>
        <w:t>违约金总额不大于合同金额10%。</w:t>
      </w:r>
    </w:p>
    <w:p w14:paraId="42F1397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（3）合同生效后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如受托方提出终止合同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应给予委托方</w:t>
      </w:r>
      <w:r>
        <w:rPr>
          <w:rFonts w:hint="eastAsia" w:ascii="宋体" w:hAnsi="宋体" w:cs="宋体"/>
          <w:color w:val="auto"/>
          <w:sz w:val="22"/>
          <w:szCs w:val="22"/>
          <w:highlight w:val="none"/>
          <w:lang w:val="en-US" w:eastAsia="zh-CN"/>
        </w:rPr>
        <w:t>2</w:t>
      </w:r>
      <w:r>
        <w:rPr>
          <w:rFonts w:hint="eastAsia" w:ascii="宋体" w:hAnsi="宋体" w:eastAsia="宋体" w:cs="宋体"/>
          <w:color w:val="auto"/>
          <w:sz w:val="22"/>
          <w:szCs w:val="22"/>
          <w:highlight w:val="none"/>
        </w:rPr>
        <w:t>万～</w:t>
      </w:r>
      <w:r>
        <w:rPr>
          <w:rFonts w:hint="eastAsia" w:ascii="宋体" w:hAnsi="宋体" w:cs="宋体"/>
          <w:color w:val="auto"/>
          <w:sz w:val="22"/>
          <w:szCs w:val="22"/>
          <w:highlight w:val="none"/>
          <w:lang w:val="en-US" w:eastAsia="zh-CN"/>
        </w:rPr>
        <w:t>3</w:t>
      </w:r>
      <w:r>
        <w:rPr>
          <w:rFonts w:hint="eastAsia" w:ascii="宋体" w:hAnsi="宋体" w:eastAsia="宋体" w:cs="宋体"/>
          <w:color w:val="auto"/>
          <w:sz w:val="22"/>
          <w:szCs w:val="22"/>
          <w:highlight w:val="none"/>
        </w:rPr>
        <w:t>万元违约罚款。</w:t>
      </w:r>
    </w:p>
    <w:p w14:paraId="759AF69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（4）本项目更换项目负责人或现场负责人时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受托方必须支付委托方2万元人员违约金。</w:t>
      </w:r>
    </w:p>
    <w:p w14:paraId="4627B7B1">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（5）违反本合同有关廉洁条款的规定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委托方将给予受托方</w:t>
      </w:r>
      <w:r>
        <w:rPr>
          <w:rFonts w:hint="eastAsia" w:ascii="宋体" w:hAnsi="宋体" w:eastAsia="宋体" w:cs="宋体"/>
          <w:color w:val="auto"/>
          <w:sz w:val="22"/>
          <w:szCs w:val="22"/>
          <w:highlight w:val="none"/>
          <w:lang w:val="en-US" w:eastAsia="zh-CN"/>
        </w:rPr>
        <w:t>0.</w:t>
      </w:r>
      <w:r>
        <w:rPr>
          <w:rFonts w:hint="eastAsia" w:ascii="宋体" w:hAnsi="宋体" w:cs="宋体"/>
          <w:color w:val="auto"/>
          <w:sz w:val="22"/>
          <w:szCs w:val="22"/>
          <w:highlight w:val="none"/>
          <w:lang w:val="en-US" w:eastAsia="zh-CN"/>
        </w:rPr>
        <w:t>2</w:t>
      </w:r>
      <w:r>
        <w:rPr>
          <w:rFonts w:hint="eastAsia" w:ascii="宋体" w:hAnsi="宋体" w:eastAsia="宋体" w:cs="宋体"/>
          <w:color w:val="auto"/>
          <w:sz w:val="22"/>
          <w:szCs w:val="22"/>
          <w:highlight w:val="none"/>
        </w:rPr>
        <w:t>万～</w:t>
      </w:r>
      <w:r>
        <w:rPr>
          <w:rFonts w:hint="eastAsia" w:ascii="宋体" w:hAnsi="宋体" w:cs="宋体"/>
          <w:color w:val="auto"/>
          <w:sz w:val="22"/>
          <w:szCs w:val="22"/>
          <w:highlight w:val="none"/>
          <w:lang w:val="en-US" w:eastAsia="zh-CN"/>
        </w:rPr>
        <w:t>0.5</w:t>
      </w:r>
      <w:r>
        <w:rPr>
          <w:rFonts w:hint="eastAsia" w:ascii="宋体" w:hAnsi="宋体" w:eastAsia="宋体" w:cs="宋体"/>
          <w:color w:val="auto"/>
          <w:sz w:val="22"/>
          <w:szCs w:val="22"/>
          <w:highlight w:val="none"/>
        </w:rPr>
        <w:t>万元违约罚款。</w:t>
      </w:r>
    </w:p>
    <w:p w14:paraId="6F270247">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（6）上述（1）～（5）款累计违约金限额为</w:t>
      </w:r>
      <w:r>
        <w:rPr>
          <w:rFonts w:hint="eastAsia" w:ascii="宋体" w:hAnsi="宋体" w:eastAsia="宋体" w:cs="宋体"/>
          <w:color w:val="auto"/>
          <w:sz w:val="22"/>
          <w:szCs w:val="22"/>
          <w:highlight w:val="none"/>
          <w:lang w:val="en-US" w:eastAsia="zh-CN"/>
        </w:rPr>
        <w:t>合同总价的30%</w:t>
      </w:r>
      <w:r>
        <w:rPr>
          <w:rFonts w:hint="eastAsia" w:ascii="宋体" w:hAnsi="宋体" w:eastAsia="宋体" w:cs="宋体"/>
          <w:color w:val="auto"/>
          <w:sz w:val="22"/>
          <w:szCs w:val="22"/>
          <w:highlight w:val="none"/>
        </w:rPr>
        <w:t>。若发生上述（1）～（5）情况中任一款委托方有权收回已委托的全部或部分工作</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受托方无条件接受。</w:t>
      </w:r>
    </w:p>
    <w:p w14:paraId="6DAF95EB">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3、责任的期限</w:t>
      </w:r>
    </w:p>
    <w:p w14:paraId="05B4F85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受托方与委托方双方的责任与义务期限为合同协议书或合同条款规定的时间范围。</w:t>
      </w:r>
    </w:p>
    <w:p w14:paraId="466278B5">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93" w:name="_Toc62509789"/>
      <w:bookmarkStart w:id="94" w:name="_Toc393638325"/>
      <w:bookmarkStart w:id="95" w:name="_Toc510442602"/>
      <w:r>
        <w:rPr>
          <w:rFonts w:hint="eastAsia" w:ascii="宋体" w:hAnsi="宋体" w:eastAsia="宋体" w:cs="宋体"/>
          <w:b/>
          <w:bCs/>
          <w:color w:val="auto"/>
          <w:sz w:val="22"/>
          <w:szCs w:val="22"/>
          <w:highlight w:val="none"/>
        </w:rPr>
        <w:t>六、安全措施</w:t>
      </w:r>
      <w:bookmarkEnd w:id="93"/>
      <w:bookmarkEnd w:id="94"/>
      <w:bookmarkEnd w:id="95"/>
    </w:p>
    <w:p w14:paraId="7671B04F">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在现场工作时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受托方应遵守政府有关部门、业主方及有关单位安全保卫制度</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并对其人员的安全负责</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受托方应对由于自己或其代理人的过错包括侵犯版权或发明权而给委托方或任何第三方造成的损失负赔偿责任。在作业现场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受托方应采取必要的安全措施</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并应保障委托方免于承担由此导致的一切诉讼、争执、索赔、罚款。</w:t>
      </w:r>
    </w:p>
    <w:p w14:paraId="439EC250">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96" w:name="_Toc62509790"/>
      <w:bookmarkStart w:id="97" w:name="_Toc510442603"/>
      <w:bookmarkStart w:id="98" w:name="_Toc393638326"/>
      <w:r>
        <w:rPr>
          <w:rFonts w:hint="eastAsia" w:ascii="宋体" w:hAnsi="宋体" w:eastAsia="宋体" w:cs="宋体"/>
          <w:b/>
          <w:bCs/>
          <w:color w:val="auto"/>
          <w:sz w:val="22"/>
          <w:szCs w:val="22"/>
          <w:highlight w:val="none"/>
        </w:rPr>
        <w:t>七、保险</w:t>
      </w:r>
      <w:bookmarkEnd w:id="96"/>
      <w:bookmarkEnd w:id="97"/>
      <w:bookmarkEnd w:id="98"/>
    </w:p>
    <w:p w14:paraId="242F619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本项目的工程一切险、第三方责任险、受托方装备险和受托方职工的（人身）事故险均由受托方投保</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保险费由受托方承担并支付</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并包含在合同总价中</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不单独计量与支付。在本合同工程实施过程中</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受托方雇员的人身死亡或伤残</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或财产（设备）的损失或损害</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由受托方自行负责</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委托方不予赔偿。</w:t>
      </w:r>
    </w:p>
    <w:p w14:paraId="52DF0901">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99" w:name="_Toc62509791"/>
      <w:bookmarkStart w:id="100" w:name="_Toc510442604"/>
      <w:bookmarkStart w:id="101" w:name="_Toc393638327"/>
      <w:bookmarkStart w:id="102" w:name="_Toc143763570"/>
      <w:r>
        <w:rPr>
          <w:rFonts w:hint="eastAsia" w:ascii="宋体" w:hAnsi="宋体" w:eastAsia="宋体" w:cs="宋体"/>
          <w:b/>
          <w:bCs/>
          <w:color w:val="auto"/>
          <w:sz w:val="22"/>
          <w:szCs w:val="22"/>
          <w:highlight w:val="none"/>
        </w:rPr>
        <w:t>八、合同费用与支付</w:t>
      </w:r>
      <w:bookmarkEnd w:id="99"/>
      <w:bookmarkEnd w:id="100"/>
      <w:bookmarkEnd w:id="101"/>
      <w:bookmarkEnd w:id="102"/>
    </w:p>
    <w:p w14:paraId="35F100F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rPr>
      </w:pPr>
      <w:bookmarkStart w:id="103" w:name="_Toc143763571"/>
      <w:r>
        <w:rPr>
          <w:rFonts w:hint="eastAsia" w:ascii="宋体" w:hAnsi="宋体" w:eastAsia="宋体" w:cs="宋体"/>
          <w:b/>
          <w:bCs/>
          <w:color w:val="auto"/>
          <w:sz w:val="22"/>
          <w:szCs w:val="22"/>
          <w:highlight w:val="none"/>
        </w:rPr>
        <w:t>1、服务费用支付方式：</w:t>
      </w:r>
    </w:p>
    <w:p w14:paraId="3F92829D">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u w:val="none"/>
          <w:lang w:val="en-US" w:eastAsia="zh-CN"/>
        </w:rPr>
      </w:pPr>
      <w:r>
        <w:rPr>
          <w:rFonts w:hint="eastAsia" w:ascii="宋体" w:hAnsi="宋体" w:eastAsia="宋体" w:cs="宋体"/>
          <w:b/>
          <w:bCs/>
          <w:color w:val="auto"/>
          <w:sz w:val="22"/>
          <w:szCs w:val="22"/>
          <w:highlight w:val="none"/>
          <w:u w:val="none"/>
          <w:lang w:val="en-US" w:eastAsia="zh-CN"/>
        </w:rPr>
        <w:t>合同采用固定总价的合同方式。</w:t>
      </w:r>
    </w:p>
    <w:p w14:paraId="6F95A60F">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u w:val="none"/>
          <w:lang w:val="en-US" w:eastAsia="zh-CN"/>
        </w:rPr>
      </w:pPr>
      <w:r>
        <w:rPr>
          <w:rFonts w:hint="eastAsia" w:ascii="宋体" w:hAnsi="宋体" w:eastAsia="宋体" w:cs="宋体"/>
          <w:b/>
          <w:bCs/>
          <w:color w:val="auto"/>
          <w:sz w:val="22"/>
          <w:szCs w:val="22"/>
          <w:highlight w:val="none"/>
          <w:u w:val="none"/>
          <w:lang w:val="en-US" w:eastAsia="zh-CN"/>
        </w:rPr>
        <w:t>成功举办“水运江苏”建设跨江竞技劳动技能竞赛服务项目后28天内，发包人向承包人一次性支付全部合同费用。</w:t>
      </w:r>
    </w:p>
    <w:p w14:paraId="333A27F8">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2" w:firstLineChars="200"/>
        <w:textAlignment w:val="bottom"/>
        <w:rPr>
          <w:rFonts w:hint="eastAsia" w:ascii="宋体" w:hAnsi="宋体" w:eastAsia="宋体" w:cs="宋体"/>
          <w:b/>
          <w:bCs/>
          <w:color w:val="auto"/>
          <w:sz w:val="22"/>
          <w:szCs w:val="22"/>
          <w:highlight w:val="none"/>
          <w:u w:val="none"/>
          <w:lang w:val="en-US" w:eastAsia="zh-CN"/>
        </w:rPr>
      </w:pPr>
      <w:r>
        <w:rPr>
          <w:rFonts w:hint="eastAsia" w:ascii="宋体" w:hAnsi="宋体" w:eastAsia="宋体" w:cs="宋体"/>
          <w:b/>
          <w:bCs/>
          <w:color w:val="auto"/>
          <w:sz w:val="22"/>
          <w:szCs w:val="22"/>
          <w:highlight w:val="none"/>
          <w:u w:val="none"/>
          <w:lang w:val="en-US" w:eastAsia="zh-CN"/>
        </w:rPr>
        <w:t>注：每次支付服务费用时</w:t>
      </w:r>
      <w:r>
        <w:rPr>
          <w:rFonts w:hint="eastAsia" w:ascii="宋体" w:hAnsi="宋体" w:cs="宋体"/>
          <w:b/>
          <w:bCs/>
          <w:color w:val="auto"/>
          <w:sz w:val="22"/>
          <w:szCs w:val="22"/>
          <w:highlight w:val="none"/>
          <w:u w:val="none"/>
          <w:lang w:val="en-US" w:eastAsia="zh-CN"/>
        </w:rPr>
        <w:t>，</w:t>
      </w:r>
      <w:r>
        <w:rPr>
          <w:rFonts w:hint="eastAsia" w:ascii="宋体" w:hAnsi="宋体" w:eastAsia="宋体" w:cs="宋体"/>
          <w:b/>
          <w:bCs/>
          <w:color w:val="auto"/>
          <w:sz w:val="22"/>
          <w:szCs w:val="22"/>
          <w:highlight w:val="none"/>
          <w:u w:val="none"/>
          <w:lang w:val="en-US" w:eastAsia="zh-CN"/>
        </w:rPr>
        <w:t>承包人必须向发包人提供正规税务发票（当次支付的全额发票）</w:t>
      </w:r>
      <w:r>
        <w:rPr>
          <w:rFonts w:hint="eastAsia" w:ascii="宋体" w:hAnsi="宋体" w:cs="宋体"/>
          <w:b/>
          <w:bCs/>
          <w:color w:val="auto"/>
          <w:sz w:val="22"/>
          <w:szCs w:val="22"/>
          <w:highlight w:val="none"/>
          <w:u w:val="none"/>
          <w:lang w:val="en-US" w:eastAsia="zh-CN"/>
        </w:rPr>
        <w:t>，</w:t>
      </w:r>
      <w:r>
        <w:rPr>
          <w:rFonts w:hint="eastAsia" w:ascii="宋体" w:hAnsi="宋体" w:eastAsia="宋体" w:cs="宋体"/>
          <w:b/>
          <w:bCs/>
          <w:color w:val="auto"/>
          <w:sz w:val="22"/>
          <w:szCs w:val="22"/>
          <w:highlight w:val="none"/>
          <w:u w:val="none"/>
          <w:lang w:val="en-US" w:eastAsia="zh-CN"/>
        </w:rPr>
        <w:t>否则不予支付。</w:t>
      </w:r>
    </w:p>
    <w:p w14:paraId="38950DF4">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2" w:firstLineChars="200"/>
        <w:textAlignment w:val="bottom"/>
        <w:rPr>
          <w:rFonts w:hint="default" w:ascii="宋体" w:hAnsi="宋体" w:eastAsia="宋体" w:cs="宋体"/>
          <w:b/>
          <w:bCs/>
          <w:color w:val="auto"/>
          <w:sz w:val="22"/>
          <w:szCs w:val="22"/>
          <w:highlight w:val="none"/>
          <w:u w:val="none"/>
          <w:lang w:val="en-US" w:eastAsia="zh-CN"/>
        </w:rPr>
      </w:pPr>
      <w:r>
        <w:rPr>
          <w:rFonts w:hint="eastAsia" w:ascii="宋体" w:hAnsi="宋体" w:cs="宋体"/>
          <w:b/>
          <w:bCs/>
          <w:color w:val="auto"/>
          <w:sz w:val="22"/>
          <w:szCs w:val="22"/>
          <w:highlight w:val="none"/>
          <w:u w:val="none"/>
          <w:lang w:val="en-US" w:eastAsia="zh-CN"/>
        </w:rPr>
        <w:t>2、</w:t>
      </w:r>
      <w:r>
        <w:rPr>
          <w:rFonts w:hint="eastAsia" w:ascii="宋体" w:hAnsi="宋体" w:eastAsia="宋体" w:cs="宋体"/>
          <w:b/>
          <w:bCs w:val="0"/>
          <w:snapToGrid w:val="0"/>
          <w:color w:val="auto"/>
          <w:kern w:val="0"/>
          <w:sz w:val="22"/>
          <w:szCs w:val="22"/>
          <w:highlight w:val="none"/>
        </w:rPr>
        <w:t>本项目为总价合同</w:t>
      </w:r>
      <w:r>
        <w:rPr>
          <w:rFonts w:hint="eastAsia" w:cs="宋体"/>
          <w:b/>
          <w:bCs w:val="0"/>
          <w:snapToGrid w:val="0"/>
          <w:color w:val="auto"/>
          <w:kern w:val="0"/>
          <w:sz w:val="22"/>
          <w:szCs w:val="22"/>
          <w:highlight w:val="none"/>
          <w:lang w:eastAsia="zh-CN"/>
        </w:rPr>
        <w:t>，投标人的投标报价为高质量完成本项目所需全部费用，包括但不限于竞赛策划与组织服务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、培训</w:t>
      </w:r>
      <w:r>
        <w:rPr>
          <w:rFonts w:hint="eastAsia" w:cs="宋体"/>
          <w:b/>
          <w:bCs w:val="0"/>
          <w:snapToGrid w:val="0"/>
          <w:color w:val="auto"/>
          <w:kern w:val="0"/>
          <w:sz w:val="22"/>
          <w:szCs w:val="22"/>
          <w:highlight w:val="none"/>
          <w:lang w:val="en-US" w:eastAsia="zh-CN"/>
        </w:rPr>
        <w:t>及组织考核费</w:t>
      </w:r>
      <w:r>
        <w:rPr>
          <w:rFonts w:hint="eastAsia" w:cs="宋体"/>
          <w:b/>
          <w:bCs w:val="0"/>
          <w:snapToGrid w:val="0"/>
          <w:color w:val="auto"/>
          <w:kern w:val="0"/>
          <w:sz w:val="22"/>
          <w:szCs w:val="22"/>
          <w:highlight w:val="none"/>
          <w:lang w:eastAsia="zh-CN"/>
        </w:rPr>
        <w:t>、竞赛设备与物资供应</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、竞赛评委与专家服务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、后勤保障服务</w:t>
      </w:r>
      <w:r>
        <w:rPr>
          <w:rFonts w:hint="eastAsia" w:cs="宋体"/>
          <w:b/>
          <w:bCs w:val="0"/>
          <w:snapToGrid w:val="0"/>
          <w:color w:val="auto"/>
          <w:kern w:val="0"/>
          <w:sz w:val="22"/>
          <w:szCs w:val="22"/>
          <w:highlight w:val="none"/>
          <w:lang w:val="en-US" w:eastAsia="zh-CN"/>
        </w:rPr>
        <w:t>费</w:t>
      </w:r>
      <w:r>
        <w:rPr>
          <w:rFonts w:hint="eastAsia" w:cs="宋体"/>
          <w:b/>
          <w:bCs w:val="0"/>
          <w:snapToGrid w:val="0"/>
          <w:color w:val="auto"/>
          <w:kern w:val="0"/>
          <w:sz w:val="22"/>
          <w:szCs w:val="22"/>
          <w:highlight w:val="none"/>
          <w:lang w:eastAsia="zh-CN"/>
        </w:rPr>
        <w:t>，后续服务等全部工作所需的人员费用、交通工具及使用费、设备及相关费用、评审会务费以及公司取费、法定税金、利润等与履行合同有关的一切费用以及合同明示或暗示的所有一般风险责任和义务费用。投标人应用人民币报价</w:t>
      </w:r>
      <w:r>
        <w:rPr>
          <w:rFonts w:hint="eastAsia" w:ascii="宋体" w:hAnsi="宋体" w:cs="宋体"/>
          <w:b/>
          <w:bCs/>
          <w:color w:val="auto"/>
          <w:sz w:val="22"/>
          <w:szCs w:val="22"/>
          <w:highlight w:val="none"/>
          <w:u w:val="none"/>
          <w:lang w:val="en-US" w:eastAsia="zh-CN"/>
        </w:rPr>
        <w:t>。</w:t>
      </w:r>
    </w:p>
    <w:p w14:paraId="05782625">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b w:val="0"/>
          <w:bCs/>
          <w:color w:val="auto"/>
          <w:sz w:val="22"/>
          <w:szCs w:val="22"/>
          <w:highlight w:val="none"/>
        </w:rPr>
      </w:pPr>
      <w:r>
        <w:rPr>
          <w:rFonts w:hint="eastAsia" w:ascii="宋体" w:hAnsi="宋体" w:cs="宋体"/>
          <w:b w:val="0"/>
          <w:bCs/>
          <w:color w:val="auto"/>
          <w:sz w:val="22"/>
          <w:szCs w:val="22"/>
          <w:highlight w:val="none"/>
          <w:lang w:val="en-US" w:eastAsia="zh-CN"/>
        </w:rPr>
        <w:t>3</w:t>
      </w:r>
      <w:r>
        <w:rPr>
          <w:rFonts w:hint="eastAsia" w:ascii="宋体" w:hAnsi="宋体" w:eastAsia="宋体" w:cs="宋体"/>
          <w:b w:val="0"/>
          <w:bCs/>
          <w:color w:val="auto"/>
          <w:sz w:val="22"/>
          <w:szCs w:val="22"/>
          <w:highlight w:val="none"/>
        </w:rPr>
        <w:t>、在合同实施过程中</w:t>
      </w:r>
      <w:r>
        <w:rPr>
          <w:rFonts w:hint="eastAsia" w:ascii="宋体" w:hAnsi="宋体" w:cs="宋体"/>
          <w:b w:val="0"/>
          <w:bCs/>
          <w:color w:val="auto"/>
          <w:sz w:val="22"/>
          <w:szCs w:val="22"/>
          <w:highlight w:val="none"/>
          <w:lang w:eastAsia="zh-CN"/>
        </w:rPr>
        <w:t>，</w:t>
      </w:r>
      <w:r>
        <w:rPr>
          <w:rFonts w:hint="eastAsia" w:ascii="宋体" w:hAnsi="宋体" w:eastAsia="宋体" w:cs="宋体"/>
          <w:b w:val="0"/>
          <w:bCs/>
          <w:color w:val="auto"/>
          <w:sz w:val="22"/>
          <w:szCs w:val="22"/>
          <w:highlight w:val="none"/>
        </w:rPr>
        <w:t>技术服务工作如有推迟或延误而超过约定的</w:t>
      </w:r>
      <w:r>
        <w:rPr>
          <w:rFonts w:hint="eastAsia" w:ascii="宋体" w:hAnsi="宋体" w:eastAsia="宋体" w:cs="宋体"/>
          <w:b w:val="0"/>
          <w:bCs/>
          <w:color w:val="auto"/>
          <w:sz w:val="22"/>
          <w:szCs w:val="22"/>
          <w:highlight w:val="none"/>
          <w:lang w:eastAsia="zh-CN"/>
        </w:rPr>
        <w:t>服务周期</w:t>
      </w:r>
      <w:r>
        <w:rPr>
          <w:rFonts w:hint="eastAsia" w:ascii="宋体" w:hAnsi="宋体" w:eastAsia="宋体" w:cs="宋体"/>
          <w:b w:val="0"/>
          <w:bCs/>
          <w:color w:val="auto"/>
          <w:sz w:val="22"/>
          <w:szCs w:val="22"/>
          <w:highlight w:val="none"/>
        </w:rPr>
        <w:t>限</w:t>
      </w:r>
      <w:r>
        <w:rPr>
          <w:rFonts w:hint="eastAsia" w:ascii="宋体" w:hAnsi="宋体" w:cs="宋体"/>
          <w:b w:val="0"/>
          <w:bCs/>
          <w:color w:val="auto"/>
          <w:sz w:val="22"/>
          <w:szCs w:val="22"/>
          <w:highlight w:val="none"/>
          <w:lang w:eastAsia="zh-CN"/>
        </w:rPr>
        <w:t>，</w:t>
      </w:r>
      <w:r>
        <w:rPr>
          <w:rFonts w:hint="eastAsia" w:ascii="宋体" w:hAnsi="宋体" w:eastAsia="宋体" w:cs="宋体"/>
          <w:b w:val="0"/>
          <w:bCs/>
          <w:color w:val="auto"/>
          <w:sz w:val="22"/>
          <w:szCs w:val="22"/>
          <w:highlight w:val="none"/>
        </w:rPr>
        <w:t>应相应延长</w:t>
      </w:r>
      <w:r>
        <w:rPr>
          <w:rFonts w:hint="eastAsia" w:ascii="宋体" w:hAnsi="宋体" w:eastAsia="宋体" w:cs="宋体"/>
          <w:b w:val="0"/>
          <w:bCs/>
          <w:color w:val="auto"/>
          <w:sz w:val="22"/>
          <w:szCs w:val="22"/>
          <w:highlight w:val="none"/>
          <w:lang w:eastAsia="zh-CN"/>
        </w:rPr>
        <w:t>服务周期</w:t>
      </w:r>
      <w:r>
        <w:rPr>
          <w:rFonts w:hint="eastAsia" w:ascii="宋体" w:hAnsi="宋体" w:cs="宋体"/>
          <w:b w:val="0"/>
          <w:bCs/>
          <w:color w:val="auto"/>
          <w:sz w:val="22"/>
          <w:szCs w:val="22"/>
          <w:highlight w:val="none"/>
          <w:lang w:eastAsia="zh-CN"/>
        </w:rPr>
        <w:t>，</w:t>
      </w:r>
      <w:r>
        <w:rPr>
          <w:rFonts w:hint="eastAsia" w:ascii="宋体" w:hAnsi="宋体" w:eastAsia="宋体" w:cs="宋体"/>
          <w:b w:val="0"/>
          <w:bCs/>
          <w:color w:val="auto"/>
          <w:sz w:val="22"/>
          <w:szCs w:val="22"/>
          <w:highlight w:val="none"/>
        </w:rPr>
        <w:t>但并不因</w:t>
      </w:r>
      <w:r>
        <w:rPr>
          <w:rFonts w:hint="eastAsia" w:ascii="宋体" w:hAnsi="宋体" w:eastAsia="宋体" w:cs="宋体"/>
          <w:b w:val="0"/>
          <w:bCs/>
          <w:color w:val="auto"/>
          <w:sz w:val="22"/>
          <w:szCs w:val="22"/>
          <w:highlight w:val="none"/>
          <w:lang w:eastAsia="zh-CN"/>
        </w:rPr>
        <w:t>服务周期</w:t>
      </w:r>
      <w:r>
        <w:rPr>
          <w:rFonts w:hint="eastAsia" w:ascii="宋体" w:hAnsi="宋体" w:eastAsia="宋体" w:cs="宋体"/>
          <w:b w:val="0"/>
          <w:bCs/>
          <w:color w:val="auto"/>
          <w:sz w:val="22"/>
          <w:szCs w:val="22"/>
          <w:highlight w:val="none"/>
        </w:rPr>
        <w:t>的延长原因调整各项单价及总价。</w:t>
      </w:r>
    </w:p>
    <w:p w14:paraId="7E82DB14">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04" w:name="_Toc62509792"/>
      <w:bookmarkStart w:id="105" w:name="_Toc393638328"/>
      <w:bookmarkStart w:id="106" w:name="_Toc510442605"/>
      <w:r>
        <w:rPr>
          <w:rFonts w:hint="eastAsia" w:ascii="宋体" w:hAnsi="宋体" w:eastAsia="宋体" w:cs="宋体"/>
          <w:b/>
          <w:bCs/>
          <w:color w:val="auto"/>
          <w:sz w:val="22"/>
          <w:szCs w:val="22"/>
          <w:highlight w:val="none"/>
        </w:rPr>
        <w:t>九、合同的调价</w:t>
      </w:r>
      <w:bookmarkEnd w:id="103"/>
      <w:bookmarkEnd w:id="104"/>
      <w:bookmarkEnd w:id="105"/>
      <w:bookmarkEnd w:id="106"/>
    </w:p>
    <w:p w14:paraId="1877497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在签订本合同后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因法律、法规发生变化引起该技术服务费变化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以及因物价变动、规范性文件发生变化等其他因素而引起费用变化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合同价格不作调整。</w:t>
      </w:r>
    </w:p>
    <w:p w14:paraId="76E983FA">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07" w:name="_Toc393638329"/>
      <w:bookmarkStart w:id="108" w:name="_Toc510442606"/>
      <w:bookmarkStart w:id="109" w:name="_Toc62509793"/>
      <w:r>
        <w:rPr>
          <w:rFonts w:hint="eastAsia" w:ascii="宋体" w:hAnsi="宋体" w:eastAsia="宋体" w:cs="宋体"/>
          <w:b/>
          <w:bCs/>
          <w:color w:val="auto"/>
          <w:sz w:val="22"/>
          <w:szCs w:val="22"/>
          <w:highlight w:val="none"/>
        </w:rPr>
        <w:t>十、转包与分包</w:t>
      </w:r>
      <w:bookmarkEnd w:id="107"/>
      <w:bookmarkEnd w:id="108"/>
      <w:bookmarkEnd w:id="109"/>
    </w:p>
    <w:p w14:paraId="0AE5552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bookmarkStart w:id="110" w:name="_Toc393638330"/>
      <w:r>
        <w:rPr>
          <w:rFonts w:hint="eastAsia" w:ascii="宋体" w:hAnsi="宋体" w:eastAsia="宋体" w:cs="宋体"/>
          <w:snapToGrid w:val="0"/>
          <w:color w:val="auto"/>
          <w:kern w:val="0"/>
          <w:sz w:val="22"/>
          <w:szCs w:val="22"/>
          <w:highlight w:val="none"/>
        </w:rPr>
        <w:t>本项目禁止转包、禁止违法分包。</w:t>
      </w:r>
      <w:bookmarkEnd w:id="110"/>
    </w:p>
    <w:p w14:paraId="63D5ECA3">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11" w:name="_Toc62509794"/>
      <w:bookmarkStart w:id="112" w:name="_Toc510442607"/>
      <w:bookmarkStart w:id="113" w:name="_Toc393638331"/>
      <w:r>
        <w:rPr>
          <w:rFonts w:hint="eastAsia" w:ascii="宋体" w:hAnsi="宋体" w:eastAsia="宋体" w:cs="宋体"/>
          <w:b/>
          <w:bCs/>
          <w:color w:val="auto"/>
          <w:sz w:val="22"/>
          <w:szCs w:val="22"/>
          <w:highlight w:val="none"/>
        </w:rPr>
        <w:t>十一、不可抗力</w:t>
      </w:r>
      <w:bookmarkEnd w:id="111"/>
      <w:bookmarkEnd w:id="112"/>
      <w:bookmarkEnd w:id="113"/>
    </w:p>
    <w:p w14:paraId="47876027">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1、除非合同另有约定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不可抗力系指委托方和受托方都不可预见、不可避免、不能克服的超出认识控制和防范能力的事件。这类事件使合同一方的履约已变得不可能。不可抗力可以包括</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但不限于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下列情况：</w:t>
      </w:r>
    </w:p>
    <w:p w14:paraId="2BDF64F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1</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战争、敌对行动</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不论宣战与否</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、入侵、外敌行动；</w:t>
      </w:r>
    </w:p>
    <w:p w14:paraId="6D2B06A3">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2</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叛乱、革命、暴动或军事政变或篡夺政权</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或内战；</w:t>
      </w:r>
    </w:p>
    <w:p w14:paraId="2076A6A7">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3</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暴乱、骚乱或混乱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但对于完全局限在受托方雇用人员内部并且是由于从事本工程而发生的事件除外；</w:t>
      </w:r>
    </w:p>
    <w:p w14:paraId="05131F50">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4</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离子辐射或放射性污染；</w:t>
      </w:r>
    </w:p>
    <w:p w14:paraId="1FA20564">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5</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以音速或超音速飞行的飞机或其他飞行装置产生的压力波</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飞行器坠落；</w:t>
      </w:r>
    </w:p>
    <w:p w14:paraId="7DEC80C4">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6</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自然灾害</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地震、洪水、海啸、飓风、超强台风、雷击</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t>
      </w:r>
    </w:p>
    <w:p w14:paraId="7190850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2、遇有不可抗力事件的一方因此影响合同执行时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应在不可抗力事件发生后立即以书面形式通知对方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并应在不可抗力事情发生后15天内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提供事件详细及合同不能履行、或者部分不能履行、或者需要延期履行的理由的有效证明文件。按照事件对履行合同的影响程度</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由双方协商解决是否解除合同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或者部分免除履行合同的责任</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或者延期履行合同。</w:t>
      </w:r>
    </w:p>
    <w:p w14:paraId="56F194AA">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3、因合同一方拖延履行合同后发生不可抗力的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不能免除拖延履行方的相应责任。</w:t>
      </w:r>
    </w:p>
    <w:p w14:paraId="01B4546B">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14" w:name="_Toc62509795"/>
      <w:bookmarkStart w:id="115" w:name="_Toc393638332"/>
      <w:bookmarkStart w:id="116" w:name="_Toc510442608"/>
      <w:r>
        <w:rPr>
          <w:rFonts w:hint="eastAsia" w:ascii="宋体" w:hAnsi="宋体" w:eastAsia="宋体" w:cs="宋体"/>
          <w:b/>
          <w:bCs/>
          <w:color w:val="auto"/>
          <w:sz w:val="22"/>
          <w:szCs w:val="22"/>
          <w:highlight w:val="none"/>
        </w:rPr>
        <w:t>十二、索赔</w:t>
      </w:r>
      <w:bookmarkEnd w:id="114"/>
      <w:bookmarkEnd w:id="115"/>
      <w:bookmarkEnd w:id="116"/>
    </w:p>
    <w:p w14:paraId="23286C8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1、当一方提出索赔时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要有正当索赔理由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且有索赔事件发生时的有效证据。</w:t>
      </w:r>
    </w:p>
    <w:p w14:paraId="22236E1B">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2、委托方未能按合同约定履行自己的各项义务或发生错误以及应由委托方承担责任的其他情况</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造成受托方的经济损失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受托方可按下列程序以书面形式向委托方索赔：</w:t>
      </w:r>
    </w:p>
    <w:p w14:paraId="34007841">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1</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索赔事件发生后28日内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发出索赔意向通知；</w:t>
      </w:r>
    </w:p>
    <w:p w14:paraId="6EB71049">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2</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委托方在收到受托方送交的索赔报告和有关资料后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于28日内给予答复</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或要求受托方进一步补充索赔理由和证据；</w:t>
      </w:r>
    </w:p>
    <w:p w14:paraId="332204EE">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3</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委托方在收到受托方送交的索赔报告和有关资料后28日内给予答复或未对受托方作进一步要求</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视为该项索赔已经认可；</w:t>
      </w:r>
    </w:p>
    <w:p w14:paraId="6D4ECC1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4</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当该索赔事件持续进行时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受托方应当阶段性向委托方发出索赔意向</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在索赔事件终了后28日内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向委托方送交索赔的有关资料和最终索赔报告。索赔的程序与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2</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3</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规定相同。</w:t>
      </w:r>
    </w:p>
    <w:p w14:paraId="71D06597">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3、受托方未能按合同约定履行自己的各项义务或发生错误</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造成工期延误和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对委托方造成的其它经济损失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委托方可按本合同上述第2款确定的时限和方式向受托方提出索赔。</w:t>
      </w:r>
    </w:p>
    <w:p w14:paraId="102A004C">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17" w:name="_Toc62509796"/>
      <w:bookmarkStart w:id="118" w:name="_Toc393638333"/>
      <w:bookmarkStart w:id="119" w:name="_Toc510442609"/>
      <w:r>
        <w:rPr>
          <w:rFonts w:hint="eastAsia" w:ascii="宋体" w:hAnsi="宋体" w:eastAsia="宋体" w:cs="宋体"/>
          <w:b/>
          <w:bCs/>
          <w:color w:val="auto"/>
          <w:sz w:val="22"/>
          <w:szCs w:val="22"/>
          <w:highlight w:val="none"/>
        </w:rPr>
        <w:t>十三、合同生效、变更、中止、解除和终止</w:t>
      </w:r>
      <w:bookmarkEnd w:id="117"/>
      <w:bookmarkEnd w:id="118"/>
      <w:bookmarkEnd w:id="119"/>
    </w:p>
    <w:p w14:paraId="7B4C4882">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1、对本合同条款的任何变更、修改或增减</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须经双方协商同意后由法定代表人或授权代理人签署书面补充文件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作为本合同的组成部分。</w:t>
      </w:r>
    </w:p>
    <w:p w14:paraId="22B4087A">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2、委托方如果要求受托方全部或部分中止</w:t>
      </w:r>
      <w:r>
        <w:rPr>
          <w:rFonts w:hint="eastAsia" w:ascii="宋体" w:hAnsi="宋体" w:eastAsia="宋体" w:cs="宋体"/>
          <w:color w:val="auto"/>
          <w:sz w:val="22"/>
          <w:szCs w:val="22"/>
          <w:highlight w:val="none"/>
          <w:lang w:val="en-US" w:eastAsia="zh-CN"/>
        </w:rPr>
        <w:t>本项目</w:t>
      </w:r>
      <w:r>
        <w:rPr>
          <w:rFonts w:hint="eastAsia" w:ascii="宋体" w:hAnsi="宋体" w:eastAsia="宋体" w:cs="宋体"/>
          <w:color w:val="auto"/>
          <w:sz w:val="22"/>
          <w:szCs w:val="22"/>
          <w:highlight w:val="none"/>
        </w:rPr>
        <w:t>服务或终止合同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则应当在14日前通知受托方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受托方应当立即安排停止执行技术服务工作。</w:t>
      </w:r>
    </w:p>
    <w:p w14:paraId="35333DDC">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3、如受托方发生违约行为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受托方除偿付委托方违约金和损失赔偿费外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委托方有权解除本合同。合同解除后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委托方不承担责任。</w:t>
      </w:r>
    </w:p>
    <w:p w14:paraId="6177FE3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4、双方因不可抗力致使合同无法履行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可以解除合同。</w:t>
      </w:r>
    </w:p>
    <w:p w14:paraId="7CDDC4F0">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5、一方根据上述条款约定要求解除合同的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应以书面形式向对方发出解除合同的通知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并在发出通知前14日告知对方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通知达到对方时合同解除。对解除合同有争议的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按本合同第16款“2、争议的解决”关于争议的约定处理。</w:t>
      </w:r>
    </w:p>
    <w:p w14:paraId="62A16CD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6、合同解除后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不影响双方在合同中约定的结算、清理和损害赔偿条款及争议的效力。</w:t>
      </w:r>
    </w:p>
    <w:p w14:paraId="6D18C467">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20" w:name="_Toc393638335"/>
      <w:bookmarkStart w:id="121" w:name="_Toc62509797"/>
      <w:bookmarkStart w:id="122" w:name="_Toc510442610"/>
      <w:r>
        <w:rPr>
          <w:rFonts w:hint="eastAsia" w:ascii="宋体" w:hAnsi="宋体" w:eastAsia="宋体" w:cs="宋体"/>
          <w:b/>
          <w:bCs/>
          <w:color w:val="auto"/>
          <w:sz w:val="22"/>
          <w:szCs w:val="22"/>
          <w:highlight w:val="none"/>
        </w:rPr>
        <w:t>十四、廉洁条款</w:t>
      </w:r>
      <w:bookmarkEnd w:id="120"/>
      <w:bookmarkEnd w:id="121"/>
      <w:bookmarkEnd w:id="122"/>
    </w:p>
    <w:p w14:paraId="15F9A3F9">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委托方和受托方人员应当自觉遵守国家、江苏省关于建设工程廉政建设的有关规定。</w:t>
      </w:r>
    </w:p>
    <w:p w14:paraId="39202319">
      <w:pPr>
        <w:keepNext w:val="0"/>
        <w:keepLines w:val="0"/>
        <w:pageBreakBefore w:val="0"/>
        <w:widowControl w:val="0"/>
        <w:tabs>
          <w:tab w:val="left" w:pos="360"/>
          <w:tab w:val="left" w:pos="1260"/>
        </w:tabs>
        <w:kinsoku/>
        <w:wordWrap/>
        <w:overflowPunct/>
        <w:topLinePunct w:val="0"/>
        <w:bidi w:val="0"/>
        <w:adjustRightInd/>
        <w:snapToGrid/>
        <w:spacing w:line="360" w:lineRule="auto"/>
        <w:ind w:left="0" w:leftChars="0" w:firstLine="442" w:firstLineChars="200"/>
        <w:outlineLvl w:val="0"/>
        <w:rPr>
          <w:rFonts w:hint="eastAsia" w:ascii="宋体" w:hAnsi="宋体" w:eastAsia="宋体" w:cs="宋体"/>
          <w:b/>
          <w:bCs/>
          <w:color w:val="auto"/>
          <w:sz w:val="22"/>
          <w:szCs w:val="22"/>
          <w:highlight w:val="none"/>
        </w:rPr>
      </w:pPr>
      <w:bookmarkStart w:id="123" w:name="_Toc510442611"/>
      <w:bookmarkStart w:id="124" w:name="_Toc393638336"/>
      <w:bookmarkStart w:id="125" w:name="_Toc143763572"/>
      <w:bookmarkStart w:id="126" w:name="_Toc62509798"/>
      <w:r>
        <w:rPr>
          <w:rFonts w:hint="eastAsia" w:ascii="宋体" w:hAnsi="宋体" w:eastAsia="宋体" w:cs="宋体"/>
          <w:b/>
          <w:bCs/>
          <w:color w:val="auto"/>
          <w:sz w:val="22"/>
          <w:szCs w:val="22"/>
          <w:highlight w:val="none"/>
        </w:rPr>
        <w:t>十五、其它</w:t>
      </w:r>
      <w:bookmarkEnd w:id="123"/>
      <w:bookmarkEnd w:id="124"/>
      <w:bookmarkEnd w:id="125"/>
      <w:bookmarkEnd w:id="126"/>
    </w:p>
    <w:p w14:paraId="76059E51">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bookmarkStart w:id="127" w:name="_Toc393638337"/>
      <w:r>
        <w:rPr>
          <w:rFonts w:hint="eastAsia" w:ascii="宋体" w:hAnsi="宋体" w:eastAsia="宋体" w:cs="宋体"/>
          <w:color w:val="auto"/>
          <w:sz w:val="22"/>
          <w:szCs w:val="22"/>
          <w:highlight w:val="none"/>
        </w:rPr>
        <w:t>1、法律和法规</w:t>
      </w:r>
      <w:bookmarkEnd w:id="127"/>
    </w:p>
    <w:p w14:paraId="0A67F781">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本合同必须服从国家的现行法律和法规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对合同的解释应以国家的现行法律和法规为准。</w:t>
      </w:r>
    </w:p>
    <w:p w14:paraId="6F76E446">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双方根据有关法律、行政法规规定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结合工程实际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经协商一致后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可对本</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服务合同条款进行补充或修改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另行签订补充协议</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作为本合同的组成部分。</w:t>
      </w:r>
    </w:p>
    <w:p w14:paraId="5B21247C">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2、争议的解决</w:t>
      </w:r>
    </w:p>
    <w:p w14:paraId="0860D3CD">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本合同在执行过程中</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如发生任何争端、纠纷或因违反、终止本合同而引起的对损失损害的任何赔偿</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应事先协商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在受托方和委托方之间达成一致意见。如未能达成一致</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可提交上级主管部门协调：若仍不能达成一致</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双方约定通过仲裁方式解决。仲裁机构为</w:t>
      </w:r>
      <w:r>
        <w:rPr>
          <w:rFonts w:hint="eastAsia" w:ascii="宋体" w:hAnsi="宋体" w:eastAsia="宋体" w:cs="宋体"/>
          <w:color w:val="auto"/>
          <w:sz w:val="22"/>
          <w:szCs w:val="22"/>
          <w:highlight w:val="none"/>
          <w:lang w:val="en-US" w:eastAsia="zh-CN"/>
        </w:rPr>
        <w:t>南通</w:t>
      </w:r>
      <w:r>
        <w:rPr>
          <w:rFonts w:hint="eastAsia" w:ascii="宋体" w:hAnsi="宋体" w:eastAsia="宋体" w:cs="宋体"/>
          <w:color w:val="auto"/>
          <w:sz w:val="22"/>
          <w:szCs w:val="22"/>
          <w:highlight w:val="none"/>
        </w:rPr>
        <w:t>仲裁委员会。仲裁决定具有最终法律效力</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其仲裁费用由败诉方承担。</w:t>
      </w:r>
    </w:p>
    <w:p w14:paraId="2B387EA1">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3、利益的冲突</w:t>
      </w:r>
    </w:p>
    <w:p w14:paraId="26C2C22C">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除合同另有规定外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受托方及其雇员不应接受本合同规定以外的与本工程有关的利益和报酬。</w:t>
      </w:r>
    </w:p>
    <w:p w14:paraId="286E3CE3">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4、本合同中的暂定金是委托方为本项目工程量的增加或留作不可预见费</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由委托方决定是否全部或部分使用</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或者根本不予使用。</w:t>
      </w:r>
    </w:p>
    <w:p w14:paraId="4E0ED31F">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5、履约担保</w:t>
      </w:r>
    </w:p>
    <w:p w14:paraId="04B4F2C2">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履约担保</w:t>
      </w:r>
      <w:r>
        <w:rPr>
          <w:rFonts w:hint="eastAsia" w:ascii="宋体" w:hAnsi="宋体" w:eastAsia="宋体" w:cs="宋体"/>
          <w:color w:val="auto"/>
          <w:sz w:val="22"/>
          <w:szCs w:val="22"/>
          <w:highlight w:val="none"/>
          <w:lang w:eastAsia="zh-CN"/>
        </w:rPr>
        <w:t>：</w:t>
      </w:r>
      <w:r>
        <w:rPr>
          <w:rFonts w:hint="eastAsia" w:ascii="宋体" w:hAnsi="宋体" w:cs="宋体"/>
          <w:color w:val="auto"/>
          <w:sz w:val="22"/>
          <w:szCs w:val="22"/>
          <w:highlight w:val="none"/>
          <w:lang w:val="en-US" w:eastAsia="zh-CN"/>
        </w:rPr>
        <w:t>受托方</w:t>
      </w:r>
      <w:r>
        <w:rPr>
          <w:rFonts w:hint="eastAsia" w:ascii="宋体" w:hAnsi="宋体" w:eastAsia="宋体" w:cs="宋体"/>
          <w:color w:val="auto"/>
          <w:sz w:val="22"/>
          <w:szCs w:val="22"/>
          <w:highlight w:val="none"/>
          <w:lang w:eastAsia="zh-CN"/>
        </w:rPr>
        <w:t>应按签约合同价格的5%向</w:t>
      </w:r>
      <w:r>
        <w:rPr>
          <w:rFonts w:hint="eastAsia" w:ascii="宋体" w:hAnsi="宋体" w:cs="宋体"/>
          <w:color w:val="auto"/>
          <w:sz w:val="22"/>
          <w:szCs w:val="22"/>
          <w:highlight w:val="none"/>
          <w:lang w:val="en-US" w:eastAsia="zh-CN"/>
        </w:rPr>
        <w:t>委托方</w:t>
      </w:r>
      <w:r>
        <w:rPr>
          <w:rFonts w:hint="eastAsia" w:ascii="宋体" w:hAnsi="宋体" w:eastAsia="宋体" w:cs="宋体"/>
          <w:color w:val="auto"/>
          <w:sz w:val="22"/>
          <w:szCs w:val="22"/>
          <w:highlight w:val="none"/>
          <w:lang w:eastAsia="zh-CN"/>
        </w:rPr>
        <w:t>提交履约担保。如采用银行保函形式，则开具保函的银行级别应为国有商业银行或股份制商业银行的支行及其以上级别，银行保函（保函格式、内容需获得</w:t>
      </w:r>
      <w:r>
        <w:rPr>
          <w:rFonts w:hint="eastAsia" w:ascii="宋体" w:hAnsi="宋体" w:cs="宋体"/>
          <w:color w:val="auto"/>
          <w:sz w:val="22"/>
          <w:szCs w:val="22"/>
          <w:highlight w:val="none"/>
          <w:lang w:val="en-US" w:eastAsia="zh-CN"/>
        </w:rPr>
        <w:t>委托方</w:t>
      </w:r>
      <w:r>
        <w:rPr>
          <w:rFonts w:hint="eastAsia" w:ascii="宋体" w:hAnsi="宋体" w:eastAsia="宋体" w:cs="宋体"/>
          <w:color w:val="auto"/>
          <w:sz w:val="22"/>
          <w:szCs w:val="22"/>
          <w:highlight w:val="none"/>
          <w:lang w:eastAsia="zh-CN"/>
        </w:rPr>
        <w:t>认可）形式</w:t>
      </w:r>
      <w:r>
        <w:rPr>
          <w:rFonts w:hint="eastAsia" w:ascii="宋体" w:hAnsi="宋体" w:eastAsia="宋体" w:cs="宋体"/>
          <w:color w:val="auto"/>
          <w:sz w:val="22"/>
          <w:szCs w:val="22"/>
          <w:highlight w:val="none"/>
        </w:rPr>
        <w:t>。</w:t>
      </w:r>
    </w:p>
    <w:p w14:paraId="420DE975">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6、版权</w:t>
      </w:r>
    </w:p>
    <w:p w14:paraId="30B83A92">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对受托方拥有版权并已用于本</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服务中的所有文件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委托方有权在合同项目中使用或复制。但未经受托方同意</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委托方不得将上述文件直接或间接用于其他项目、工程或服务之中。</w:t>
      </w:r>
    </w:p>
    <w:p w14:paraId="562D2C88">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受托方应对由于自己或其代理人的过错包括侵犯版权或发明权而给委托方或任何第三方造成的损失负赔偿责任。</w:t>
      </w:r>
    </w:p>
    <w:p w14:paraId="2121D33A">
      <w:pPr>
        <w:keepNext w:val="0"/>
        <w:keepLines w:val="0"/>
        <w:pageBreakBefore w:val="0"/>
        <w:widowControl w:val="0"/>
        <w:tabs>
          <w:tab w:val="left" w:pos="360"/>
        </w:tabs>
        <w:kinsoku/>
        <w:wordWrap/>
        <w:overflowPunct/>
        <w:topLinePunct w:val="0"/>
        <w:autoSpaceDE w:val="0"/>
        <w:autoSpaceDN w:val="0"/>
        <w:bidi w:val="0"/>
        <w:adjustRightInd/>
        <w:snapToGrid/>
        <w:spacing w:line="360" w:lineRule="auto"/>
        <w:ind w:left="0" w:leftChars="0" w:firstLine="440" w:firstLineChars="200"/>
        <w:textAlignment w:val="bottom"/>
        <w:rPr>
          <w:rFonts w:hint="eastAsia" w:ascii="宋体" w:hAnsi="宋体" w:eastAsia="宋体" w:cs="宋体"/>
          <w:color w:val="auto"/>
          <w:sz w:val="21"/>
          <w:szCs w:val="21"/>
          <w:highlight w:val="none"/>
        </w:rPr>
      </w:pPr>
      <w:r>
        <w:rPr>
          <w:rFonts w:hint="eastAsia" w:ascii="宋体" w:hAnsi="宋体" w:eastAsia="宋体" w:cs="宋体"/>
          <w:color w:val="auto"/>
          <w:sz w:val="22"/>
          <w:szCs w:val="22"/>
          <w:highlight w:val="none"/>
        </w:rPr>
        <w:t>受托方要出版与本项目相关的一切资料</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必须事先征得委托方的书面同意。</w:t>
      </w:r>
    </w:p>
    <w:p w14:paraId="2B72BAF9">
      <w:pPr>
        <w:keepNext w:val="0"/>
        <w:keepLines w:val="0"/>
        <w:pageBreakBefore w:val="0"/>
        <w:kinsoku/>
        <w:wordWrap/>
        <w:overflowPunct/>
        <w:topLinePunct w:val="0"/>
        <w:autoSpaceDE w:val="0"/>
        <w:autoSpaceDN w:val="0"/>
        <w:bidi w:val="0"/>
        <w:adjustRightInd/>
        <w:snapToGrid/>
        <w:spacing w:line="360" w:lineRule="auto"/>
        <w:ind w:left="0" w:leftChars="0"/>
        <w:textAlignment w:val="bottom"/>
        <w:rPr>
          <w:rFonts w:hint="eastAsia" w:ascii="宋体" w:hAnsi="宋体" w:eastAsia="宋体" w:cs="宋体"/>
          <w:color w:val="auto"/>
          <w:sz w:val="21"/>
          <w:szCs w:val="21"/>
          <w:highlight w:val="none"/>
        </w:rPr>
      </w:pPr>
    </w:p>
    <w:p w14:paraId="19EE8BD8">
      <w:pPr>
        <w:keepNext w:val="0"/>
        <w:keepLines w:val="0"/>
        <w:pageBreakBefore w:val="0"/>
        <w:kinsoku/>
        <w:wordWrap/>
        <w:overflowPunct/>
        <w:topLinePunct w:val="0"/>
        <w:bidi w:val="0"/>
        <w:adjustRightInd/>
        <w:snapToGrid/>
        <w:spacing w:line="360" w:lineRule="auto"/>
        <w:ind w:left="0" w:leftChars="0"/>
        <w:jc w:val="center"/>
        <w:outlineLvl w:val="2"/>
        <w:rPr>
          <w:rFonts w:hint="eastAsia" w:ascii="宋体" w:hAnsi="宋体" w:eastAsia="宋体" w:cs="宋体"/>
          <w:b/>
          <w:bCs/>
          <w:color w:val="auto"/>
          <w:sz w:val="22"/>
          <w:szCs w:val="22"/>
          <w:highlight w:val="none"/>
        </w:rPr>
      </w:pPr>
      <w:r>
        <w:rPr>
          <w:rFonts w:hint="eastAsia" w:ascii="宋体" w:hAnsi="宋体" w:eastAsia="宋体" w:cs="宋体"/>
          <w:b/>
          <w:bCs/>
          <w:color w:val="auto"/>
          <w:sz w:val="21"/>
          <w:szCs w:val="21"/>
          <w:highlight w:val="none"/>
        </w:rPr>
        <w:br w:type="page"/>
      </w:r>
      <w:bookmarkStart w:id="128" w:name="_Toc510442612"/>
      <w:bookmarkStart w:id="129" w:name="_Toc143763573"/>
      <w:bookmarkStart w:id="130" w:name="_Toc393638338"/>
      <w:bookmarkStart w:id="131" w:name="_Toc6483"/>
      <w:bookmarkStart w:id="132" w:name="_Toc11237"/>
      <w:bookmarkStart w:id="133" w:name="_Toc62140754"/>
      <w:r>
        <w:rPr>
          <w:rFonts w:hint="eastAsia" w:ascii="宋体" w:hAnsi="宋体" w:eastAsia="宋体" w:cs="宋体"/>
          <w:b/>
          <w:bCs/>
          <w:color w:val="auto"/>
          <w:sz w:val="22"/>
          <w:szCs w:val="22"/>
          <w:highlight w:val="none"/>
        </w:rPr>
        <w:t>A、合同协议书格式（投标时不须填写）</w:t>
      </w:r>
      <w:bookmarkEnd w:id="128"/>
      <w:bookmarkEnd w:id="129"/>
      <w:bookmarkEnd w:id="130"/>
      <w:bookmarkEnd w:id="131"/>
      <w:bookmarkEnd w:id="132"/>
      <w:bookmarkEnd w:id="133"/>
    </w:p>
    <w:p w14:paraId="574F9D52">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bookmarkStart w:id="134" w:name="_Toc143763574"/>
      <w:bookmarkStart w:id="135" w:name="_Toc393638339"/>
      <w:bookmarkStart w:id="136" w:name="_Toc13450"/>
      <w:bookmarkStart w:id="137" w:name="_Toc13038"/>
      <w:r>
        <w:rPr>
          <w:rFonts w:hint="eastAsia" w:ascii="宋体" w:hAnsi="宋体" w:eastAsia="宋体" w:cs="宋体"/>
          <w:bCs/>
          <w:color w:val="auto"/>
          <w:sz w:val="22"/>
          <w:szCs w:val="22"/>
          <w:highlight w:val="none"/>
        </w:rPr>
        <w:t xml:space="preserve"> </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（委托人名称</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以下简称“委托人”）为实施</w:t>
      </w:r>
      <w:r>
        <w:rPr>
          <w:rFonts w:hint="eastAsia" w:ascii="宋体" w:hAnsi="宋体" w:eastAsia="宋体" w:cs="宋体"/>
          <w:bCs/>
          <w:color w:val="auto"/>
          <w:sz w:val="22"/>
          <w:szCs w:val="22"/>
          <w:highlight w:val="none"/>
          <w:u w:val="single"/>
        </w:rPr>
        <w:t xml:space="preserve">         （项目名称）</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已接受</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w:t>
      </w:r>
      <w:r>
        <w:rPr>
          <w:rFonts w:hint="eastAsia" w:ascii="宋体" w:hAnsi="宋体" w:eastAsia="宋体" w:cs="宋体"/>
          <w:color w:val="auto"/>
          <w:sz w:val="22"/>
          <w:szCs w:val="22"/>
          <w:highlight w:val="none"/>
        </w:rPr>
        <w:t>受托人</w:t>
      </w:r>
      <w:r>
        <w:rPr>
          <w:rFonts w:hint="eastAsia" w:ascii="宋体" w:hAnsi="宋体" w:eastAsia="宋体" w:cs="宋体"/>
          <w:bCs/>
          <w:color w:val="auto"/>
          <w:sz w:val="22"/>
          <w:szCs w:val="22"/>
          <w:highlight w:val="none"/>
        </w:rPr>
        <w:t>名称</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以下简称“</w:t>
      </w:r>
      <w:r>
        <w:rPr>
          <w:rFonts w:hint="eastAsia" w:ascii="宋体" w:hAnsi="宋体" w:eastAsia="宋体" w:cs="宋体"/>
          <w:color w:val="auto"/>
          <w:sz w:val="22"/>
          <w:szCs w:val="22"/>
          <w:highlight w:val="none"/>
        </w:rPr>
        <w:t>受托人</w:t>
      </w:r>
      <w:r>
        <w:rPr>
          <w:rFonts w:hint="eastAsia" w:ascii="宋体" w:hAnsi="宋体" w:eastAsia="宋体" w:cs="宋体"/>
          <w:bCs/>
          <w:color w:val="auto"/>
          <w:sz w:val="22"/>
          <w:szCs w:val="22"/>
          <w:highlight w:val="none"/>
        </w:rPr>
        <w:t>”）对该项目投标。委托人和</w:t>
      </w:r>
      <w:r>
        <w:rPr>
          <w:rFonts w:hint="eastAsia" w:ascii="宋体" w:hAnsi="宋体" w:eastAsia="宋体" w:cs="宋体"/>
          <w:color w:val="auto"/>
          <w:sz w:val="22"/>
          <w:szCs w:val="22"/>
          <w:highlight w:val="none"/>
        </w:rPr>
        <w:t>受托人</w:t>
      </w:r>
      <w:r>
        <w:rPr>
          <w:rFonts w:hint="eastAsia" w:ascii="宋体" w:hAnsi="宋体" w:eastAsia="宋体" w:cs="宋体"/>
          <w:bCs/>
          <w:color w:val="auto"/>
          <w:sz w:val="22"/>
          <w:szCs w:val="22"/>
          <w:highlight w:val="none"/>
        </w:rPr>
        <w:t>共同达成如下协议。</w:t>
      </w:r>
    </w:p>
    <w:p w14:paraId="2E168F2C">
      <w:pPr>
        <w:keepNext w:val="0"/>
        <w:keepLines w:val="0"/>
        <w:pageBreakBefore w:val="0"/>
        <w:widowControl/>
        <w:numPr>
          <w:ilvl w:val="0"/>
          <w:numId w:val="1"/>
        </w:numPr>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本协议书与下列文件一起构成合同文件：</w:t>
      </w:r>
    </w:p>
    <w:p w14:paraId="5ED4F33E">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（1）委托合同协议书</w:t>
      </w:r>
    </w:p>
    <w:p w14:paraId="174DAA69">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（2）委托合同条款及附件；</w:t>
      </w:r>
    </w:p>
    <w:p w14:paraId="26AEA4E0">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（3）中标通知书；</w:t>
      </w:r>
    </w:p>
    <w:p w14:paraId="409CB764">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（4）投标函及投标函附录；</w:t>
      </w:r>
    </w:p>
    <w:p w14:paraId="2AEC9C0B">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（5）投标文件的其他组成部分；</w:t>
      </w:r>
    </w:p>
    <w:p w14:paraId="284D0B18">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（6）委托合同执行中双方共同签署的补充与修正文件。</w:t>
      </w:r>
    </w:p>
    <w:p w14:paraId="4B20F9BD">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二、 上述合同文件互相补充和解释。如果合同文件之间存在矛盾或不一致之处</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以上述文件的排列顺序在先者为准。</w:t>
      </w:r>
    </w:p>
    <w:p w14:paraId="0B459D97">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三、 签约合同价：人民币（大写）</w:t>
      </w:r>
      <w:r>
        <w:rPr>
          <w:rFonts w:hint="eastAsia" w:ascii="宋体" w:hAnsi="宋体" w:eastAsia="宋体" w:cs="宋体"/>
          <w:bCs/>
          <w:color w:val="auto"/>
          <w:sz w:val="22"/>
          <w:szCs w:val="22"/>
          <w:highlight w:val="none"/>
          <w:u w:val="single"/>
        </w:rPr>
        <w:t xml:space="preserve">                     （¥       ）</w:t>
      </w:r>
      <w:r>
        <w:rPr>
          <w:rFonts w:hint="eastAsia" w:ascii="宋体" w:hAnsi="宋体" w:eastAsia="宋体" w:cs="宋体"/>
          <w:bCs/>
          <w:color w:val="auto"/>
          <w:sz w:val="22"/>
          <w:szCs w:val="22"/>
          <w:highlight w:val="none"/>
        </w:rPr>
        <w:t>。</w:t>
      </w:r>
    </w:p>
    <w:p w14:paraId="5D2FC90E">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四、 项目负责人：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w:t>
      </w:r>
    </w:p>
    <w:p w14:paraId="7E5B368C">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 xml:space="preserve">五、 </w:t>
      </w:r>
      <w:r>
        <w:rPr>
          <w:rFonts w:hint="eastAsia" w:ascii="宋体" w:hAnsi="宋体" w:eastAsia="宋体" w:cs="宋体"/>
          <w:color w:val="auto"/>
          <w:sz w:val="22"/>
          <w:szCs w:val="22"/>
          <w:highlight w:val="none"/>
        </w:rPr>
        <w:t>受托人同意按照本合同的规定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承担本合同条款中议定范围内的服务</w:t>
      </w:r>
      <w:r>
        <w:rPr>
          <w:rFonts w:hint="eastAsia" w:ascii="宋体" w:hAnsi="宋体" w:eastAsia="宋体" w:cs="宋体"/>
          <w:bCs/>
          <w:color w:val="auto"/>
          <w:sz w:val="22"/>
          <w:szCs w:val="22"/>
          <w:highlight w:val="none"/>
        </w:rPr>
        <w:t>。</w:t>
      </w:r>
    </w:p>
    <w:p w14:paraId="026F57A1">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 xml:space="preserve">六、 </w:t>
      </w:r>
      <w:r>
        <w:rPr>
          <w:rFonts w:hint="eastAsia" w:ascii="宋体" w:hAnsi="宋体" w:eastAsia="宋体" w:cs="宋体"/>
          <w:color w:val="auto"/>
          <w:sz w:val="22"/>
          <w:szCs w:val="22"/>
          <w:highlight w:val="none"/>
        </w:rPr>
        <w:t>委托人同意按照本合同规定的期限、方式、币种、额度向受托人支付服务费用</w:t>
      </w:r>
      <w:r>
        <w:rPr>
          <w:rFonts w:hint="eastAsia" w:ascii="宋体" w:hAnsi="宋体" w:eastAsia="宋体" w:cs="宋体"/>
          <w:bCs/>
          <w:color w:val="auto"/>
          <w:sz w:val="22"/>
          <w:szCs w:val="22"/>
          <w:highlight w:val="none"/>
        </w:rPr>
        <w:t>。</w:t>
      </w:r>
    </w:p>
    <w:p w14:paraId="141ED8BD">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 xml:space="preserve">七、 </w:t>
      </w:r>
      <w:r>
        <w:rPr>
          <w:rFonts w:hint="eastAsia" w:ascii="宋体" w:hAnsi="宋体" w:cs="宋体"/>
          <w:bCs/>
          <w:color w:val="auto"/>
          <w:sz w:val="22"/>
          <w:szCs w:val="22"/>
          <w:highlight w:val="none"/>
          <w:lang w:eastAsia="zh-CN"/>
        </w:rPr>
        <w:t>服务周期</w:t>
      </w:r>
      <w:r>
        <w:rPr>
          <w:rFonts w:hint="eastAsia" w:ascii="宋体" w:hAnsi="宋体" w:eastAsia="宋体" w:cs="宋体"/>
          <w:bCs/>
          <w:color w:val="auto"/>
          <w:sz w:val="22"/>
          <w:szCs w:val="22"/>
          <w:highlight w:val="none"/>
        </w:rPr>
        <w:t>：</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rPr>
        <w:t>。</w:t>
      </w:r>
    </w:p>
    <w:p w14:paraId="0F53BA08">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八、 本合同协议书一式</w:t>
      </w:r>
      <w:r>
        <w:rPr>
          <w:rFonts w:hint="eastAsia" w:ascii="宋体" w:hAnsi="宋体" w:cs="宋体"/>
          <w:color w:val="auto"/>
          <w:sz w:val="22"/>
          <w:szCs w:val="22"/>
          <w:highlight w:val="none"/>
          <w:u w:val="single"/>
          <w:lang w:val="en-US" w:eastAsia="zh-CN"/>
        </w:rPr>
        <w:t>肆</w:t>
      </w:r>
      <w:r>
        <w:rPr>
          <w:rFonts w:hint="eastAsia" w:ascii="宋体" w:hAnsi="宋体" w:eastAsia="宋体" w:cs="宋体"/>
          <w:color w:val="auto"/>
          <w:sz w:val="22"/>
          <w:szCs w:val="22"/>
          <w:highlight w:val="none"/>
        </w:rPr>
        <w:t>份</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合同双方各执</w:t>
      </w:r>
      <w:r>
        <w:rPr>
          <w:rFonts w:hint="eastAsia" w:ascii="宋体" w:hAnsi="宋体" w:cs="宋体"/>
          <w:color w:val="auto"/>
          <w:sz w:val="22"/>
          <w:szCs w:val="22"/>
          <w:highlight w:val="none"/>
          <w:u w:val="single"/>
          <w:lang w:val="en-US" w:eastAsia="zh-CN"/>
        </w:rPr>
        <w:t>贰</w:t>
      </w:r>
      <w:r>
        <w:rPr>
          <w:rFonts w:hint="eastAsia" w:ascii="宋体" w:hAnsi="宋体" w:eastAsia="宋体" w:cs="宋体"/>
          <w:color w:val="auto"/>
          <w:sz w:val="22"/>
          <w:szCs w:val="22"/>
          <w:highlight w:val="none"/>
        </w:rPr>
        <w:t>份。</w:t>
      </w:r>
    </w:p>
    <w:p w14:paraId="2922866C">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九、本协议书在受托人提供履约担保后</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由双方法定代表人或其授权代理人签署与加盖单位章后生效。结清服务费用后自然失效。</w:t>
      </w:r>
    </w:p>
    <w:p w14:paraId="2C1F47F4">
      <w:pPr>
        <w:keepNext w:val="0"/>
        <w:keepLines w:val="0"/>
        <w:pageBreakBefore w:val="0"/>
        <w:widowControl/>
        <w:kinsoku/>
        <w:wordWrap/>
        <w:overflowPunct/>
        <w:topLinePunct w:val="0"/>
        <w:bidi w:val="0"/>
        <w:adjustRightInd/>
        <w:snapToGrid/>
        <w:spacing w:line="360" w:lineRule="auto"/>
        <w:ind w:left="0" w:leftChars="0"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十、合同未尽事宜</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双方另行签订补充</w:t>
      </w:r>
      <w:r>
        <w:rPr>
          <w:rFonts w:hint="eastAsia" w:ascii="宋体" w:hAnsi="宋体" w:eastAsia="宋体" w:cs="宋体"/>
          <w:bCs/>
          <w:color w:val="auto"/>
          <w:sz w:val="22"/>
          <w:szCs w:val="22"/>
          <w:highlight w:val="none"/>
        </w:rPr>
        <w:t>协议。补充协议是合同的组成部分。</w:t>
      </w:r>
    </w:p>
    <w:p w14:paraId="5F3A78AE">
      <w:pPr>
        <w:keepNext w:val="0"/>
        <w:keepLines w:val="0"/>
        <w:pageBreakBefore w:val="0"/>
        <w:kinsoku/>
        <w:wordWrap/>
        <w:overflowPunct/>
        <w:topLinePunct w:val="0"/>
        <w:autoSpaceDN w:val="0"/>
        <w:bidi w:val="0"/>
        <w:adjustRightInd/>
        <w:snapToGrid/>
        <w:spacing w:line="360" w:lineRule="auto"/>
        <w:ind w:left="0" w:leftChars="0"/>
        <w:jc w:val="left"/>
        <w:rPr>
          <w:rFonts w:hint="eastAsia" w:ascii="宋体" w:hAnsi="宋体" w:eastAsia="宋体" w:cs="宋体"/>
          <w:color w:val="auto"/>
          <w:sz w:val="22"/>
          <w:szCs w:val="22"/>
          <w:highlight w:val="none"/>
        </w:rPr>
      </w:pPr>
    </w:p>
    <w:p w14:paraId="07893A58">
      <w:pPr>
        <w:keepNext w:val="0"/>
        <w:keepLines w:val="0"/>
        <w:pageBreakBefore w:val="0"/>
        <w:kinsoku/>
        <w:wordWrap/>
        <w:overflowPunct/>
        <w:topLinePunct w:val="0"/>
        <w:autoSpaceDN w:val="0"/>
        <w:bidi w:val="0"/>
        <w:adjustRightInd/>
        <w:snapToGrid/>
        <w:spacing w:line="360" w:lineRule="auto"/>
        <w:ind w:left="0" w:leftChars="0"/>
        <w:jc w:val="left"/>
        <w:rPr>
          <w:rFonts w:hint="eastAsia" w:ascii="宋体" w:hAnsi="宋体" w:eastAsia="宋体" w:cs="宋体"/>
          <w:color w:val="auto"/>
          <w:sz w:val="22"/>
          <w:szCs w:val="22"/>
          <w:highlight w:val="none"/>
        </w:rPr>
        <w:sectPr>
          <w:headerReference r:id="rId6" w:type="default"/>
          <w:footerReference r:id="rId7" w:type="default"/>
          <w:pgSz w:w="11906" w:h="16838"/>
          <w:pgMar w:top="1247" w:right="1417" w:bottom="1247" w:left="1417" w:header="851" w:footer="992" w:gutter="0"/>
          <w:pgNumType w:fmt="decimal" w:start="1"/>
          <w:cols w:space="720" w:num="1"/>
          <w:docGrid w:linePitch="312" w:charSpace="0"/>
        </w:sectPr>
      </w:pPr>
    </w:p>
    <w:p w14:paraId="08B89513">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pacing w:val="2"/>
          <w:sz w:val="22"/>
          <w:szCs w:val="22"/>
          <w:highlight w:val="none"/>
        </w:rPr>
      </w:pPr>
      <w:r>
        <w:rPr>
          <w:rFonts w:hint="eastAsia" w:ascii="宋体" w:hAnsi="宋体" w:eastAsia="宋体" w:cs="宋体"/>
          <w:color w:val="auto"/>
          <w:sz w:val="22"/>
          <w:szCs w:val="22"/>
          <w:highlight w:val="none"/>
        </w:rPr>
        <w:t>委托人</w:t>
      </w:r>
      <w:r>
        <w:rPr>
          <w:rFonts w:hint="eastAsia" w:ascii="宋体" w:hAnsi="宋体" w:eastAsia="宋体" w:cs="宋体"/>
          <w:color w:val="auto"/>
          <w:spacing w:val="2"/>
          <w:sz w:val="22"/>
          <w:szCs w:val="22"/>
          <w:highlight w:val="none"/>
        </w:rPr>
        <w:t>：</w:t>
      </w:r>
      <w:r>
        <w:rPr>
          <w:rFonts w:hint="eastAsia" w:ascii="宋体" w:hAnsi="宋体" w:eastAsia="宋体" w:cs="宋体"/>
          <w:color w:val="auto"/>
          <w:sz w:val="22"/>
          <w:szCs w:val="22"/>
          <w:highlight w:val="none"/>
        </w:rPr>
        <w:t>（盖章）</w:t>
      </w:r>
    </w:p>
    <w:p w14:paraId="3E9D04D3">
      <w:pPr>
        <w:keepNext w:val="0"/>
        <w:keepLines w:val="0"/>
        <w:pageBreakBefore w:val="0"/>
        <w:kinsoku/>
        <w:wordWrap/>
        <w:overflowPunct/>
        <w:topLinePunct w:val="0"/>
        <w:bidi w:val="0"/>
        <w:adjustRightInd/>
        <w:snapToGrid/>
        <w:spacing w:line="360" w:lineRule="auto"/>
        <w:ind w:left="0" w:leftChars="0" w:firstLine="448" w:firstLineChars="200"/>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法定代表人</w:t>
      </w:r>
    </w:p>
    <w:p w14:paraId="1A804653">
      <w:pPr>
        <w:keepNext w:val="0"/>
        <w:keepLines w:val="0"/>
        <w:pageBreakBefore w:val="0"/>
        <w:kinsoku/>
        <w:wordWrap/>
        <w:overflowPunct/>
        <w:topLinePunct w:val="0"/>
        <w:bidi w:val="0"/>
        <w:adjustRightInd/>
        <w:snapToGrid/>
        <w:spacing w:line="360" w:lineRule="auto"/>
        <w:ind w:left="0" w:leftChars="0" w:firstLine="448" w:firstLineChars="200"/>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或其授权代理人：</w:t>
      </w:r>
    </w:p>
    <w:p w14:paraId="7252189E">
      <w:pPr>
        <w:keepNext w:val="0"/>
        <w:keepLines w:val="0"/>
        <w:pageBreakBefore w:val="0"/>
        <w:kinsoku/>
        <w:wordWrap/>
        <w:overflowPunct/>
        <w:topLinePunct w:val="0"/>
        <w:bidi w:val="0"/>
        <w:adjustRightInd/>
        <w:snapToGrid/>
        <w:spacing w:line="360" w:lineRule="auto"/>
        <w:ind w:left="0" w:leftChars="0"/>
        <w:jc w:val="center"/>
        <w:rPr>
          <w:rFonts w:hint="eastAsia" w:ascii="宋体" w:hAnsi="宋体" w:eastAsia="宋体" w:cs="宋体"/>
          <w:color w:val="auto"/>
          <w:sz w:val="22"/>
          <w:szCs w:val="22"/>
          <w:highlight w:val="none"/>
        </w:rPr>
      </w:pPr>
    </w:p>
    <w:p w14:paraId="4847D381">
      <w:pPr>
        <w:keepNext w:val="0"/>
        <w:keepLines w:val="0"/>
        <w:pageBreakBefore w:val="0"/>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rPr>
      </w:pPr>
    </w:p>
    <w:p w14:paraId="08FE2D40">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pacing w:val="2"/>
          <w:sz w:val="22"/>
          <w:szCs w:val="22"/>
          <w:highlight w:val="none"/>
        </w:rPr>
      </w:pPr>
      <w:r>
        <w:rPr>
          <w:rFonts w:hint="eastAsia" w:ascii="宋体" w:hAnsi="宋体" w:eastAsia="宋体" w:cs="宋体"/>
          <w:color w:val="auto"/>
          <w:sz w:val="22"/>
          <w:szCs w:val="22"/>
          <w:highlight w:val="none"/>
        </w:rPr>
        <w:t>受托人</w:t>
      </w:r>
      <w:r>
        <w:rPr>
          <w:rFonts w:hint="eastAsia" w:ascii="宋体" w:hAnsi="宋体" w:eastAsia="宋体" w:cs="宋体"/>
          <w:color w:val="auto"/>
          <w:spacing w:val="2"/>
          <w:sz w:val="22"/>
          <w:szCs w:val="22"/>
          <w:highlight w:val="none"/>
        </w:rPr>
        <w:t>：（盖章）</w:t>
      </w:r>
    </w:p>
    <w:p w14:paraId="479E0462">
      <w:pPr>
        <w:keepNext w:val="0"/>
        <w:keepLines w:val="0"/>
        <w:pageBreakBefore w:val="0"/>
        <w:kinsoku/>
        <w:wordWrap/>
        <w:overflowPunct/>
        <w:topLinePunct w:val="0"/>
        <w:bidi w:val="0"/>
        <w:adjustRightInd/>
        <w:snapToGrid/>
        <w:spacing w:line="360" w:lineRule="auto"/>
        <w:ind w:left="0" w:leftChars="0" w:firstLine="448" w:firstLineChars="200"/>
        <w:rPr>
          <w:rFonts w:hint="eastAsia" w:ascii="宋体" w:hAnsi="宋体" w:eastAsia="宋体" w:cs="宋体"/>
          <w:color w:val="auto"/>
          <w:spacing w:val="2"/>
          <w:sz w:val="22"/>
          <w:szCs w:val="22"/>
          <w:highlight w:val="none"/>
        </w:rPr>
      </w:pPr>
      <w:r>
        <w:rPr>
          <w:rFonts w:hint="eastAsia" w:ascii="宋体" w:hAnsi="宋体" w:eastAsia="宋体" w:cs="宋体"/>
          <w:color w:val="auto"/>
          <w:spacing w:val="2"/>
          <w:sz w:val="22"/>
          <w:szCs w:val="22"/>
          <w:highlight w:val="none"/>
        </w:rPr>
        <w:t xml:space="preserve">法定代表人     </w:t>
      </w:r>
    </w:p>
    <w:p w14:paraId="67217783">
      <w:pPr>
        <w:keepNext w:val="0"/>
        <w:keepLines w:val="0"/>
        <w:pageBreakBefore w:val="0"/>
        <w:kinsoku/>
        <w:wordWrap/>
        <w:overflowPunct/>
        <w:topLinePunct w:val="0"/>
        <w:autoSpaceDN w:val="0"/>
        <w:bidi w:val="0"/>
        <w:adjustRightInd/>
        <w:snapToGrid/>
        <w:spacing w:line="360" w:lineRule="auto"/>
        <w:ind w:left="0" w:leftChars="0" w:firstLine="448" w:firstLineChars="200"/>
        <w:rPr>
          <w:rFonts w:hint="eastAsia" w:ascii="宋体" w:hAnsi="宋体" w:eastAsia="宋体" w:cs="宋体"/>
          <w:color w:val="auto"/>
          <w:sz w:val="22"/>
          <w:szCs w:val="22"/>
          <w:highlight w:val="none"/>
        </w:rPr>
      </w:pPr>
      <w:r>
        <w:rPr>
          <w:rFonts w:hint="eastAsia" w:ascii="宋体" w:hAnsi="宋体" w:eastAsia="宋体" w:cs="宋体"/>
          <w:color w:val="auto"/>
          <w:spacing w:val="2"/>
          <w:sz w:val="22"/>
          <w:szCs w:val="22"/>
          <w:highlight w:val="none"/>
        </w:rPr>
        <w:t>或其授权代理人：</w:t>
      </w:r>
    </w:p>
    <w:p w14:paraId="056604F6">
      <w:pPr>
        <w:keepNext w:val="0"/>
        <w:keepLines w:val="0"/>
        <w:pageBreakBefore w:val="0"/>
        <w:kinsoku/>
        <w:wordWrap/>
        <w:overflowPunct/>
        <w:topLinePunct w:val="0"/>
        <w:autoSpaceDN w:val="0"/>
        <w:bidi w:val="0"/>
        <w:adjustRightInd/>
        <w:snapToGrid/>
        <w:spacing w:line="360" w:lineRule="auto"/>
        <w:ind w:left="0" w:leftChars="0"/>
        <w:jc w:val="right"/>
        <w:rPr>
          <w:rFonts w:hint="eastAsia" w:ascii="宋体" w:hAnsi="宋体" w:eastAsia="宋体" w:cs="宋体"/>
          <w:color w:val="auto"/>
          <w:sz w:val="22"/>
          <w:szCs w:val="22"/>
          <w:highlight w:val="none"/>
        </w:rPr>
        <w:sectPr>
          <w:type w:val="continuous"/>
          <w:pgSz w:w="11906" w:h="16838"/>
          <w:pgMar w:top="1247" w:right="1417" w:bottom="1247" w:left="1417" w:header="851" w:footer="992" w:gutter="0"/>
          <w:pgNumType w:fmt="decimal"/>
          <w:cols w:space="720" w:num="1"/>
          <w:docGrid w:linePitch="312" w:charSpace="0"/>
        </w:sectPr>
      </w:pPr>
      <w:r>
        <w:rPr>
          <w:rFonts w:hint="eastAsia" w:ascii="宋体" w:hAnsi="宋体" w:eastAsia="宋体" w:cs="宋体"/>
          <w:color w:val="auto"/>
          <w:sz w:val="22"/>
          <w:szCs w:val="22"/>
          <w:highlight w:val="none"/>
        </w:rPr>
        <w:t>日期：  年  月  日</w:t>
      </w:r>
    </w:p>
    <w:bookmarkEnd w:id="134"/>
    <w:p w14:paraId="17F04B4D">
      <w:pPr>
        <w:keepNext w:val="0"/>
        <w:keepLines w:val="0"/>
        <w:pageBreakBefore w:val="0"/>
        <w:kinsoku/>
        <w:wordWrap/>
        <w:overflowPunct/>
        <w:topLinePunct w:val="0"/>
        <w:bidi w:val="0"/>
        <w:adjustRightInd/>
        <w:snapToGrid/>
        <w:spacing w:line="360" w:lineRule="auto"/>
        <w:ind w:left="0" w:leftChars="0"/>
        <w:jc w:val="center"/>
        <w:outlineLvl w:val="2"/>
        <w:rPr>
          <w:rFonts w:hint="eastAsia" w:ascii="宋体" w:hAnsi="宋体" w:eastAsia="宋体" w:cs="宋体"/>
          <w:b/>
          <w:bCs/>
          <w:color w:val="auto"/>
          <w:sz w:val="22"/>
          <w:szCs w:val="22"/>
          <w:highlight w:val="none"/>
        </w:rPr>
      </w:pPr>
      <w:bookmarkStart w:id="138" w:name="_Toc393638340"/>
      <w:bookmarkStart w:id="139" w:name="_Toc62140755"/>
      <w:bookmarkStart w:id="140" w:name="_Toc510442614"/>
      <w:bookmarkStart w:id="141" w:name="_Toc296001996"/>
      <w:bookmarkStart w:id="142" w:name="_Toc510442613"/>
      <w:bookmarkStart w:id="143" w:name="_Toc324860499"/>
      <w:r>
        <w:rPr>
          <w:rFonts w:hint="eastAsia" w:ascii="宋体" w:hAnsi="宋体" w:eastAsia="宋体" w:cs="宋体"/>
          <w:b/>
          <w:bCs/>
          <w:color w:val="auto"/>
          <w:sz w:val="22"/>
          <w:szCs w:val="22"/>
          <w:highlight w:val="none"/>
        </w:rPr>
        <w:t>B、</w:t>
      </w:r>
      <w:bookmarkEnd w:id="135"/>
      <w:bookmarkEnd w:id="138"/>
      <w:bookmarkEnd w:id="139"/>
      <w:bookmarkEnd w:id="140"/>
      <w:bookmarkEnd w:id="141"/>
      <w:bookmarkEnd w:id="142"/>
      <w:bookmarkEnd w:id="143"/>
      <w:r>
        <w:rPr>
          <w:rFonts w:hint="eastAsia" w:ascii="宋体" w:hAnsi="宋体" w:eastAsia="宋体" w:cs="宋体"/>
          <w:b/>
          <w:bCs/>
          <w:color w:val="auto"/>
          <w:sz w:val="22"/>
          <w:szCs w:val="22"/>
          <w:highlight w:val="none"/>
        </w:rPr>
        <w:t>廉政合同</w:t>
      </w:r>
      <w:bookmarkEnd w:id="136"/>
      <w:bookmarkEnd w:id="137"/>
    </w:p>
    <w:p w14:paraId="65D96578">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根据交通部《关于在交通基础设施建设中加强廉政建设的若干意见》以及有关工程建设、廉政建设的规定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为做好工程建设中的党风廉政建设</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保证工程建设高效优质</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保证建设资金的安全和有效使用以及投资效益</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（以下称委托人）与服务单位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（以下称受托人）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特订立如下合同。</w:t>
      </w:r>
    </w:p>
    <w:p w14:paraId="1AFDCBDD">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第一条  委托人、受托人双方的权利和义务</w:t>
      </w:r>
    </w:p>
    <w:p w14:paraId="54DAC34F">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（一）严格遵守党和国家有关法律法规及交通部的有关规定。</w:t>
      </w:r>
    </w:p>
    <w:p w14:paraId="08793CB0">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（二）严格遵守</w:t>
      </w:r>
      <w:r>
        <w:rPr>
          <w:rFonts w:hint="eastAsia" w:ascii="宋体" w:hAnsi="宋体" w:eastAsia="宋体" w:cs="宋体"/>
          <w:color w:val="auto"/>
          <w:sz w:val="22"/>
          <w:szCs w:val="22"/>
          <w:highlight w:val="none"/>
          <w:u w:val="single"/>
        </w:rPr>
        <w:t xml:space="preserve"> （项目名称） </w:t>
      </w:r>
      <w:r>
        <w:rPr>
          <w:rFonts w:hint="eastAsia" w:ascii="宋体" w:hAnsi="宋体" w:eastAsia="宋体" w:cs="宋体"/>
          <w:color w:val="auto"/>
          <w:sz w:val="22"/>
          <w:szCs w:val="22"/>
          <w:highlight w:val="none"/>
        </w:rPr>
        <w:t>的合同文件</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自觉按合同办事。</w:t>
      </w:r>
    </w:p>
    <w:p w14:paraId="62FA1549">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（三）双方的业务活动坚持公开、公正、诚信、透明的原则（除法律认定的商业秘密和合同文件另有规定之外）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不得损害国家和集体利益</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违反工程建设管理规章制度。</w:t>
      </w:r>
    </w:p>
    <w:p w14:paraId="07507407">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（四）建立健全廉政制度</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开展廉政教育</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设立廉政告示牌</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公布举报电话</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监督并认真查处违法违纪行为。</w:t>
      </w:r>
    </w:p>
    <w:p w14:paraId="2D663C33">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（五）发现对方在业务活动中有违反廉政规定的行为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有及时提醒对方纠正的权利和义务。</w:t>
      </w:r>
    </w:p>
    <w:p w14:paraId="2052B6E5">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（六）发现对方严重违反本合同义务条款的行为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有向其上级有关部门举报、建议给予处理并要求告</w:t>
      </w:r>
      <w:r>
        <w:rPr>
          <w:rFonts w:hint="eastAsia" w:ascii="宋体" w:hAnsi="宋体" w:cs="宋体"/>
          <w:color w:val="auto"/>
          <w:sz w:val="22"/>
          <w:szCs w:val="22"/>
          <w:highlight w:val="none"/>
          <w:lang w:val="en-US" w:eastAsia="zh-CN"/>
        </w:rPr>
        <w:t>知</w:t>
      </w:r>
      <w:r>
        <w:rPr>
          <w:rFonts w:hint="eastAsia" w:ascii="宋体" w:hAnsi="宋体" w:eastAsia="宋体" w:cs="宋体"/>
          <w:color w:val="auto"/>
          <w:sz w:val="22"/>
          <w:szCs w:val="22"/>
          <w:highlight w:val="none"/>
        </w:rPr>
        <w:t>处理结果的权利。</w:t>
      </w:r>
    </w:p>
    <w:p w14:paraId="7ABE51A3">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第二条  委托人的义务</w:t>
      </w:r>
    </w:p>
    <w:p w14:paraId="1970A916">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（一）委托人及其工作人员不得索要或接受受托人的礼金、有价证券和贵重物品</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不得在受托人报销任何应由委托人或个人支付的费用等。</w:t>
      </w:r>
    </w:p>
    <w:p w14:paraId="58B558D0">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（二）委托人工作人员不得参加受托人安排的超标准宴请和娱乐活动；不得接受受托人提供的通讯工具、交通工具和高档办公用品等。</w:t>
      </w:r>
    </w:p>
    <w:p w14:paraId="060C2896">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（三）委托人及其工作人员不得要求或者接受受托人为其住房装修、婚丧嫁娶活动、配偶子女的工作安排以及出国出境、旅游等提供方便等。</w:t>
      </w:r>
    </w:p>
    <w:p w14:paraId="2FA45CC8">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（四）委托人及其工作人员不得以任何理由向受托人推荐分包单位</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不得要求受托人购买合同规定外的材料和设备。</w:t>
      </w:r>
    </w:p>
    <w:p w14:paraId="6DC38038">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第三条  受托人义务</w:t>
      </w:r>
    </w:p>
    <w:p w14:paraId="3FA60AB3">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（一）受托人不得以任何理由向委托人及其工作人员行贿或馈赠礼金、有价证券、贵重礼品。</w:t>
      </w:r>
    </w:p>
    <w:p w14:paraId="39A7C234">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（二）受托人不得以任何名义为委托人及其工作人员报销应由委托人单位或个人支付的任何费用。</w:t>
      </w:r>
    </w:p>
    <w:p w14:paraId="347C6B5D">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（三）受托人不得以任何理由安排委托人工作人员参加超标准宴请及娱乐活动。</w:t>
      </w:r>
    </w:p>
    <w:p w14:paraId="1A7E3E7C">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（四）受托人不得为委托人单位和个人购置或提供通讯工具、交通工具和高档办公用品等。</w:t>
      </w:r>
    </w:p>
    <w:p w14:paraId="4069D401">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（五）受托人不应接受委托评估合同约定以外的与本合同评估工作有关的任何报酬。</w:t>
      </w:r>
    </w:p>
    <w:p w14:paraId="23600F14">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（六）受托人不得参与合同规定的与委托人利益相冲突的任何活动。</w:t>
      </w:r>
    </w:p>
    <w:p w14:paraId="3E7A3A16">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第四条  违约责任</w:t>
      </w:r>
    </w:p>
    <w:p w14:paraId="5F3E4688">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（一）委托人及其工作人员违反本合同第一、二条</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按管理权限</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依据有关规定给予党纪、政纪或组织处理；涉嫌犯罪的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移交司法机关追究刑事责任；给受托人单位造成经济损失的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应予以赔偿。</w:t>
      </w:r>
    </w:p>
    <w:p w14:paraId="12EE38B7">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（二）受托人及其工作人员违反本合同第一、三条</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按管理权限</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依据有关规定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给予党纪、政纪或组织处理；给委托人单位造成经济损失的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应予以赔偿；情节严重的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委托人建议交通工程建设主管部门给予受托人一至三年内不得进入其主管的交通工程建设市场的处罚。</w:t>
      </w:r>
    </w:p>
    <w:p w14:paraId="264EB829">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Cs/>
          <w:color w:val="auto"/>
          <w:sz w:val="22"/>
          <w:szCs w:val="22"/>
          <w:highlight w:val="none"/>
        </w:rPr>
      </w:pPr>
      <w:r>
        <w:rPr>
          <w:rFonts w:hint="eastAsia" w:ascii="宋体" w:hAnsi="宋体" w:eastAsia="宋体" w:cs="宋体"/>
          <w:b/>
          <w:color w:val="auto"/>
          <w:sz w:val="22"/>
          <w:szCs w:val="22"/>
          <w:highlight w:val="none"/>
        </w:rPr>
        <w:t>第五条</w:t>
      </w:r>
      <w:r>
        <w:rPr>
          <w:rFonts w:hint="eastAsia" w:ascii="宋体" w:hAnsi="宋体" w:eastAsia="宋体" w:cs="宋体"/>
          <w:bCs/>
          <w:color w:val="auto"/>
          <w:sz w:val="22"/>
          <w:szCs w:val="22"/>
          <w:highlight w:val="none"/>
        </w:rPr>
        <w:t xml:space="preserve">  本合同有效期为委托人、受托人双方签署之日起至</w:t>
      </w:r>
      <w:r>
        <w:rPr>
          <w:rFonts w:hint="eastAsia" w:ascii="宋体" w:hAnsi="宋体" w:cs="宋体"/>
          <w:bCs/>
          <w:color w:val="auto"/>
          <w:sz w:val="22"/>
          <w:szCs w:val="22"/>
          <w:highlight w:val="none"/>
          <w:lang w:val="en-US" w:eastAsia="zh-CN"/>
        </w:rPr>
        <w:t>合同结束为</w:t>
      </w:r>
      <w:r>
        <w:rPr>
          <w:rFonts w:hint="eastAsia" w:ascii="宋体" w:hAnsi="宋体" w:eastAsia="宋体" w:cs="宋体"/>
          <w:bCs/>
          <w:color w:val="auto"/>
          <w:sz w:val="22"/>
          <w:szCs w:val="22"/>
          <w:highlight w:val="none"/>
        </w:rPr>
        <w:t>止。</w:t>
      </w:r>
    </w:p>
    <w:p w14:paraId="53DC5B9D">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第六条</w:t>
      </w:r>
      <w:r>
        <w:rPr>
          <w:rFonts w:hint="eastAsia" w:ascii="宋体" w:hAnsi="宋体" w:eastAsia="宋体" w:cs="宋体"/>
          <w:bCs/>
          <w:color w:val="auto"/>
          <w:sz w:val="22"/>
          <w:szCs w:val="22"/>
          <w:highlight w:val="none"/>
        </w:rPr>
        <w:t xml:space="preserve">  本合同作为</w:t>
      </w:r>
      <w:r>
        <w:rPr>
          <w:rFonts w:hint="eastAsia" w:ascii="宋体" w:hAnsi="宋体" w:eastAsia="宋体" w:cs="宋体"/>
          <w:bCs/>
          <w:color w:val="auto"/>
          <w:sz w:val="22"/>
          <w:szCs w:val="22"/>
          <w:highlight w:val="none"/>
          <w:u w:val="single"/>
        </w:rPr>
        <w:t>（项目名称）</w:t>
      </w:r>
      <w:r>
        <w:rPr>
          <w:rFonts w:hint="eastAsia" w:ascii="宋体" w:hAnsi="宋体" w:eastAsia="宋体" w:cs="宋体"/>
          <w:bCs/>
          <w:color w:val="auto"/>
          <w:sz w:val="22"/>
          <w:szCs w:val="22"/>
          <w:highlight w:val="none"/>
        </w:rPr>
        <w:t>合同的附件</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与合同具有</w:t>
      </w:r>
      <w:r>
        <w:rPr>
          <w:rFonts w:hint="eastAsia" w:ascii="宋体" w:hAnsi="宋体" w:eastAsia="宋体" w:cs="宋体"/>
          <w:color w:val="auto"/>
          <w:sz w:val="22"/>
          <w:szCs w:val="22"/>
          <w:highlight w:val="none"/>
        </w:rPr>
        <w:t>同等的法律效力</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经合同双方签署立即生效。</w:t>
      </w:r>
    </w:p>
    <w:p w14:paraId="6EA2E9A7">
      <w:pPr>
        <w:keepNext w:val="0"/>
        <w:keepLines w:val="0"/>
        <w:pageBreakBefore w:val="0"/>
        <w:kinsoku/>
        <w:wordWrap/>
        <w:overflowPunct/>
        <w:topLinePunct w:val="0"/>
        <w:bidi w:val="0"/>
        <w:adjustRightInd/>
        <w:snapToGrid/>
        <w:spacing w:line="360" w:lineRule="auto"/>
        <w:ind w:left="0" w:leftChars="0" w:firstLine="442" w:firstLineChars="200"/>
        <w:rPr>
          <w:rFonts w:hint="eastAsia" w:ascii="宋体" w:hAnsi="宋体" w:eastAsia="宋体" w:cs="宋体"/>
          <w:bCs/>
          <w:color w:val="auto"/>
          <w:sz w:val="22"/>
          <w:szCs w:val="22"/>
          <w:highlight w:val="none"/>
        </w:rPr>
      </w:pPr>
      <w:r>
        <w:rPr>
          <w:rFonts w:hint="eastAsia" w:ascii="宋体" w:hAnsi="宋体" w:eastAsia="宋体" w:cs="宋体"/>
          <w:b/>
          <w:bCs/>
          <w:color w:val="auto"/>
          <w:sz w:val="22"/>
          <w:szCs w:val="22"/>
          <w:highlight w:val="none"/>
        </w:rPr>
        <w:t>第七条</w:t>
      </w:r>
      <w:r>
        <w:rPr>
          <w:rFonts w:hint="eastAsia" w:ascii="宋体" w:hAnsi="宋体" w:eastAsia="宋体" w:cs="宋体"/>
          <w:color w:val="auto"/>
          <w:sz w:val="22"/>
          <w:szCs w:val="22"/>
          <w:highlight w:val="none"/>
        </w:rPr>
        <w:t xml:space="preserve">  本合同共</w:t>
      </w:r>
      <w:r>
        <w:rPr>
          <w:rFonts w:hint="eastAsia" w:ascii="宋体" w:hAnsi="宋体" w:cs="宋体"/>
          <w:color w:val="auto"/>
          <w:sz w:val="22"/>
          <w:szCs w:val="22"/>
          <w:highlight w:val="none"/>
          <w:u w:val="single"/>
          <w:lang w:val="en-US" w:eastAsia="zh-CN"/>
        </w:rPr>
        <w:t>伍</w:t>
      </w:r>
      <w:r>
        <w:rPr>
          <w:rFonts w:hint="eastAsia" w:ascii="宋体" w:hAnsi="宋体" w:eastAsia="宋体" w:cs="宋体"/>
          <w:bCs/>
          <w:color w:val="auto"/>
          <w:sz w:val="22"/>
          <w:szCs w:val="22"/>
          <w:highlight w:val="none"/>
        </w:rPr>
        <w:t>份</w:t>
      </w:r>
      <w:r>
        <w:rPr>
          <w:rFonts w:hint="eastAsia" w:ascii="宋体" w:hAnsi="宋体" w:cs="宋体"/>
          <w:bCs/>
          <w:color w:val="auto"/>
          <w:sz w:val="22"/>
          <w:szCs w:val="22"/>
          <w:highlight w:val="none"/>
          <w:lang w:eastAsia="zh-CN"/>
        </w:rPr>
        <w:t>，</w:t>
      </w:r>
      <w:r>
        <w:rPr>
          <w:rFonts w:hint="eastAsia" w:ascii="宋体" w:hAnsi="宋体" w:eastAsia="宋体" w:cs="宋体"/>
          <w:bCs/>
          <w:color w:val="auto"/>
          <w:sz w:val="22"/>
          <w:szCs w:val="22"/>
          <w:highlight w:val="none"/>
        </w:rPr>
        <w:t>双方各执二份</w:t>
      </w:r>
      <w:r>
        <w:rPr>
          <w:rFonts w:hint="eastAsia" w:ascii="宋体" w:hAnsi="宋体" w:cs="宋体"/>
          <w:bCs/>
          <w:color w:val="auto"/>
          <w:sz w:val="22"/>
          <w:szCs w:val="22"/>
          <w:highlight w:val="none"/>
          <w:lang w:eastAsia="zh-CN"/>
        </w:rPr>
        <w:t>，送交委托人监督部门一份备案</w:t>
      </w:r>
      <w:r>
        <w:rPr>
          <w:rFonts w:hint="eastAsia" w:ascii="宋体" w:hAnsi="宋体" w:eastAsia="宋体" w:cs="宋体"/>
          <w:bCs/>
          <w:color w:val="auto"/>
          <w:sz w:val="22"/>
          <w:szCs w:val="22"/>
          <w:highlight w:val="none"/>
        </w:rPr>
        <w:t>。</w:t>
      </w:r>
    </w:p>
    <w:p w14:paraId="30968961">
      <w:pPr>
        <w:keepNext w:val="0"/>
        <w:keepLines w:val="0"/>
        <w:pageBreakBefore w:val="0"/>
        <w:tabs>
          <w:tab w:val="left" w:pos="1425"/>
          <w:tab w:val="left" w:pos="636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rPr>
      </w:pPr>
    </w:p>
    <w:p w14:paraId="2BD666B5">
      <w:pPr>
        <w:keepNext w:val="0"/>
        <w:keepLines w:val="0"/>
        <w:pageBreakBefore w:val="0"/>
        <w:tabs>
          <w:tab w:val="left" w:pos="450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委托人：</w:t>
      </w:r>
      <w:r>
        <w:rPr>
          <w:rFonts w:hint="eastAsia" w:ascii="宋体" w:hAnsi="宋体" w:eastAsia="宋体" w:cs="宋体"/>
          <w:color w:val="auto"/>
          <w:sz w:val="22"/>
          <w:szCs w:val="22"/>
          <w:highlight w:val="none"/>
          <w:u w:val="single"/>
        </w:rPr>
        <w:t xml:space="preserve">  （单位全称）（盖章）     </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受托人：</w:t>
      </w:r>
      <w:r>
        <w:rPr>
          <w:rFonts w:hint="eastAsia" w:ascii="宋体" w:hAnsi="宋体" w:eastAsia="宋体" w:cs="宋体"/>
          <w:color w:val="auto"/>
          <w:sz w:val="22"/>
          <w:szCs w:val="22"/>
          <w:highlight w:val="none"/>
          <w:u w:val="single"/>
        </w:rPr>
        <w:t xml:space="preserve">  （单位全称）（盖章）    </w:t>
      </w:r>
    </w:p>
    <w:p w14:paraId="32B77A06">
      <w:pPr>
        <w:keepNext w:val="0"/>
        <w:keepLines w:val="0"/>
        <w:pageBreakBefore w:val="0"/>
        <w:tabs>
          <w:tab w:val="left" w:pos="450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法定代表人或</w:t>
      </w:r>
    </w:p>
    <w:p w14:paraId="1B1548DC">
      <w:pPr>
        <w:keepNext w:val="0"/>
        <w:keepLines w:val="0"/>
        <w:pageBreakBefore w:val="0"/>
        <w:tabs>
          <w:tab w:val="left" w:pos="450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其授权的代理人：</w:t>
      </w:r>
      <w:r>
        <w:rPr>
          <w:rFonts w:hint="eastAsia" w:ascii="宋体" w:hAnsi="宋体" w:eastAsia="宋体" w:cs="宋体"/>
          <w:color w:val="auto"/>
          <w:sz w:val="22"/>
          <w:szCs w:val="22"/>
          <w:highlight w:val="none"/>
          <w:u w:val="single"/>
        </w:rPr>
        <w:t xml:space="preserve">   （职务）        </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其授权的代理人：</w:t>
      </w:r>
      <w:r>
        <w:rPr>
          <w:rFonts w:hint="eastAsia" w:ascii="宋体" w:hAnsi="宋体" w:eastAsia="宋体" w:cs="宋体"/>
          <w:color w:val="auto"/>
          <w:sz w:val="22"/>
          <w:szCs w:val="22"/>
          <w:highlight w:val="none"/>
          <w:u w:val="single"/>
        </w:rPr>
        <w:t xml:space="preserve">   （职务）      </w:t>
      </w:r>
    </w:p>
    <w:p w14:paraId="58A1D3E1">
      <w:pPr>
        <w:keepNext w:val="0"/>
        <w:keepLines w:val="0"/>
        <w:pageBreakBefore w:val="0"/>
        <w:tabs>
          <w:tab w:val="left" w:pos="1380"/>
          <w:tab w:val="left" w:pos="627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u w:val="single"/>
        </w:rPr>
        <w:t xml:space="preserve">    （姓名）  （签字）</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u w:val="single"/>
        </w:rPr>
        <w:t xml:space="preserve">（姓名）（签字） </w:t>
      </w:r>
    </w:p>
    <w:p w14:paraId="34D138E7">
      <w:pPr>
        <w:keepNext w:val="0"/>
        <w:keepLines w:val="0"/>
        <w:pageBreakBefore w:val="0"/>
        <w:kinsoku/>
        <w:wordWrap/>
        <w:overflowPunct/>
        <w:topLinePunct w:val="0"/>
        <w:autoSpaceDN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年    月    日</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 xml:space="preserve">                                        年    月    日</w:t>
      </w:r>
    </w:p>
    <w:p w14:paraId="02F3523C">
      <w:pPr>
        <w:keepNext w:val="0"/>
        <w:keepLines w:val="0"/>
        <w:pageBreakBefore w:val="0"/>
        <w:kinsoku/>
        <w:wordWrap/>
        <w:overflowPunct/>
        <w:topLinePunct w:val="0"/>
        <w:bidi w:val="0"/>
        <w:adjustRightInd/>
        <w:snapToGrid/>
        <w:spacing w:line="360" w:lineRule="auto"/>
        <w:ind w:left="0" w:leftChars="0"/>
        <w:jc w:val="center"/>
        <w:outlineLvl w:val="3"/>
        <w:rPr>
          <w:rFonts w:hint="eastAsia" w:ascii="宋体" w:hAnsi="宋体" w:eastAsia="宋体" w:cs="宋体"/>
          <w:color w:val="auto"/>
          <w:sz w:val="22"/>
          <w:szCs w:val="22"/>
          <w:highlight w:val="none"/>
        </w:rPr>
      </w:pPr>
    </w:p>
    <w:p w14:paraId="52EBED5D">
      <w:pPr>
        <w:keepNext w:val="0"/>
        <w:keepLines w:val="0"/>
        <w:pageBreakBefore w:val="0"/>
        <w:kinsoku/>
        <w:wordWrap/>
        <w:overflowPunct/>
        <w:topLinePunct w:val="0"/>
        <w:bidi w:val="0"/>
        <w:adjustRightInd/>
        <w:snapToGrid/>
        <w:spacing w:line="360" w:lineRule="auto"/>
        <w:ind w:left="0" w:leftChars="0"/>
        <w:jc w:val="both"/>
        <w:outlineLvl w:val="3"/>
        <w:rPr>
          <w:rFonts w:hint="eastAsia" w:ascii="宋体" w:hAnsi="宋体" w:eastAsia="宋体" w:cs="宋体"/>
          <w:color w:val="auto"/>
          <w:sz w:val="22"/>
          <w:szCs w:val="22"/>
          <w:highlight w:val="none"/>
          <w:u w:val="none"/>
        </w:rPr>
      </w:pPr>
      <w:r>
        <w:rPr>
          <w:rFonts w:hint="eastAsia" w:ascii="宋体" w:hAnsi="宋体" w:eastAsia="宋体" w:cs="宋体"/>
          <w:color w:val="auto"/>
          <w:sz w:val="22"/>
          <w:szCs w:val="22"/>
          <w:highlight w:val="none"/>
        </w:rPr>
        <w:t>委托人监督部门：</w:t>
      </w:r>
      <w:r>
        <w:rPr>
          <w:rFonts w:hint="eastAsia" w:ascii="宋体" w:hAnsi="宋体" w:eastAsia="宋体" w:cs="宋体"/>
          <w:color w:val="auto"/>
          <w:sz w:val="22"/>
          <w:szCs w:val="22"/>
          <w:highlight w:val="none"/>
          <w:u w:val="single"/>
        </w:rPr>
        <w:t xml:space="preserve">  （单位全称）（盖章）</w:t>
      </w:r>
      <w:r>
        <w:rPr>
          <w:rFonts w:hint="eastAsia" w:ascii="宋体" w:hAnsi="宋体" w:eastAsia="宋体" w:cs="宋体"/>
          <w:color w:val="auto"/>
          <w:sz w:val="22"/>
          <w:szCs w:val="22"/>
          <w:highlight w:val="none"/>
          <w:u w:val="none"/>
        </w:rPr>
        <w:t xml:space="preserve"> </w:t>
      </w:r>
    </w:p>
    <w:p w14:paraId="4372ACA7">
      <w:pPr>
        <w:keepNext w:val="0"/>
        <w:keepLines w:val="0"/>
        <w:pageBreakBefore w:val="0"/>
        <w:kinsoku/>
        <w:wordWrap/>
        <w:overflowPunct/>
        <w:topLinePunct w:val="0"/>
        <w:bidi w:val="0"/>
        <w:adjustRightInd/>
        <w:snapToGrid/>
        <w:spacing w:line="360" w:lineRule="auto"/>
        <w:ind w:left="0" w:leftChars="0"/>
        <w:jc w:val="center"/>
        <w:outlineLvl w:val="2"/>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br w:type="page"/>
      </w:r>
      <w:r>
        <w:rPr>
          <w:rFonts w:hint="eastAsia" w:ascii="宋体" w:hAnsi="宋体" w:eastAsia="宋体" w:cs="宋体"/>
          <w:b/>
          <w:bCs/>
          <w:color w:val="auto"/>
          <w:sz w:val="22"/>
          <w:szCs w:val="22"/>
          <w:highlight w:val="none"/>
          <w:lang w:val="en-US" w:eastAsia="zh-CN"/>
        </w:rPr>
        <w:t>C、</w:t>
      </w:r>
      <w:r>
        <w:rPr>
          <w:rFonts w:hint="eastAsia" w:ascii="宋体" w:hAnsi="宋体" w:eastAsia="宋体" w:cs="宋体"/>
          <w:b/>
          <w:bCs/>
          <w:color w:val="auto"/>
          <w:sz w:val="22"/>
          <w:szCs w:val="22"/>
          <w:highlight w:val="none"/>
        </w:rPr>
        <w:t>安全责任合同（格式）</w:t>
      </w:r>
    </w:p>
    <w:p w14:paraId="2A5EF58A">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为贯彻遵守《建设工程安全生产管理条例》、《中华人民共和国安全生产法》等相关法律法规规定以及国家、地方关于安全生产的方针、政策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落实安全责任</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加强对咨询服务的安全管理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保障咨询服务人员安全和健康</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减少经济损失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经</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（以下简称甲方）与</w:t>
      </w:r>
      <w:r>
        <w:rPr>
          <w:rFonts w:hint="eastAsia" w:ascii="宋体" w:hAnsi="宋体" w:eastAsia="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（以下简称乙方）平等协商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 xml:space="preserve"> 特签订安全责任合同。</w:t>
      </w:r>
    </w:p>
    <w:p w14:paraId="747D264E">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一、甲方职责</w:t>
      </w:r>
    </w:p>
    <w:p w14:paraId="57813039">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1、严格遵守国家相关法律法规规定以及国家、地方关于安全生产的方针、政策</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要求乙方执行上述方针、政策开展咨询服务。</w:t>
      </w:r>
    </w:p>
    <w:p w14:paraId="50ED18D4">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2、按照“安全第一、预防为主、综合治理”和坚持“管生产必须管安全”的原则进行安全生产管理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做到生产与安全工作同时计划、布置、检查、总结和评比。</w:t>
      </w:r>
    </w:p>
    <w:p w14:paraId="7DDC698F">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3、项目开展过程甲方有权随时对乙方的安全管理工作进行检查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制止各类违规行为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并对违反安全规定的行为责令整顿。</w:t>
      </w:r>
    </w:p>
    <w:p w14:paraId="2EE494B7">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4、定期召开安全服务工作调度会</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及时传达中央及地方有关安全生产的精神。</w:t>
      </w:r>
    </w:p>
    <w:p w14:paraId="37582F54">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二、乙方职责</w:t>
      </w:r>
    </w:p>
    <w:p w14:paraId="08F77733">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1、乙方应为其完成本合同的人员和设备进行保险</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费用由乙方承担。若乙方在合同履行期间发生人员伤亡或财产的损失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或者造成第三方的人员伤亡或财产损失</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乙方应承担全部责任</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并保障甲方免于承担由此造成的一切损害和损失。乙方应确保安全服务</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应承担由此造成的一切损害和损失。</w:t>
      </w:r>
    </w:p>
    <w:p w14:paraId="238B2C1F">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2、乙方应建立、健全安全服务规章制度</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应急预案及处理流程应满足甲方应急预案要求。乙方项目负责人为本次服务项目的第一安全责任人</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负责乙方人员的安全教育</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负责项目咨询</w:t>
      </w:r>
      <w:r>
        <w:rPr>
          <w:rFonts w:hint="eastAsia" w:ascii="宋体" w:hAnsi="宋体" w:cs="宋体"/>
          <w:color w:val="auto"/>
          <w:sz w:val="22"/>
          <w:szCs w:val="22"/>
          <w:highlight w:val="none"/>
          <w:lang w:eastAsia="zh-CN"/>
        </w:rPr>
        <w:t>服务周期</w:t>
      </w:r>
      <w:r>
        <w:rPr>
          <w:rFonts w:hint="eastAsia" w:ascii="宋体" w:hAnsi="宋体" w:eastAsia="宋体" w:cs="宋体"/>
          <w:color w:val="auto"/>
          <w:sz w:val="22"/>
          <w:szCs w:val="22"/>
          <w:highlight w:val="none"/>
        </w:rPr>
        <w:t>间的安全保障工作。</w:t>
      </w:r>
    </w:p>
    <w:p w14:paraId="580B05F8">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3、在派遣服务人员进入施工区域之前</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乙方必须对上述人员进行安全服务教育培训</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如实告知施工区域和工作岗位存在的危险因素、防范措施以及事故应急措施等</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保证所有咨询服务人员具备必要的安全生产知识</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熟悉施工区域有关安全生产规章制度和安全操作规程。乙方未对上述人员进行上岗前安全服务教育培训的</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甲方有权拒绝该人员上岗</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由此造成的项目责任或损失由乙方承担。</w:t>
      </w:r>
    </w:p>
    <w:p w14:paraId="1685631B">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4、乙方应严格遵守甲方对项目施工过程（进场、现场、退场）安全规范</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根据咨询服务的需求分配相应工作场所</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并严格遵守该场所安全规则。</w:t>
      </w:r>
    </w:p>
    <w:p w14:paraId="65A21F26">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5、对甲方未顾及的安全隐患</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乙方有责任及时提醒甲方。</w:t>
      </w:r>
    </w:p>
    <w:p w14:paraId="632013AF">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三、违约责任</w:t>
      </w:r>
    </w:p>
    <w:p w14:paraId="0D54C016">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如因甲方或乙方违约造成安全事故</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将依法追究各自的责任。</w:t>
      </w:r>
    </w:p>
    <w:p w14:paraId="597388D8">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本合同协议书正本一式陆份</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合同双方各执叁份</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具有同等法律效力。由双方法定代表人或其授权的代理人签署并加盖公章后立即生效。</w:t>
      </w:r>
    </w:p>
    <w:p w14:paraId="76EE4FDE">
      <w:pPr>
        <w:keepNext w:val="0"/>
        <w:keepLines w:val="0"/>
        <w:pageBreakBefore w:val="0"/>
        <w:kinsoku/>
        <w:wordWrap/>
        <w:overflowPunct/>
        <w:topLinePunct w:val="0"/>
        <w:bidi w:val="0"/>
        <w:adjustRightInd/>
        <w:snapToGrid/>
        <w:spacing w:line="360" w:lineRule="auto"/>
        <w:ind w:left="0" w:leftChars="0" w:firstLine="440" w:firstLineChars="200"/>
        <w:rPr>
          <w:rFonts w:hint="eastAsia" w:ascii="宋体" w:hAnsi="宋体" w:eastAsia="宋体" w:cs="宋体"/>
          <w:color w:val="auto"/>
          <w:sz w:val="22"/>
          <w:szCs w:val="22"/>
          <w:highlight w:val="none"/>
        </w:rPr>
      </w:pPr>
    </w:p>
    <w:p w14:paraId="2DC8C367">
      <w:pPr>
        <w:keepNext w:val="0"/>
        <w:keepLines w:val="0"/>
        <w:pageBreakBefore w:val="0"/>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甲方：</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（盖章）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（盖章）</w:t>
      </w:r>
    </w:p>
    <w:p w14:paraId="133A84C3">
      <w:pPr>
        <w:keepNext w:val="0"/>
        <w:keepLines w:val="0"/>
        <w:pageBreakBefore w:val="0"/>
        <w:tabs>
          <w:tab w:val="left" w:pos="564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w:t>
      </w: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rPr>
        <w:t>法定代表人或</w:t>
      </w:r>
    </w:p>
    <w:p w14:paraId="7F33EFC5">
      <w:pPr>
        <w:keepNext w:val="0"/>
        <w:keepLines w:val="0"/>
        <w:pageBreakBefore w:val="0"/>
        <w:tabs>
          <w:tab w:val="left" w:pos="4500"/>
        </w:tabs>
        <w:kinsoku/>
        <w:wordWrap/>
        <w:overflowPunct/>
        <w:topLinePunct w:val="0"/>
        <w:bidi w:val="0"/>
        <w:adjustRightInd/>
        <w:snapToGrid/>
        <w:spacing w:line="360" w:lineRule="auto"/>
        <w:ind w:left="0" w:leftChars="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其授权的委托代理人：</w:t>
      </w:r>
      <w:r>
        <w:rPr>
          <w:rFonts w:hint="eastAsia" w:ascii="宋体" w:hAnsi="宋体" w:eastAsia="宋体" w:cs="宋体"/>
          <w:color w:val="auto"/>
          <w:sz w:val="22"/>
          <w:szCs w:val="22"/>
          <w:highlight w:val="none"/>
          <w:u w:val="single"/>
        </w:rPr>
        <w:t xml:space="preserve">     （签字）    </w:t>
      </w:r>
      <w:r>
        <w:rPr>
          <w:rFonts w:hint="eastAsia" w:ascii="宋体" w:hAnsi="宋体" w:eastAsia="宋体" w:cs="宋体"/>
          <w:color w:val="auto"/>
          <w:sz w:val="22"/>
          <w:szCs w:val="22"/>
          <w:highlight w:val="none"/>
        </w:rPr>
        <w:t xml:space="preserve">         其授权的委托代理人：</w:t>
      </w:r>
      <w:r>
        <w:rPr>
          <w:rFonts w:hint="eastAsia" w:ascii="宋体" w:hAnsi="宋体" w:eastAsia="宋体" w:cs="宋体"/>
          <w:color w:val="auto"/>
          <w:sz w:val="22"/>
          <w:szCs w:val="22"/>
          <w:highlight w:val="none"/>
          <w:u w:val="single"/>
        </w:rPr>
        <w:t xml:space="preserve">    （签字） </w:t>
      </w:r>
    </w:p>
    <w:p w14:paraId="038F1066">
      <w:pPr>
        <w:jc w:val="right"/>
        <w:rPr>
          <w:color w:val="auto"/>
          <w:highlight w:val="none"/>
        </w:rPr>
      </w:pPr>
      <w:r>
        <w:rPr>
          <w:rFonts w:hint="eastAsia" w:ascii="宋体" w:hAnsi="宋体" w:eastAsia="宋体" w:cs="宋体"/>
          <w:color w:val="auto"/>
          <w:sz w:val="22"/>
          <w:szCs w:val="22"/>
          <w:highlight w:val="none"/>
        </w:rPr>
        <w:tab/>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bookmarkEnd w:id="71"/>
    <w:bookmarkEnd w:id="72"/>
    <w:bookmarkEnd w:id="73"/>
    <w:bookmarkEnd w:id="74"/>
    <w:bookmarkEnd w:id="75"/>
    <w:p w14:paraId="22411EA7">
      <w:pPr>
        <w:pStyle w:val="2"/>
        <w:pageBreakBefore w:val="0"/>
        <w:widowControl w:val="0"/>
        <w:kinsoku/>
        <w:wordWrap/>
        <w:overflowPunct/>
        <w:topLinePunct w:val="0"/>
        <w:autoSpaceDE/>
        <w:autoSpaceDN/>
        <w:bidi w:val="0"/>
        <w:adjustRightInd/>
        <w:snapToGrid/>
        <w:spacing w:line="420" w:lineRule="exact"/>
        <w:jc w:val="right"/>
        <w:textAlignment w:val="auto"/>
        <w:rPr>
          <w:rFonts w:hint="eastAsia" w:ascii="宋体" w:hAnsi="宋体" w:eastAsia="宋体" w:cs="宋体"/>
          <w:color w:val="auto"/>
          <w:sz w:val="22"/>
          <w:szCs w:val="22"/>
          <w:highlight w:val="none"/>
        </w:rPr>
      </w:pPr>
      <w:bookmarkStart w:id="144" w:name="_Toc76356748"/>
      <w:bookmarkStart w:id="145" w:name="_Toc326739087"/>
      <w:bookmarkStart w:id="146" w:name="_Toc51042476"/>
      <w:bookmarkStart w:id="147" w:name="_Toc282677869"/>
      <w:bookmarkStart w:id="148" w:name="_Toc55239799"/>
      <w:bookmarkStart w:id="149" w:name="_Toc55112876"/>
      <w:bookmarkStart w:id="150" w:name="_Toc25042"/>
      <w:bookmarkStart w:id="151" w:name="_Toc305846554"/>
    </w:p>
    <w:p w14:paraId="2429EB51">
      <w:pPr>
        <w:spacing w:line="440" w:lineRule="exact"/>
        <w:rPr>
          <w:rFonts w:hint="eastAsia" w:ascii="宋体" w:hAnsi="宋体" w:cs="宋体"/>
          <w:color w:val="auto"/>
          <w:sz w:val="21"/>
          <w:szCs w:val="21"/>
          <w:highlight w:val="none"/>
        </w:rPr>
      </w:pPr>
    </w:p>
    <w:p w14:paraId="78FD47C4">
      <w:pPr>
        <w:autoSpaceDE w:val="0"/>
        <w:autoSpaceDN w:val="0"/>
        <w:spacing w:line="360" w:lineRule="auto"/>
        <w:textAlignment w:val="bottom"/>
        <w:rPr>
          <w:rFonts w:hint="eastAsia" w:ascii="宋体" w:hAnsi="宋体" w:cs="宋体"/>
          <w:color w:val="auto"/>
          <w:sz w:val="21"/>
          <w:szCs w:val="21"/>
          <w:highlight w:val="none"/>
        </w:rPr>
      </w:pPr>
    </w:p>
    <w:p w14:paraId="7A7DA781">
      <w:pPr>
        <w:pStyle w:val="28"/>
        <w:spacing w:before="0" w:after="0" w:line="360" w:lineRule="auto"/>
        <w:rPr>
          <w:rFonts w:hint="eastAsia" w:cs="Arial"/>
          <w:color w:val="auto"/>
          <w:sz w:val="32"/>
          <w:szCs w:val="22"/>
          <w:highlight w:val="none"/>
          <w:lang w:val="en-US" w:eastAsia="zh-CN"/>
        </w:rPr>
      </w:pPr>
      <w:r>
        <w:rPr>
          <w:rFonts w:hint="eastAsia" w:ascii="宋体" w:hAnsi="宋体" w:cs="宋体"/>
          <w:color w:val="auto"/>
          <w:sz w:val="21"/>
          <w:szCs w:val="21"/>
          <w:highlight w:val="none"/>
        </w:rPr>
        <w:br w:type="page"/>
      </w:r>
      <w:bookmarkEnd w:id="144"/>
      <w:bookmarkEnd w:id="145"/>
      <w:bookmarkEnd w:id="146"/>
      <w:bookmarkEnd w:id="147"/>
      <w:bookmarkEnd w:id="148"/>
      <w:bookmarkEnd w:id="149"/>
      <w:bookmarkEnd w:id="150"/>
      <w:bookmarkEnd w:id="151"/>
      <w:r>
        <w:rPr>
          <w:rFonts w:hint="eastAsia" w:cs="Arial"/>
          <w:color w:val="auto"/>
          <w:sz w:val="32"/>
          <w:szCs w:val="22"/>
          <w:highlight w:val="none"/>
          <w:lang w:val="en-US" w:eastAsia="zh-CN"/>
        </w:rPr>
        <w:t>第五章 技术规范</w:t>
      </w:r>
    </w:p>
    <w:p w14:paraId="19E34101">
      <w:pPr>
        <w:pStyle w:val="12"/>
        <w:spacing w:before="0" w:line="600" w:lineRule="exact"/>
        <w:ind w:left="0" w:firstLine="440" w:firstLineChars="200"/>
        <w:jc w:val="both"/>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通海港区-通州湾港区疏港航道双桥枢纽工程主要建设内容包括船闸工程、节制闸工程、桥梁工程及相关配套工程。</w:t>
      </w:r>
    </w:p>
    <w:p w14:paraId="3FDD0D53">
      <w:pPr>
        <w:pStyle w:val="12"/>
        <w:spacing w:before="0" w:line="600" w:lineRule="exact"/>
        <w:ind w:left="0" w:firstLine="440" w:firstLineChars="200"/>
        <w:jc w:val="both"/>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lang w:eastAsia="zh-CN"/>
        </w:rPr>
        <w:t>为大力弘扬劳模精神、劳动精神、工匠精神，组织动员广大交通职工为加快打造更具特色的“水运江苏”，本项目依托通海港区-通州湾港区疏港航道双桥枢纽工程，通过竞赛活动，提升南通港航和苏州港航从业人员的业务能力和技能水平，促进水运江苏建设的高质量发展。经研究决定举办“水运江苏”建设跨江竞技劳动技能竞赛。竞赛分为笔试和实操（实操：工程项目临时用电、工程试验检测、航道测量、船闸机电操作）两部分，赛事由南通和苏州轮流主办，2025年比赛主办方为南通市江海河联运项目建设指挥部，比赛地点设在通海港区-通州湾港区疏港航道双桥枢纽施工现场。</w:t>
      </w:r>
    </w:p>
    <w:p w14:paraId="2256A014">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一、</w:t>
      </w:r>
      <w:r>
        <w:rPr>
          <w:rFonts w:hint="eastAsia" w:ascii="宋体" w:hAnsi="宋体" w:eastAsia="宋体" w:cs="宋体"/>
          <w:sz w:val="22"/>
          <w:szCs w:val="22"/>
          <w:highlight w:val="none"/>
        </w:rPr>
        <w:t>赛前准备工作</w:t>
      </w:r>
    </w:p>
    <w:p w14:paraId="530D2B4A">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（一）创建技能竞赛知识库</w:t>
      </w:r>
    </w:p>
    <w:p w14:paraId="710D5A1E">
      <w:pPr>
        <w:spacing w:line="600" w:lineRule="exact"/>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根据竞赛内容，创建技能竞赛知识库，按照专业类型分为临时用电、船闸机电、航道测量、试验检测四个模块，每个模块包含专业课程和知识题库</w:t>
      </w:r>
      <w:r>
        <w:rPr>
          <w:rFonts w:hint="eastAsia" w:ascii="宋体" w:hAnsi="宋体" w:cs="宋体"/>
          <w:sz w:val="22"/>
          <w:szCs w:val="22"/>
          <w:highlight w:val="none"/>
          <w:lang w:eastAsia="zh-CN"/>
        </w:rPr>
        <w:t>。</w:t>
      </w:r>
    </w:p>
    <w:p w14:paraId="451C2F49">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（二）编制竞赛方案</w:t>
      </w:r>
    </w:p>
    <w:p w14:paraId="45B08694">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根据竞赛内容和相关要求，编制《“水运江苏”跨江经济劳动技能竞赛策划方案》，明确竞赛时间及地点、竞赛流程及内容、参赛人员及相关食宿安排、场地规划及布置、赛前培训及考核模拟安排、以及竞赛所用到的设备及相关保障等工作内容。</w:t>
      </w:r>
    </w:p>
    <w:p w14:paraId="14213F12">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（三）制定竞赛规则及评分细则</w:t>
      </w:r>
    </w:p>
    <w:p w14:paraId="73722CB1">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通过制定《“水运江苏”跨江经济劳动技能竞赛规则及评分细则》，明确竞赛流程、每一项竞赛内容的具体要求、评分标准以及注意事项，从而确保竞赛的公平性，同时也为参赛人员提供了明确的学习方向。</w:t>
      </w:r>
    </w:p>
    <w:p w14:paraId="6326CC8A">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（四）开展赛前培训</w:t>
      </w:r>
    </w:p>
    <w:p w14:paraId="6320A624">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为确保竞赛的顺利进行，参赛人员对竞赛内容、规则和评分标准有清晰的理解。通过编制《“水运江苏”跨江经济劳动技能竞赛培训方案》、制作培训课件、组织具有丰富实践经验与教学能力的讲师，为参赛人员进行理论知识讲解与实操技能培训。</w:t>
      </w:r>
    </w:p>
    <w:p w14:paraId="271EFE43">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（五）专家评委与技术支持</w:t>
      </w:r>
    </w:p>
    <w:p w14:paraId="67655DFF">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根据竞赛内容，邀请相关领域的专家担任竞赛评委，依据竞赛规则和评分标准，对参赛人员的表现进行公正、客观的评审打分。并对竞赛过程中出现的技术难题进行解答，对竞赛项目环节的设置与实施提供权威建议，保障竞赛的专业性与科学性。</w:t>
      </w:r>
    </w:p>
    <w:p w14:paraId="19D301C1">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（六）后勤保障服务</w:t>
      </w:r>
    </w:p>
    <w:p w14:paraId="5EFBC81B">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包括仪器设备搬运、接驳车辆、餐饮、安全费用以及</w:t>
      </w:r>
      <w:r>
        <w:rPr>
          <w:rFonts w:hint="eastAsia" w:ascii="宋体" w:hAnsi="宋体" w:eastAsia="宋体" w:cs="宋体"/>
          <w:sz w:val="22"/>
          <w:szCs w:val="22"/>
          <w:highlight w:val="none"/>
        </w:rPr>
        <w:t>可能发生的突发情况，针对可能出现特殊情况做好应急预案，保障竞赛过程的安全性。</w:t>
      </w:r>
    </w:p>
    <w:p w14:paraId="2C06266C">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二</w:t>
      </w:r>
      <w:r>
        <w:rPr>
          <w:rFonts w:hint="eastAsia" w:ascii="宋体" w:hAnsi="宋体" w:eastAsia="宋体" w:cs="宋体"/>
          <w:sz w:val="22"/>
          <w:szCs w:val="22"/>
          <w:highlight w:val="none"/>
        </w:rPr>
        <w:t>、竞赛流程</w:t>
      </w:r>
    </w:p>
    <w:p w14:paraId="4BC93507">
      <w:pPr>
        <w:spacing w:line="600" w:lineRule="exact"/>
        <w:ind w:firstLine="440" w:firstLineChars="200"/>
        <w:rPr>
          <w:rFonts w:hint="default" w:ascii="宋体" w:hAnsi="宋体" w:eastAsia="宋体" w:cs="宋体"/>
          <w:sz w:val="22"/>
          <w:szCs w:val="22"/>
          <w:highlight w:val="none"/>
          <w:lang w:val="en-US" w:eastAsia="zh-CN"/>
        </w:rPr>
      </w:pPr>
      <w:r>
        <w:rPr>
          <w:rFonts w:hint="eastAsia" w:ascii="宋体" w:hAnsi="宋体" w:eastAsia="宋体" w:cs="宋体"/>
          <w:sz w:val="22"/>
          <w:szCs w:val="22"/>
          <w:highlight w:val="none"/>
        </w:rPr>
        <w:t>1.开幕式：介绍竞赛背景、目的、流程及规则，宣布竞赛正式开始。</w:t>
      </w:r>
    </w:p>
    <w:p w14:paraId="08F1DF1D">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2.笔试环节：所有选手统一参加笔试，时间为报到当天晚上。</w:t>
      </w:r>
    </w:p>
    <w:p w14:paraId="6D03BB76">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3.实操环节：选手按照抽签顺序依次进入各实操项目场地进行比赛，每个项目限时2小时。</w:t>
      </w:r>
    </w:p>
    <w:p w14:paraId="0B196675">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4.成绩统计与公示：竞赛结束后，工作人员对笔试和实操成绩进行统计，按总成绩排名，公示竞赛结果。</w:t>
      </w:r>
    </w:p>
    <w:p w14:paraId="40B8126D">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5.闭幕式：对获奖选手进行表彰，颁发荣誉证书，总结竞赛经验。</w:t>
      </w:r>
    </w:p>
    <w:p w14:paraId="7AB71715">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三</w:t>
      </w:r>
      <w:r>
        <w:rPr>
          <w:rFonts w:hint="eastAsia" w:ascii="宋体" w:hAnsi="宋体" w:eastAsia="宋体" w:cs="宋体"/>
          <w:sz w:val="22"/>
          <w:szCs w:val="22"/>
          <w:highlight w:val="none"/>
        </w:rPr>
        <w:t>、参赛人员</w:t>
      </w:r>
    </w:p>
    <w:p w14:paraId="1E7187C2">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（一）参赛要求</w:t>
      </w:r>
    </w:p>
    <w:p w14:paraId="7B80CE32">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南通、苏州两地从事水运建设相关工作，具有工程项目临时用电、工程试验检测、航道测量、船闸机电等工作经验，政治素质好、业务能力强、具有良好职业道德的职工均可报名参赛。</w:t>
      </w:r>
    </w:p>
    <w:p w14:paraId="36EAC69E">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（二）参赛人数</w:t>
      </w:r>
    </w:p>
    <w:p w14:paraId="1E6CAFAC">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南</w:t>
      </w:r>
      <w:r>
        <w:rPr>
          <w:rFonts w:hint="eastAsia" w:ascii="宋体" w:hAnsi="宋体" w:eastAsia="宋体" w:cs="宋体"/>
          <w:sz w:val="22"/>
          <w:szCs w:val="22"/>
          <w:highlight w:val="none"/>
        </w:rPr>
        <w:t>通港航与苏州港航各为一支队伍，每支队伍的各赛项参赛选手人数需满足以下最低数要求：工程项目临时用电赛项每队6名选手，工程试验检测赛项每队6名选手，航道测量赛项每队5名选手，船闸机电操作赛项每队6名选手；每名参赛选手只能参加1个赛项，不得兼项。（每支队伍约30人，两支队伍共计60人）</w:t>
      </w:r>
    </w:p>
    <w:p w14:paraId="536D031E">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四</w:t>
      </w:r>
      <w:r>
        <w:rPr>
          <w:rFonts w:hint="eastAsia" w:ascii="宋体" w:hAnsi="宋体" w:eastAsia="宋体" w:cs="宋体"/>
          <w:sz w:val="22"/>
          <w:szCs w:val="22"/>
          <w:highlight w:val="none"/>
        </w:rPr>
        <w:t>、竞赛内容和形式</w:t>
      </w:r>
    </w:p>
    <w:p w14:paraId="59440952">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竞赛分为笔试和实操两部分。</w:t>
      </w:r>
    </w:p>
    <w:p w14:paraId="06E2FC04">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（一）笔试​</w:t>
      </w:r>
    </w:p>
    <w:p w14:paraId="3A35CFE7">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内容：依据国家相关法律法规、行业标准规范以及各竞赛项目的专业知识，结合“水运江苏” 建设实际需求，制定笔试试题。​</w:t>
      </w:r>
    </w:p>
    <w:p w14:paraId="1D3FE325">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形式：采用闭卷考试，考试时间为 120 分钟，满分为 100 分。题型包括单选题、多选题、判断题、简答题。</w:t>
      </w:r>
    </w:p>
    <w:p w14:paraId="228B4106">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（二）实操</w:t>
      </w:r>
    </w:p>
    <w:p w14:paraId="4BB2CFC2">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1.工程项目临时用电</w:t>
      </w:r>
    </w:p>
    <w:p w14:paraId="3919BF50">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内容：模拟施工现场临时用电布置场景，选手需根据给定的施工条件和负荷需求，完成临时用电系统的设计、线路敷设、配电箱安装与接线、接地装置设置等操作，并进行安全检查和故障排除。</w:t>
      </w:r>
    </w:p>
    <w:p w14:paraId="710D3486">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评分标准：根据操作规范性、完成时间、故障排除准确性等方面进行评分。</w:t>
      </w:r>
    </w:p>
    <w:p w14:paraId="3F15A29C">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2.工程试验检测</w:t>
      </w:r>
    </w:p>
    <w:p w14:paraId="34C84301">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内容：选取不同类型的工程材料（如水泥、钢材、砂石等），选手需按照标准试验方法完成材料性能检测试验，包括取样、制样、试验操作、数据记录与分析，并出具试验报告。</w:t>
      </w:r>
    </w:p>
    <w:p w14:paraId="1D2E33E1">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评分标准：依据检测结果的准确性、操作流程的规范性以及数据记录的完整性进行评分。</w:t>
      </w:r>
    </w:p>
    <w:p w14:paraId="33FDB8B5">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3.航道测量</w:t>
      </w:r>
    </w:p>
    <w:p w14:paraId="642079FC">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内容：在指定区域内模拟航道现场，操作测量仪器，对测量数据进行记录、处理和成果整理。</w:t>
      </w:r>
    </w:p>
    <w:p w14:paraId="1BA3CD05">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评分标准：根据测量数据的准确性、测量方法的科学性以及数据处理的规范性进行评分。</w:t>
      </w:r>
    </w:p>
    <w:p w14:paraId="72DC3122">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4.船闸机电操作</w:t>
      </w:r>
    </w:p>
    <w:p w14:paraId="36F1649A">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内容：设置船闸机电设备故障模拟场景，选手需在规定时间内完成故障诊断、维修和调试工作，包括电气线路排查、机械部件维修、自动化控制系统调试等内容。</w:t>
      </w:r>
    </w:p>
    <w:p w14:paraId="26FFC7AC">
      <w:pPr>
        <w:tabs>
          <w:tab w:val="left" w:pos="3851"/>
        </w:tabs>
        <w:spacing w:line="600" w:lineRule="exact"/>
        <w:ind w:firstLine="440" w:firstLineChars="200"/>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评分标准：依据操作的熟练程度、设备运行的稳定性以及故障处理的及时性进行评分</w:t>
      </w:r>
      <w:r>
        <w:rPr>
          <w:rFonts w:hint="eastAsia" w:ascii="宋体" w:hAnsi="宋体" w:cs="宋体"/>
          <w:sz w:val="22"/>
          <w:szCs w:val="22"/>
          <w:highlight w:val="none"/>
          <w:lang w:eastAsia="zh-CN"/>
        </w:rPr>
        <w:t>。</w:t>
      </w:r>
    </w:p>
    <w:p w14:paraId="1A53098A">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（三）成绩核算</w:t>
      </w:r>
    </w:p>
    <w:p w14:paraId="762EADEB">
      <w:pPr>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竞赛总成绩按笔试成绩占50%、实操成绩占50%计算。排名依据总成绩从高到低排名，如总成绩相同则以实操成绩高的名次在前；总成绩相同且实操成绩也相同，则以实操项目用时短的名次在前。</w:t>
      </w:r>
    </w:p>
    <w:p w14:paraId="7ADD8CC3">
      <w:pPr>
        <w:spacing w:line="600" w:lineRule="exact"/>
        <w:ind w:firstLine="440" w:firstLineChars="200"/>
        <w:rPr>
          <w:rFonts w:hint="eastAsia" w:ascii="宋体" w:hAnsi="宋体" w:eastAsia="宋体" w:cs="宋体"/>
          <w:sz w:val="22"/>
          <w:szCs w:val="22"/>
          <w:highlight w:val="none"/>
        </w:rPr>
      </w:pPr>
      <w:r>
        <w:rPr>
          <w:rFonts w:hint="eastAsia" w:ascii="宋体" w:hAnsi="宋体" w:cs="宋体"/>
          <w:sz w:val="22"/>
          <w:szCs w:val="22"/>
          <w:highlight w:val="none"/>
          <w:lang w:val="en-US" w:eastAsia="zh-CN"/>
        </w:rPr>
        <w:t>五</w:t>
      </w:r>
      <w:r>
        <w:rPr>
          <w:rFonts w:hint="eastAsia" w:ascii="宋体" w:hAnsi="宋体" w:eastAsia="宋体" w:cs="宋体"/>
          <w:sz w:val="22"/>
          <w:szCs w:val="22"/>
          <w:highlight w:val="none"/>
        </w:rPr>
        <w:t>、其他事项</w:t>
      </w:r>
    </w:p>
    <w:p w14:paraId="08734AF4">
      <w:pPr>
        <w:tabs>
          <w:tab w:val="left" w:pos="3851"/>
        </w:tabs>
        <w:spacing w:line="600" w:lineRule="exact"/>
        <w:ind w:firstLine="440" w:firstLineChars="200"/>
        <w:rPr>
          <w:rFonts w:hint="eastAsia" w:ascii="宋体" w:hAnsi="宋体" w:eastAsia="宋体" w:cs="宋体"/>
          <w:sz w:val="22"/>
          <w:szCs w:val="22"/>
          <w:highlight w:val="none"/>
        </w:rPr>
      </w:pPr>
      <w:r>
        <w:rPr>
          <w:rFonts w:hint="eastAsia" w:ascii="宋体" w:hAnsi="宋体" w:eastAsia="宋体" w:cs="宋体"/>
          <w:sz w:val="22"/>
          <w:szCs w:val="22"/>
          <w:highlight w:val="none"/>
        </w:rPr>
        <w:t>1.参赛选手需提前熟悉竞赛规则和操作流程，确保竞赛顺利进行。</w:t>
      </w:r>
    </w:p>
    <w:p w14:paraId="177FA670">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leftChars="0" w:firstLine="440" w:firstLineChars="20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2.竞赛期间，选手应遵守赛场纪律，如有违规行为，将取消比赛资格。</w:t>
      </w:r>
    </w:p>
    <w:p w14:paraId="20734CC9">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leftChars="0" w:firstLine="440" w:firstLineChars="200"/>
        <w:textAlignment w:val="auto"/>
        <w:rPr>
          <w:rFonts w:hint="eastAsia" w:ascii="宋体" w:hAnsi="宋体" w:cs="宋体"/>
          <w:sz w:val="22"/>
          <w:szCs w:val="22"/>
          <w:highlight w:val="none"/>
          <w:lang w:val="en-US" w:eastAsia="zh-CN"/>
        </w:rPr>
      </w:pPr>
      <w:r>
        <w:rPr>
          <w:rFonts w:hint="eastAsia" w:ascii="宋体" w:hAnsi="宋体" w:cs="宋体"/>
          <w:sz w:val="22"/>
          <w:szCs w:val="22"/>
          <w:highlight w:val="none"/>
          <w:lang w:val="en-US" w:eastAsia="zh-CN"/>
        </w:rPr>
        <w:t>六、具体要求详见下表：</w:t>
      </w:r>
    </w:p>
    <w:tbl>
      <w:tblPr>
        <w:tblStyle w:val="3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4"/>
        <w:gridCol w:w="1780"/>
        <w:gridCol w:w="1207"/>
        <w:gridCol w:w="5782"/>
      </w:tblGrid>
      <w:tr w14:paraId="7BD6F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67B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166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项目名称</w:t>
            </w:r>
          </w:p>
        </w:tc>
        <w:tc>
          <w:tcPr>
            <w:tcW w:w="6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8101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单项名称</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2E39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特征描述</w:t>
            </w:r>
          </w:p>
        </w:tc>
      </w:tr>
      <w:tr w14:paraId="1D1B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3A9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25361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竞赛策划与组织服务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5533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highlight w:val="none"/>
                <w:u w:val="none"/>
              </w:rPr>
            </w:pPr>
          </w:p>
        </w:tc>
      </w:tr>
      <w:tr w14:paraId="0D21F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F5AC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833E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活动策划</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B1D5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w:t>
            </w:r>
            <w:r>
              <w:rPr>
                <w:rFonts w:hint="eastAsia" w:ascii="宋体" w:hAnsi="宋体" w:eastAsia="宋体" w:cs="宋体"/>
                <w:b/>
                <w:bCs/>
                <w:i w:val="0"/>
                <w:iCs w:val="0"/>
                <w:color w:val="000000"/>
                <w:kern w:val="0"/>
                <w:sz w:val="21"/>
                <w:szCs w:val="21"/>
                <w:highlight w:val="none"/>
                <w:u w:val="none"/>
                <w:lang w:val="en-US" w:eastAsia="zh-CN" w:bidi="ar"/>
              </w:rPr>
              <w:t>方案策划</w:t>
            </w:r>
            <w:r>
              <w:rPr>
                <w:rFonts w:hint="eastAsia" w:ascii="宋体" w:hAnsi="宋体" w:eastAsia="宋体" w:cs="宋体"/>
                <w:i w:val="0"/>
                <w:iCs w:val="0"/>
                <w:color w:val="000000"/>
                <w:kern w:val="0"/>
                <w:sz w:val="21"/>
                <w:szCs w:val="21"/>
                <w:highlight w:val="none"/>
                <w:u w:val="none"/>
                <w:lang w:val="en-US" w:eastAsia="zh-CN" w:bidi="ar"/>
              </w:rPr>
              <w:t>（包括竞赛目的及要求、竞赛项目设计、竞赛规模及时间、参赛单位和人员，竞赛筹备工作内容、竞赛主要步骤、技术支撑及保障条件等）+</w:t>
            </w:r>
            <w:r>
              <w:rPr>
                <w:rFonts w:hint="eastAsia" w:ascii="宋体" w:hAnsi="宋体" w:eastAsia="宋体" w:cs="宋体"/>
                <w:b/>
                <w:bCs/>
                <w:i w:val="0"/>
                <w:iCs w:val="0"/>
                <w:color w:val="000000"/>
                <w:kern w:val="0"/>
                <w:sz w:val="21"/>
                <w:szCs w:val="21"/>
                <w:highlight w:val="none"/>
                <w:u w:val="none"/>
                <w:lang w:val="en-US" w:eastAsia="zh-CN" w:bidi="ar"/>
              </w:rPr>
              <w:t>竞赛技术文件编制及现场方案编制</w:t>
            </w:r>
            <w:r>
              <w:rPr>
                <w:rFonts w:hint="eastAsia" w:ascii="宋体" w:hAnsi="宋体" w:eastAsia="宋体" w:cs="宋体"/>
                <w:i w:val="0"/>
                <w:iCs w:val="0"/>
                <w:color w:val="000000"/>
                <w:kern w:val="0"/>
                <w:sz w:val="21"/>
                <w:szCs w:val="21"/>
                <w:highlight w:val="none"/>
                <w:u w:val="none"/>
                <w:lang w:val="en-US" w:eastAsia="zh-CN" w:bidi="ar"/>
              </w:rPr>
              <w:t>（包括赛项内容、评分细则、竞赛规则、理论试题题库等前期各竞赛场地现场勘查、测量、设计费用等）</w:t>
            </w:r>
          </w:p>
        </w:tc>
      </w:tr>
      <w:tr w14:paraId="22766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7A6DD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D86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场地租赁费</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AEB3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highlight w:val="none"/>
                <w:u w:val="none"/>
                <w:lang w:val="en-US" w:eastAsia="zh-CN" w:bidi="ar"/>
              </w:rPr>
            </w:pPr>
          </w:p>
          <w:p w14:paraId="232A84F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含竞赛、培训场地使用，包含音响</w:t>
            </w:r>
          </w:p>
        </w:tc>
      </w:tr>
      <w:tr w14:paraId="47ABA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984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F646D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赛前组织培训及培训考核</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BFDA4">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r w14:paraId="27500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A37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651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试题，赛前组织培训及培训结束后，组织考核</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A9B0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4个项目分别出题库，培训期间4个项目配单独老师</w:t>
            </w:r>
          </w:p>
        </w:tc>
      </w:tr>
      <w:tr w14:paraId="29DD3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FA4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D37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竞赛设备与物资供应</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E4A3E">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r w14:paraId="2A471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AFC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649FD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竞赛采购设备与租赁</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0F885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实操设备+竞赛设备使用（按</w:t>
            </w:r>
            <w:r>
              <w:rPr>
                <w:rFonts w:hint="eastAsia" w:ascii="宋体" w:hAnsi="宋体" w:cs="宋体"/>
                <w:i w:val="0"/>
                <w:iCs w:val="0"/>
                <w:color w:val="000000"/>
                <w:kern w:val="0"/>
                <w:sz w:val="21"/>
                <w:szCs w:val="21"/>
                <w:highlight w:val="none"/>
                <w:u w:val="none"/>
                <w:lang w:val="en-US" w:eastAsia="zh-CN" w:bidi="ar"/>
              </w:rPr>
              <w:t>6</w:t>
            </w:r>
            <w:r>
              <w:rPr>
                <w:rFonts w:hint="eastAsia" w:ascii="宋体" w:hAnsi="宋体" w:eastAsia="宋体" w:cs="宋体"/>
                <w:i w:val="0"/>
                <w:iCs w:val="0"/>
                <w:color w:val="000000"/>
                <w:kern w:val="0"/>
                <w:sz w:val="21"/>
                <w:szCs w:val="21"/>
                <w:highlight w:val="none"/>
                <w:u w:val="none"/>
                <w:lang w:val="en-US" w:eastAsia="zh-CN" w:bidi="ar"/>
              </w:rPr>
              <w:t>0人计算）</w:t>
            </w:r>
          </w:p>
        </w:tc>
      </w:tr>
      <w:tr w14:paraId="68E2F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B103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25F8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音响租赁服务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CEE9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线阵音响8+4，会议话筒2只+手持话筒2只</w:t>
            </w:r>
          </w:p>
        </w:tc>
      </w:tr>
      <w:tr w14:paraId="7A751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5874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61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7282E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租赁桌椅</w:t>
            </w:r>
          </w:p>
        </w:tc>
        <w:tc>
          <w:tcPr>
            <w:tcW w:w="3134"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831A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cs="宋体"/>
                <w:i w:val="0"/>
                <w:iCs w:val="0"/>
                <w:color w:val="000000"/>
                <w:sz w:val="21"/>
                <w:szCs w:val="21"/>
                <w:highlight w:val="none"/>
                <w:u w:val="none"/>
                <w:lang w:val="en-US" w:eastAsia="zh-CN"/>
              </w:rPr>
              <w:t>租赁20张桌子、50把椅子</w:t>
            </w:r>
          </w:p>
        </w:tc>
      </w:tr>
      <w:tr w14:paraId="3AC35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F403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61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7CE5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highlight w:val="none"/>
                <w:u w:val="none"/>
              </w:rPr>
            </w:pPr>
          </w:p>
        </w:tc>
        <w:tc>
          <w:tcPr>
            <w:tcW w:w="3134"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3D55E">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r w14:paraId="6693E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6D54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F53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检录处</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7850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3*3m篷房，4顶</w:t>
            </w:r>
          </w:p>
        </w:tc>
      </w:tr>
      <w:tr w14:paraId="023BF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B5B0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97DCA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指示牌</w:t>
            </w:r>
          </w:p>
        </w:tc>
        <w:tc>
          <w:tcPr>
            <w:tcW w:w="3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B813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酒店+培训场地+竞赛场地使用，按木制指示牌6个+画面计算</w:t>
            </w:r>
          </w:p>
        </w:tc>
      </w:tr>
      <w:tr w14:paraId="5BCAF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AE3F0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E30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证件</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6780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含工作证、裁判证、参赛证等</w:t>
            </w:r>
          </w:p>
        </w:tc>
      </w:tr>
      <w:tr w14:paraId="442CF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29B5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090F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会务手册</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E8DD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250g铜版纸封面+157g铜版纸内页</w:t>
            </w:r>
            <w:r>
              <w:rPr>
                <w:rFonts w:hint="eastAsia" w:ascii="宋体" w:hAnsi="宋体" w:cs="宋体"/>
                <w:i w:val="0"/>
                <w:iCs w:val="0"/>
                <w:color w:val="000000"/>
                <w:kern w:val="0"/>
                <w:sz w:val="21"/>
                <w:szCs w:val="21"/>
                <w:highlight w:val="none"/>
                <w:u w:val="none"/>
                <w:lang w:val="en-US" w:eastAsia="zh-CN" w:bidi="ar"/>
              </w:rPr>
              <w:t>，60份</w:t>
            </w:r>
          </w:p>
        </w:tc>
      </w:tr>
      <w:tr w14:paraId="0B2CE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E677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703C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竞赛指南</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DB34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250g铜版纸封面+157g铜版纸内页</w:t>
            </w:r>
            <w:r>
              <w:rPr>
                <w:rFonts w:hint="eastAsia" w:ascii="宋体" w:hAnsi="宋体" w:cs="宋体"/>
                <w:i w:val="0"/>
                <w:iCs w:val="0"/>
                <w:color w:val="000000"/>
                <w:kern w:val="0"/>
                <w:sz w:val="21"/>
                <w:szCs w:val="21"/>
                <w:highlight w:val="none"/>
                <w:u w:val="none"/>
                <w:lang w:val="en-US" w:eastAsia="zh-CN" w:bidi="ar"/>
              </w:rPr>
              <w:t>，60份</w:t>
            </w:r>
          </w:p>
        </w:tc>
      </w:tr>
      <w:tr w14:paraId="7798E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5668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85F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手卡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0083B">
            <w:pPr>
              <w:keepNext w:val="0"/>
              <w:keepLines w:val="0"/>
              <w:pageBreakBefore w:val="0"/>
              <w:widowControl/>
              <w:kinsoku/>
              <w:wordWrap/>
              <w:overflowPunct/>
              <w:topLinePunct w:val="0"/>
              <w:autoSpaceDE/>
              <w:autoSpaceDN/>
              <w:bidi w:val="0"/>
              <w:adjustRightInd/>
              <w:snapToGrid/>
              <w:spacing w:line="240" w:lineRule="auto"/>
              <w:jc w:val="left"/>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cs="宋体"/>
                <w:i w:val="0"/>
                <w:iCs w:val="0"/>
                <w:color w:val="000000"/>
                <w:sz w:val="21"/>
                <w:szCs w:val="21"/>
                <w:highlight w:val="none"/>
                <w:u w:val="none"/>
                <w:lang w:val="en-US" w:eastAsia="zh-CN"/>
              </w:rPr>
              <w:t>一份</w:t>
            </w:r>
          </w:p>
        </w:tc>
      </w:tr>
      <w:tr w14:paraId="1D46B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0D41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A22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候场区</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DA271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每个项目设立2顶3*3m篷房</w:t>
            </w:r>
          </w:p>
        </w:tc>
      </w:tr>
      <w:tr w14:paraId="0B074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1BF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12</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E553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手提</w:t>
            </w:r>
            <w:r>
              <w:rPr>
                <w:rFonts w:hint="eastAsia" w:ascii="宋体" w:hAnsi="宋体" w:cs="宋体"/>
                <w:i w:val="0"/>
                <w:iCs w:val="0"/>
                <w:color w:val="000000"/>
                <w:kern w:val="0"/>
                <w:sz w:val="21"/>
                <w:szCs w:val="21"/>
                <w:highlight w:val="none"/>
                <w:u w:val="none"/>
                <w:lang w:val="en-US" w:eastAsia="zh-CN" w:bidi="ar"/>
              </w:rPr>
              <w:t>袋</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5A6C5">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i w:val="0"/>
                <w:iCs w:val="0"/>
                <w:color w:val="000000"/>
                <w:sz w:val="21"/>
                <w:szCs w:val="21"/>
                <w:highlight w:val="none"/>
                <w:u w:val="none"/>
                <w:lang w:val="en-US" w:eastAsia="zh-CN"/>
              </w:rPr>
              <w:t>60个</w:t>
            </w:r>
          </w:p>
        </w:tc>
      </w:tr>
      <w:tr w14:paraId="330C6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E75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13</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AEC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物料制作</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7F86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手举牌，车号牌，桌号贴纸，竞赛通知画面，各材料打印等</w:t>
            </w:r>
          </w:p>
        </w:tc>
      </w:tr>
      <w:tr w14:paraId="07AA2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FC3C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14</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7A4E7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奖牌证书费</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C0C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A4尺寸</w:t>
            </w:r>
          </w:p>
        </w:tc>
      </w:tr>
      <w:tr w14:paraId="66C89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A6C4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15</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EA8E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活动用品采购</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F968C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eastAsia="宋体" w:cs="宋体"/>
                <w:i w:val="0"/>
                <w:iCs w:val="0"/>
                <w:color w:val="000000"/>
                <w:kern w:val="0"/>
                <w:sz w:val="21"/>
                <w:szCs w:val="21"/>
                <w:highlight w:val="none"/>
                <w:u w:val="none"/>
                <w:lang w:val="en-US" w:eastAsia="zh-CN" w:bidi="ar"/>
              </w:rPr>
              <w:t>秒表、记号笔、铜芯线、卷尺、标识贴、记录板等</w:t>
            </w:r>
          </w:p>
        </w:tc>
      </w:tr>
      <w:tr w14:paraId="411E1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5E84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四</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68A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竞赛评委与专家服务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C7EE1">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r w14:paraId="7F666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1104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350C5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竞赛评委与专家服务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7C81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每个项目1位专家评委，中级、副高级老师</w:t>
            </w:r>
          </w:p>
        </w:tc>
      </w:tr>
      <w:tr w14:paraId="44C74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F95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五</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7E4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后勤保障服务</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73E6D">
            <w:pPr>
              <w:keepNext w:val="0"/>
              <w:keepLines w:val="0"/>
              <w:pageBreakBefore w:val="0"/>
              <w:widowControl/>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highlight w:val="none"/>
                <w:u w:val="none"/>
              </w:rPr>
            </w:pPr>
          </w:p>
        </w:tc>
      </w:tr>
      <w:tr w14:paraId="5EDC9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238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C1C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仪器设备搬运</w:t>
            </w:r>
          </w:p>
        </w:tc>
        <w:tc>
          <w:tcPr>
            <w:tcW w:w="6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A902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人工及材料运输</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00D9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所有物料运输及设备搬运运输</w:t>
            </w:r>
          </w:p>
        </w:tc>
      </w:tr>
      <w:tr w14:paraId="37C9D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0A6D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9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4D68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培训+活动</w:t>
            </w:r>
          </w:p>
        </w:tc>
        <w:tc>
          <w:tcPr>
            <w:tcW w:w="6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9B3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接驳车辆租赁</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B27D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培训期间2天，往返接送，活动期间往返接送1天</w:t>
            </w:r>
          </w:p>
        </w:tc>
      </w:tr>
      <w:tr w14:paraId="10F02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680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D1F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餐饮</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19FA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含参赛人数</w:t>
            </w:r>
            <w:r>
              <w:rPr>
                <w:rFonts w:hint="eastAsia" w:ascii="宋体" w:hAnsi="宋体" w:cs="宋体"/>
                <w:i w:val="0"/>
                <w:iCs w:val="0"/>
                <w:color w:val="000000"/>
                <w:kern w:val="0"/>
                <w:sz w:val="21"/>
                <w:szCs w:val="21"/>
                <w:highlight w:val="none"/>
                <w:u w:val="none"/>
                <w:lang w:val="en-US" w:eastAsia="zh-CN" w:bidi="ar"/>
              </w:rPr>
              <w:t>6</w:t>
            </w:r>
            <w:r>
              <w:rPr>
                <w:rFonts w:hint="eastAsia" w:ascii="宋体" w:hAnsi="宋体" w:eastAsia="宋体" w:cs="宋体"/>
                <w:i w:val="0"/>
                <w:iCs w:val="0"/>
                <w:color w:val="000000"/>
                <w:kern w:val="0"/>
                <w:sz w:val="21"/>
                <w:szCs w:val="21"/>
                <w:highlight w:val="none"/>
                <w:u w:val="none"/>
                <w:lang w:val="en-US" w:eastAsia="zh-CN" w:bidi="ar"/>
              </w:rPr>
              <w:t>0人、相关工作人员、裁判人员等</w:t>
            </w:r>
          </w:p>
          <w:p w14:paraId="33DBF70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培训前一天晚餐，培训期间2天的中餐、晚餐；</w:t>
            </w:r>
          </w:p>
          <w:p w14:paraId="664451F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活动前一天晚餐，活动当天的中餐、晚餐</w:t>
            </w:r>
          </w:p>
        </w:tc>
      </w:tr>
      <w:tr w14:paraId="056D6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9D7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61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78C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安全费用</w:t>
            </w:r>
          </w:p>
        </w:tc>
        <w:tc>
          <w:tcPr>
            <w:tcW w:w="31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A30E2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含</w:t>
            </w:r>
            <w:r>
              <w:rPr>
                <w:rFonts w:hint="eastAsia" w:ascii="宋体" w:hAnsi="宋体" w:cs="宋体"/>
                <w:i w:val="0"/>
                <w:iCs w:val="0"/>
                <w:color w:val="000000"/>
                <w:kern w:val="0"/>
                <w:sz w:val="21"/>
                <w:szCs w:val="21"/>
                <w:highlight w:val="none"/>
                <w:u w:val="none"/>
                <w:lang w:val="en-US" w:eastAsia="zh-CN" w:bidi="ar"/>
              </w:rPr>
              <w:t>消暑用品、</w:t>
            </w:r>
            <w:r>
              <w:rPr>
                <w:rFonts w:hint="eastAsia" w:ascii="宋体" w:hAnsi="宋体" w:eastAsia="宋体" w:cs="宋体"/>
                <w:i w:val="0"/>
                <w:iCs w:val="0"/>
                <w:color w:val="000000"/>
                <w:kern w:val="0"/>
                <w:sz w:val="21"/>
                <w:szCs w:val="21"/>
                <w:highlight w:val="none"/>
                <w:u w:val="none"/>
                <w:lang w:val="en-US" w:eastAsia="zh-CN" w:bidi="ar"/>
              </w:rPr>
              <w:t>医疗应急包、安全维护等</w:t>
            </w:r>
          </w:p>
        </w:tc>
      </w:tr>
    </w:tbl>
    <w:p w14:paraId="51243B3F">
      <w:pPr>
        <w:keepNext w:val="0"/>
        <w:keepLines w:val="0"/>
        <w:pageBreakBefore w:val="0"/>
        <w:widowControl w:val="0"/>
        <w:numPr>
          <w:ilvl w:val="0"/>
          <w:numId w:val="0"/>
        </w:numPr>
        <w:kinsoku/>
        <w:wordWrap/>
        <w:overflowPunct/>
        <w:topLinePunct w:val="0"/>
        <w:autoSpaceDE/>
        <w:autoSpaceDN/>
        <w:bidi w:val="0"/>
        <w:adjustRightInd/>
        <w:snapToGrid w:val="0"/>
        <w:spacing w:line="440" w:lineRule="exact"/>
        <w:ind w:leftChars="0" w:firstLine="440" w:firstLineChars="200"/>
        <w:textAlignment w:val="auto"/>
        <w:rPr>
          <w:rFonts w:hint="default" w:ascii="宋体" w:hAnsi="宋体" w:eastAsia="宋体" w:cs="宋体"/>
          <w:sz w:val="22"/>
          <w:szCs w:val="22"/>
          <w:highlight w:val="none"/>
          <w:lang w:val="en-US" w:eastAsia="zh-CN"/>
        </w:rPr>
      </w:pPr>
    </w:p>
    <w:p w14:paraId="4257FFAF">
      <w:pPr>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Theme="minorEastAsia" w:hAnsiTheme="minorEastAsia" w:eastAsiaTheme="minorEastAsia" w:cstheme="minorEastAsia"/>
          <w:sz w:val="24"/>
          <w:szCs w:val="24"/>
          <w:highlight w:val="none"/>
          <w:lang w:val="en-US" w:eastAsia="zh-CN"/>
        </w:rPr>
      </w:pPr>
    </w:p>
    <w:p w14:paraId="1B58CD99">
      <w:pPr>
        <w:adjustRightInd w:val="0"/>
        <w:snapToGrid w:val="0"/>
        <w:spacing w:line="360" w:lineRule="auto"/>
        <w:ind w:firstLine="440" w:firstLineChars="200"/>
        <w:rPr>
          <w:rFonts w:hint="eastAsia" w:ascii="宋体" w:hAnsi="宋体" w:eastAsia="宋体" w:cs="Times New Roman"/>
          <w:color w:val="auto"/>
          <w:sz w:val="22"/>
          <w:szCs w:val="22"/>
          <w:highlight w:val="none"/>
        </w:rPr>
      </w:pPr>
      <w:bookmarkStart w:id="152" w:name="_Toc258313653"/>
      <w:bookmarkStart w:id="153" w:name="_Toc300760824"/>
      <w:bookmarkStart w:id="154" w:name="_Toc33625863"/>
      <w:r>
        <w:rPr>
          <w:rFonts w:hint="eastAsia" w:ascii="宋体" w:hAnsi="宋体" w:eastAsia="宋体" w:cs="Times New Roman"/>
          <w:color w:val="auto"/>
          <w:sz w:val="22"/>
          <w:szCs w:val="22"/>
          <w:highlight w:val="none"/>
        </w:rPr>
        <w:br w:type="page"/>
      </w:r>
    </w:p>
    <w:p w14:paraId="75F40C9A">
      <w:pPr>
        <w:adjustRightInd w:val="0"/>
        <w:snapToGrid w:val="0"/>
        <w:spacing w:line="360" w:lineRule="auto"/>
        <w:ind w:firstLine="440" w:firstLineChars="200"/>
        <w:rPr>
          <w:rFonts w:hint="eastAsia" w:ascii="宋体" w:hAnsi="宋体" w:eastAsia="宋体" w:cs="Times New Roman"/>
          <w:color w:val="auto"/>
          <w:sz w:val="22"/>
          <w:szCs w:val="22"/>
          <w:highlight w:val="none"/>
        </w:rPr>
      </w:pPr>
    </w:p>
    <w:p w14:paraId="541C1146">
      <w:pPr>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42" w:firstLineChars="200"/>
        <w:jc w:val="left"/>
        <w:textAlignment w:val="baseline"/>
        <w:rPr>
          <w:rFonts w:hint="eastAsia" w:ascii="宋体" w:hAnsi="宋体" w:eastAsia="宋体" w:cs="宋体"/>
          <w:b/>
          <w:bCs/>
          <w:color w:val="auto"/>
          <w:kern w:val="0"/>
          <w:sz w:val="22"/>
          <w:szCs w:val="22"/>
          <w:highlight w:val="none"/>
          <w:lang w:val="en-US" w:eastAsia="zh-CN" w:bidi="ar-SA"/>
        </w:rPr>
      </w:pPr>
    </w:p>
    <w:p w14:paraId="6ECEEA96">
      <w:pPr>
        <w:keepNext w:val="0"/>
        <w:keepLines w:val="0"/>
        <w:pageBreakBefore w:val="0"/>
        <w:widowControl w:val="0"/>
        <w:kinsoku/>
        <w:overflowPunct/>
        <w:topLinePunct w:val="0"/>
        <w:autoSpaceDE/>
        <w:autoSpaceDN/>
        <w:bidi w:val="0"/>
        <w:adjustRightInd/>
        <w:snapToGrid/>
        <w:spacing w:line="360" w:lineRule="auto"/>
        <w:ind w:left="0" w:leftChars="0" w:firstLine="440" w:firstLineChars="200"/>
        <w:textAlignment w:val="auto"/>
        <w:rPr>
          <w:rFonts w:hint="eastAsia" w:ascii="宋体" w:hAnsi="宋体" w:eastAsia="宋体" w:cs="宋体"/>
          <w:color w:val="auto"/>
          <w:sz w:val="22"/>
          <w:szCs w:val="22"/>
          <w:highlight w:val="none"/>
        </w:rPr>
      </w:pPr>
    </w:p>
    <w:p w14:paraId="1FA31CE9">
      <w:pPr>
        <w:pStyle w:val="28"/>
        <w:spacing w:before="120" w:beforeLines="50" w:after="0" w:line="360" w:lineRule="auto"/>
        <w:outlineLvl w:val="9"/>
        <w:rPr>
          <w:rFonts w:hint="eastAsia" w:cs="Arial"/>
          <w:color w:val="auto"/>
          <w:sz w:val="32"/>
          <w:szCs w:val="22"/>
          <w:highlight w:val="none"/>
        </w:rPr>
      </w:pPr>
    </w:p>
    <w:p w14:paraId="2BE248A5">
      <w:pPr>
        <w:pStyle w:val="28"/>
        <w:spacing w:before="120" w:beforeLines="50" w:after="0" w:line="360" w:lineRule="auto"/>
        <w:outlineLvl w:val="9"/>
        <w:rPr>
          <w:rFonts w:hint="eastAsia" w:cs="Arial"/>
          <w:color w:val="auto"/>
          <w:sz w:val="32"/>
          <w:szCs w:val="22"/>
          <w:highlight w:val="none"/>
        </w:rPr>
      </w:pPr>
    </w:p>
    <w:p w14:paraId="7C3A4AC6">
      <w:pPr>
        <w:pStyle w:val="28"/>
        <w:spacing w:before="120" w:beforeLines="50" w:after="0" w:line="360" w:lineRule="auto"/>
        <w:outlineLvl w:val="9"/>
        <w:rPr>
          <w:rFonts w:hint="eastAsia" w:cs="Arial"/>
          <w:color w:val="auto"/>
          <w:sz w:val="32"/>
          <w:szCs w:val="22"/>
          <w:highlight w:val="none"/>
        </w:rPr>
      </w:pPr>
    </w:p>
    <w:p w14:paraId="06AE304D">
      <w:pPr>
        <w:pStyle w:val="28"/>
        <w:spacing w:before="120" w:beforeLines="50" w:after="0" w:line="360" w:lineRule="auto"/>
        <w:outlineLvl w:val="9"/>
        <w:rPr>
          <w:rFonts w:hint="eastAsia" w:cs="Arial"/>
          <w:color w:val="auto"/>
          <w:sz w:val="32"/>
          <w:szCs w:val="22"/>
          <w:highlight w:val="none"/>
        </w:rPr>
      </w:pPr>
    </w:p>
    <w:p w14:paraId="64FCA625">
      <w:pPr>
        <w:pStyle w:val="28"/>
        <w:spacing w:before="120" w:beforeLines="50" w:after="0" w:line="360" w:lineRule="auto"/>
        <w:outlineLvl w:val="9"/>
        <w:rPr>
          <w:rFonts w:hint="eastAsia" w:cs="Arial"/>
          <w:color w:val="auto"/>
          <w:sz w:val="32"/>
          <w:szCs w:val="22"/>
          <w:highlight w:val="none"/>
        </w:rPr>
      </w:pPr>
    </w:p>
    <w:p w14:paraId="1B13B729">
      <w:pPr>
        <w:pStyle w:val="28"/>
        <w:spacing w:before="120" w:beforeLines="50" w:after="0" w:line="360" w:lineRule="auto"/>
        <w:outlineLvl w:val="9"/>
        <w:rPr>
          <w:rFonts w:hint="eastAsia" w:cs="Arial"/>
          <w:color w:val="auto"/>
          <w:sz w:val="32"/>
          <w:szCs w:val="22"/>
          <w:highlight w:val="none"/>
        </w:rPr>
      </w:pPr>
    </w:p>
    <w:p w14:paraId="7BE1BD8A">
      <w:pPr>
        <w:pStyle w:val="28"/>
        <w:spacing w:before="120" w:beforeLines="50" w:after="0" w:line="360" w:lineRule="auto"/>
        <w:jc w:val="center"/>
        <w:rPr>
          <w:rFonts w:hint="eastAsia" w:cs="Arial"/>
          <w:color w:val="auto"/>
          <w:sz w:val="32"/>
          <w:szCs w:val="22"/>
          <w:highlight w:val="none"/>
        </w:rPr>
      </w:pPr>
      <w:r>
        <w:rPr>
          <w:rFonts w:hint="eastAsia" w:cs="Arial"/>
          <w:color w:val="auto"/>
          <w:sz w:val="32"/>
          <w:szCs w:val="22"/>
          <w:highlight w:val="none"/>
        </w:rPr>
        <w:t>第六章 投标文件格式</w:t>
      </w:r>
      <w:bookmarkEnd w:id="152"/>
      <w:bookmarkEnd w:id="153"/>
      <w:bookmarkEnd w:id="154"/>
    </w:p>
    <w:p w14:paraId="5D32F471">
      <w:pPr>
        <w:pStyle w:val="28"/>
        <w:spacing w:line="400" w:lineRule="exact"/>
        <w:jc w:val="right"/>
        <w:rPr>
          <w:rFonts w:ascii="宋体" w:hAnsi="宋体"/>
          <w:color w:val="auto"/>
          <w:highlight w:val="none"/>
        </w:rPr>
      </w:pPr>
      <w:r>
        <w:rPr>
          <w:rFonts w:ascii="宋体" w:hAnsi="宋体"/>
          <w:color w:val="auto"/>
          <w:highlight w:val="none"/>
        </w:rPr>
        <w:br w:type="page"/>
      </w:r>
      <w:bookmarkStart w:id="155" w:name="_Toc33625864"/>
      <w:r>
        <w:rPr>
          <w:rFonts w:hint="eastAsia" w:ascii="宋体" w:hAnsi="宋体"/>
          <w:b w:val="0"/>
          <w:color w:val="auto"/>
          <w:spacing w:val="30"/>
          <w:sz w:val="36"/>
          <w:highlight w:val="none"/>
        </w:rPr>
        <w:t>封面（格式）</w:t>
      </w:r>
      <w:bookmarkEnd w:id="155"/>
    </w:p>
    <w:tbl>
      <w:tblPr>
        <w:tblStyle w:val="30"/>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766"/>
      </w:tblGrid>
      <w:tr w14:paraId="0ED8289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169" w:hRule="atLeast"/>
          <w:jc w:val="center"/>
        </w:trPr>
        <w:tc>
          <w:tcPr>
            <w:tcW w:w="8766" w:type="dxa"/>
            <w:noWrap w:val="0"/>
            <w:vAlign w:val="top"/>
          </w:tcPr>
          <w:p w14:paraId="0549D046">
            <w:pPr>
              <w:jc w:val="right"/>
              <w:rPr>
                <w:rFonts w:ascii="宋体" w:hAnsi="宋体"/>
                <w:b/>
                <w:color w:val="auto"/>
                <w:spacing w:val="30"/>
                <w:sz w:val="32"/>
                <w:highlight w:val="none"/>
              </w:rPr>
            </w:pPr>
            <w:r>
              <w:rPr>
                <w:rFonts w:hint="eastAsia" w:ascii="宋体" w:hAnsi="宋体"/>
                <w:b/>
                <w:color w:val="auto"/>
                <w:spacing w:val="30"/>
                <w:sz w:val="32"/>
                <w:highlight w:val="none"/>
              </w:rPr>
              <w:t xml:space="preserve">　　　　　　　　　　　　　　 </w:t>
            </w:r>
          </w:p>
          <w:p w14:paraId="00C1025D">
            <w:pPr>
              <w:jc w:val="center"/>
              <w:rPr>
                <w:rFonts w:hint="eastAsia" w:ascii="宋体" w:hAnsi="宋体" w:eastAsia="宋体" w:cs="宋体"/>
                <w:b/>
                <w:color w:val="auto"/>
                <w:spacing w:val="30"/>
                <w:sz w:val="36"/>
                <w:szCs w:val="36"/>
                <w:highlight w:val="none"/>
                <w:lang w:eastAsia="zh-CN"/>
              </w:rPr>
            </w:pPr>
            <w:r>
              <w:rPr>
                <w:rFonts w:hint="eastAsia" w:ascii="宋体" w:hAnsi="宋体" w:cs="宋体"/>
                <w:b/>
                <w:color w:val="auto"/>
                <w:sz w:val="36"/>
                <w:szCs w:val="36"/>
                <w:highlight w:val="none"/>
                <w:lang w:eastAsia="zh-CN"/>
              </w:rPr>
              <w:t>“水运江苏”建设跨江竞技劳动技能竞赛服务项目SYJS-JNJS标段</w:t>
            </w:r>
          </w:p>
          <w:p w14:paraId="01032BA6">
            <w:pPr>
              <w:jc w:val="center"/>
              <w:rPr>
                <w:rFonts w:ascii="宋体" w:hAnsi="宋体"/>
                <w:b/>
                <w:color w:val="auto"/>
                <w:spacing w:val="30"/>
                <w:sz w:val="36"/>
                <w:highlight w:val="none"/>
              </w:rPr>
            </w:pPr>
          </w:p>
          <w:p w14:paraId="7271ED02">
            <w:pPr>
              <w:jc w:val="center"/>
              <w:rPr>
                <w:rFonts w:ascii="宋体" w:hAnsi="宋体"/>
                <w:b/>
                <w:color w:val="auto"/>
                <w:spacing w:val="30"/>
                <w:sz w:val="36"/>
                <w:highlight w:val="none"/>
              </w:rPr>
            </w:pPr>
          </w:p>
          <w:p w14:paraId="6619CBE2">
            <w:pPr>
              <w:jc w:val="center"/>
              <w:rPr>
                <w:rFonts w:ascii="宋体" w:hAnsi="宋体"/>
                <w:b/>
                <w:color w:val="auto"/>
                <w:spacing w:val="30"/>
                <w:sz w:val="36"/>
                <w:highlight w:val="none"/>
              </w:rPr>
            </w:pPr>
          </w:p>
          <w:p w14:paraId="4653A7A5">
            <w:pPr>
              <w:jc w:val="center"/>
              <w:rPr>
                <w:rFonts w:ascii="宋体" w:hAnsi="宋体"/>
                <w:b/>
                <w:color w:val="auto"/>
                <w:spacing w:val="30"/>
                <w:sz w:val="36"/>
                <w:highlight w:val="none"/>
              </w:rPr>
            </w:pPr>
          </w:p>
          <w:p w14:paraId="1B629F81">
            <w:pPr>
              <w:jc w:val="center"/>
              <w:rPr>
                <w:rFonts w:ascii="宋体" w:hAnsi="宋体"/>
                <w:b/>
                <w:color w:val="auto"/>
                <w:spacing w:val="30"/>
                <w:sz w:val="36"/>
                <w:highlight w:val="none"/>
              </w:rPr>
            </w:pPr>
          </w:p>
          <w:p w14:paraId="1644196C">
            <w:pPr>
              <w:jc w:val="center"/>
              <w:rPr>
                <w:rFonts w:ascii="宋体" w:hAnsi="宋体"/>
                <w:b/>
                <w:color w:val="auto"/>
                <w:spacing w:val="30"/>
                <w:sz w:val="36"/>
                <w:highlight w:val="none"/>
              </w:rPr>
            </w:pPr>
          </w:p>
          <w:p w14:paraId="06DBF094">
            <w:pPr>
              <w:spacing w:line="240" w:lineRule="auto"/>
              <w:jc w:val="center"/>
              <w:rPr>
                <w:rFonts w:hint="eastAsia" w:ascii="宋体" w:hAnsi="宋体" w:cs="宋体"/>
                <w:b/>
                <w:color w:val="auto"/>
                <w:sz w:val="72"/>
                <w:highlight w:val="none"/>
              </w:rPr>
            </w:pPr>
            <w:r>
              <w:rPr>
                <w:rFonts w:hint="eastAsia" w:ascii="宋体" w:hAnsi="宋体" w:cs="宋体"/>
                <w:b/>
                <w:color w:val="auto"/>
                <w:sz w:val="72"/>
                <w:highlight w:val="none"/>
              </w:rPr>
              <w:t>投  标  文  件</w:t>
            </w:r>
          </w:p>
          <w:p w14:paraId="54EC0AB7">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第一个信封  商务及技术文件</w:t>
            </w:r>
          </w:p>
          <w:p w14:paraId="5532AB28">
            <w:pPr>
              <w:rPr>
                <w:rFonts w:hint="eastAsia" w:ascii="宋体" w:hAnsi="宋体" w:cs="宋体"/>
                <w:color w:val="auto"/>
                <w:highlight w:val="none"/>
              </w:rPr>
            </w:pPr>
          </w:p>
          <w:p w14:paraId="2ADDD20E">
            <w:pPr>
              <w:rPr>
                <w:rFonts w:hint="eastAsia" w:ascii="宋体" w:hAnsi="宋体" w:cs="宋体"/>
                <w:color w:val="auto"/>
                <w:highlight w:val="none"/>
              </w:rPr>
            </w:pPr>
          </w:p>
          <w:p w14:paraId="71B3E506">
            <w:pPr>
              <w:rPr>
                <w:rFonts w:hint="eastAsia" w:ascii="宋体" w:hAnsi="宋体" w:cs="宋体"/>
                <w:color w:val="auto"/>
                <w:highlight w:val="none"/>
              </w:rPr>
            </w:pPr>
          </w:p>
          <w:p w14:paraId="637B9819">
            <w:pPr>
              <w:rPr>
                <w:rFonts w:hint="eastAsia" w:ascii="宋体" w:hAnsi="宋体" w:cs="宋体"/>
                <w:color w:val="auto"/>
                <w:highlight w:val="none"/>
              </w:rPr>
            </w:pPr>
          </w:p>
          <w:p w14:paraId="733C3628">
            <w:pPr>
              <w:rPr>
                <w:rFonts w:hint="eastAsia" w:ascii="宋体" w:hAnsi="宋体" w:cs="宋体"/>
                <w:color w:val="auto"/>
                <w:sz w:val="36"/>
                <w:highlight w:val="none"/>
              </w:rPr>
            </w:pPr>
          </w:p>
          <w:p w14:paraId="22C0B0A3">
            <w:pPr>
              <w:spacing w:line="360" w:lineRule="auto"/>
              <w:ind w:firstLine="2160" w:firstLineChars="600"/>
              <w:rPr>
                <w:rFonts w:hint="eastAsia" w:ascii="宋体" w:hAnsi="宋体" w:cs="宋体"/>
                <w:color w:val="auto"/>
                <w:sz w:val="36"/>
                <w:highlight w:val="none"/>
                <w:u w:val="single"/>
              </w:rPr>
            </w:pPr>
            <w:r>
              <w:rPr>
                <w:rFonts w:hint="eastAsia" w:ascii="宋体" w:hAnsi="宋体" w:cs="宋体"/>
                <w:color w:val="auto"/>
                <w:sz w:val="36"/>
                <w:highlight w:val="none"/>
              </w:rPr>
              <w:t>投 标 人：</w:t>
            </w:r>
            <w:r>
              <w:rPr>
                <w:rFonts w:hint="eastAsia" w:ascii="宋体" w:hAnsi="宋体" w:cs="宋体"/>
                <w:color w:val="auto"/>
                <w:sz w:val="36"/>
                <w:highlight w:val="none"/>
                <w:u w:val="single"/>
              </w:rPr>
              <w:t xml:space="preserve">   （盖单位章）   </w:t>
            </w:r>
          </w:p>
          <w:p w14:paraId="0D085A08">
            <w:pPr>
              <w:spacing w:line="360" w:lineRule="auto"/>
              <w:jc w:val="center"/>
              <w:rPr>
                <w:rFonts w:hint="default" w:ascii="宋体" w:hAnsi="宋体" w:eastAsia="宋体" w:cs="宋体"/>
                <w:b/>
                <w:color w:val="auto"/>
                <w:sz w:val="30"/>
                <w:highlight w:val="none"/>
                <w:u w:val="single"/>
                <w:lang w:val="en-US" w:eastAsia="zh-CN"/>
              </w:rPr>
            </w:pPr>
            <w:r>
              <w:rPr>
                <w:rFonts w:hint="eastAsia" w:ascii="宋体" w:hAnsi="宋体" w:cs="宋体"/>
                <w:color w:val="auto"/>
                <w:sz w:val="36"/>
                <w:highlight w:val="none"/>
              </w:rPr>
              <w:t xml:space="preserve">  </w:t>
            </w:r>
            <w:r>
              <w:rPr>
                <w:rFonts w:hint="eastAsia" w:ascii="宋体" w:hAnsi="宋体" w:cs="宋体"/>
                <w:color w:val="auto"/>
                <w:sz w:val="36"/>
                <w:highlight w:val="none"/>
                <w:u w:val="single"/>
              </w:rPr>
              <w:t xml:space="preserve">     </w:t>
            </w:r>
            <w:r>
              <w:rPr>
                <w:rFonts w:hint="eastAsia" w:ascii="宋体" w:hAnsi="宋体" w:cs="宋体"/>
                <w:color w:val="auto"/>
                <w:sz w:val="36"/>
                <w:highlight w:val="none"/>
              </w:rPr>
              <w:t>年</w:t>
            </w:r>
            <w:r>
              <w:rPr>
                <w:rFonts w:hint="eastAsia" w:ascii="宋体" w:hAnsi="宋体" w:cs="宋体"/>
                <w:color w:val="auto"/>
                <w:sz w:val="36"/>
                <w:highlight w:val="none"/>
                <w:u w:val="single"/>
              </w:rPr>
              <w:t xml:space="preserve">     </w:t>
            </w:r>
            <w:r>
              <w:rPr>
                <w:rFonts w:hint="eastAsia" w:ascii="宋体" w:hAnsi="宋体" w:cs="宋体"/>
                <w:color w:val="auto"/>
                <w:sz w:val="36"/>
                <w:highlight w:val="none"/>
              </w:rPr>
              <w:t>月</w:t>
            </w:r>
            <w:r>
              <w:rPr>
                <w:rFonts w:hint="eastAsia" w:ascii="宋体" w:hAnsi="宋体" w:cs="宋体"/>
                <w:color w:val="auto"/>
                <w:sz w:val="36"/>
                <w:highlight w:val="none"/>
                <w:u w:val="single"/>
                <w:lang w:val="en-US" w:eastAsia="zh-CN"/>
              </w:rPr>
              <w:t xml:space="preserve">     </w:t>
            </w:r>
            <w:r>
              <w:rPr>
                <w:rFonts w:hint="eastAsia" w:ascii="宋体" w:hAnsi="宋体" w:cs="宋体"/>
                <w:color w:val="auto"/>
                <w:sz w:val="36"/>
                <w:highlight w:val="none"/>
                <w:u w:val="none"/>
                <w:lang w:val="en-US" w:eastAsia="zh-CN"/>
              </w:rPr>
              <w:t>日</w:t>
            </w:r>
          </w:p>
          <w:p w14:paraId="4014C1CC">
            <w:pPr>
              <w:ind w:firstLine="1686" w:firstLineChars="400"/>
              <w:rPr>
                <w:rFonts w:ascii="宋体" w:hAnsi="宋体"/>
                <w:b/>
                <w:color w:val="auto"/>
                <w:spacing w:val="30"/>
                <w:sz w:val="36"/>
                <w:highlight w:val="none"/>
              </w:rPr>
            </w:pPr>
          </w:p>
        </w:tc>
      </w:tr>
    </w:tbl>
    <w:p w14:paraId="7657643C">
      <w:pPr>
        <w:spacing w:before="120" w:beforeLines="50" w:line="360" w:lineRule="auto"/>
        <w:jc w:val="center"/>
        <w:rPr>
          <w:rFonts w:ascii="宋体" w:hAnsi="宋体"/>
          <w:color w:val="auto"/>
          <w:highlight w:val="none"/>
        </w:rPr>
      </w:pPr>
    </w:p>
    <w:p w14:paraId="07BF1FE5">
      <w:pPr>
        <w:spacing w:before="120" w:beforeLines="50" w:line="24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目</w:t>
      </w:r>
      <w:r>
        <w:rPr>
          <w:rFonts w:hint="eastAsia" w:ascii="宋体" w:hAnsi="宋体"/>
          <w:b/>
          <w:color w:val="auto"/>
          <w:sz w:val="32"/>
          <w:szCs w:val="32"/>
          <w:highlight w:val="none"/>
          <w:lang w:val="en-US" w:eastAsia="zh-CN"/>
        </w:rPr>
        <w:t xml:space="preserve"> </w:t>
      </w:r>
      <w:r>
        <w:rPr>
          <w:rFonts w:hint="eastAsia" w:ascii="宋体" w:hAnsi="宋体"/>
          <w:b/>
          <w:color w:val="auto"/>
          <w:sz w:val="32"/>
          <w:szCs w:val="32"/>
          <w:highlight w:val="none"/>
        </w:rPr>
        <w:t>录</w:t>
      </w:r>
    </w:p>
    <w:p w14:paraId="20F4BC55">
      <w:pPr>
        <w:spacing w:before="120" w:beforeLines="50" w:line="240" w:lineRule="auto"/>
        <w:jc w:val="center"/>
        <w:rPr>
          <w:rFonts w:ascii="宋体" w:hAnsi="宋体"/>
          <w:color w:val="auto"/>
          <w:sz w:val="32"/>
          <w:szCs w:val="32"/>
          <w:highlight w:val="none"/>
        </w:rPr>
      </w:pPr>
    </w:p>
    <w:p w14:paraId="64FD7046">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r>
        <w:rPr>
          <w:rFonts w:hint="eastAsia" w:ascii="宋体" w:hAnsi="宋体"/>
          <w:b w:val="0"/>
          <w:bCs w:val="0"/>
          <w:color w:val="auto"/>
          <w:sz w:val="24"/>
          <w:highlight w:val="none"/>
        </w:rPr>
        <w:t>一  投标函</w:t>
      </w:r>
    </w:p>
    <w:p w14:paraId="37E98835">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r>
        <w:rPr>
          <w:rFonts w:hint="eastAsia" w:ascii="宋体" w:hAnsi="宋体"/>
          <w:b w:val="0"/>
          <w:bCs w:val="0"/>
          <w:color w:val="auto"/>
          <w:sz w:val="24"/>
          <w:highlight w:val="none"/>
        </w:rPr>
        <w:t>二  法定代表人身份证明</w:t>
      </w:r>
      <w:r>
        <w:rPr>
          <w:rFonts w:hint="eastAsia" w:ascii="宋体" w:hAnsi="宋体"/>
          <w:b w:val="0"/>
          <w:bCs w:val="0"/>
          <w:color w:val="auto"/>
          <w:sz w:val="24"/>
          <w:highlight w:val="none"/>
          <w:lang w:val="en-US" w:eastAsia="zh-CN"/>
        </w:rPr>
        <w:t>及</w:t>
      </w:r>
      <w:r>
        <w:rPr>
          <w:rFonts w:hint="eastAsia" w:ascii="宋体" w:hAnsi="宋体"/>
          <w:b w:val="0"/>
          <w:bCs w:val="0"/>
          <w:color w:val="auto"/>
          <w:sz w:val="24"/>
          <w:highlight w:val="none"/>
        </w:rPr>
        <w:t>授权委托书</w:t>
      </w:r>
    </w:p>
    <w:p w14:paraId="0A07F252">
      <w:pPr>
        <w:pStyle w:val="95"/>
        <w:spacing w:before="120" w:beforeLines="50" w:after="120" w:afterLines="50" w:line="360" w:lineRule="auto"/>
        <w:ind w:left="562" w:hanging="562"/>
        <w:jc w:val="left"/>
        <w:outlineLvl w:val="9"/>
        <w:rPr>
          <w:rFonts w:ascii="宋体" w:hAnsi="宋体"/>
          <w:b w:val="0"/>
          <w:bCs w:val="0"/>
          <w:color w:val="auto"/>
          <w:sz w:val="24"/>
          <w:highlight w:val="none"/>
        </w:rPr>
      </w:pPr>
      <w:r>
        <w:rPr>
          <w:rFonts w:hint="eastAsia" w:ascii="宋体" w:hAnsi="宋体"/>
          <w:b w:val="0"/>
          <w:bCs w:val="0"/>
          <w:color w:val="auto"/>
          <w:sz w:val="24"/>
          <w:highlight w:val="none"/>
          <w:lang w:val="en-US" w:eastAsia="zh-CN"/>
        </w:rPr>
        <w:t>三</w:t>
      </w:r>
      <w:r>
        <w:rPr>
          <w:rFonts w:hint="eastAsia" w:ascii="宋体" w:hAnsi="宋体"/>
          <w:b w:val="0"/>
          <w:bCs w:val="0"/>
          <w:color w:val="auto"/>
          <w:sz w:val="24"/>
          <w:highlight w:val="none"/>
        </w:rPr>
        <w:t xml:space="preserve">  资格审查资料</w:t>
      </w:r>
    </w:p>
    <w:p w14:paraId="0E570D0C">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r>
        <w:rPr>
          <w:rFonts w:hint="eastAsia" w:ascii="宋体" w:hAnsi="宋体"/>
          <w:b w:val="0"/>
          <w:bCs w:val="0"/>
          <w:color w:val="auto"/>
          <w:sz w:val="24"/>
          <w:highlight w:val="none"/>
          <w:lang w:val="en-US" w:eastAsia="zh-CN"/>
        </w:rPr>
        <w:t>四</w:t>
      </w:r>
      <w:r>
        <w:rPr>
          <w:rFonts w:hint="eastAsia" w:ascii="宋体" w:hAnsi="宋体"/>
          <w:b w:val="0"/>
          <w:bCs w:val="0"/>
          <w:color w:val="auto"/>
          <w:sz w:val="24"/>
          <w:highlight w:val="none"/>
        </w:rPr>
        <w:t xml:space="preserve">  承诺书</w:t>
      </w:r>
    </w:p>
    <w:p w14:paraId="07759F1F">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r>
        <w:rPr>
          <w:rFonts w:hint="eastAsia" w:ascii="宋体" w:hAnsi="宋体"/>
          <w:b w:val="0"/>
          <w:bCs w:val="0"/>
          <w:color w:val="auto"/>
          <w:sz w:val="24"/>
          <w:highlight w:val="none"/>
          <w:lang w:val="en-US" w:eastAsia="zh-CN"/>
        </w:rPr>
        <w:t>五</w:t>
      </w:r>
      <w:r>
        <w:rPr>
          <w:rFonts w:hint="eastAsia" w:ascii="宋体" w:hAnsi="宋体"/>
          <w:b w:val="0"/>
          <w:bCs w:val="0"/>
          <w:color w:val="auto"/>
          <w:sz w:val="24"/>
          <w:highlight w:val="none"/>
        </w:rPr>
        <w:t xml:space="preserve">  工作大纲</w:t>
      </w:r>
    </w:p>
    <w:p w14:paraId="7EEE4916">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r>
        <w:rPr>
          <w:rFonts w:hint="eastAsia" w:ascii="宋体" w:hAnsi="宋体"/>
          <w:b w:val="0"/>
          <w:bCs w:val="0"/>
          <w:color w:val="auto"/>
          <w:sz w:val="24"/>
          <w:highlight w:val="none"/>
          <w:lang w:val="en-US" w:eastAsia="zh-CN"/>
        </w:rPr>
        <w:t>六</w:t>
      </w:r>
      <w:r>
        <w:rPr>
          <w:rFonts w:hint="eastAsia" w:ascii="宋体" w:hAnsi="宋体"/>
          <w:b w:val="0"/>
          <w:bCs w:val="0"/>
          <w:color w:val="auto"/>
          <w:sz w:val="24"/>
          <w:highlight w:val="none"/>
        </w:rPr>
        <w:t xml:space="preserve">  其他材料</w:t>
      </w:r>
    </w:p>
    <w:p w14:paraId="4AE6314E">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p>
    <w:p w14:paraId="5012D8E7">
      <w:pPr>
        <w:pStyle w:val="95"/>
        <w:spacing w:before="120" w:beforeLines="50" w:after="120" w:afterLines="50" w:line="360" w:lineRule="auto"/>
        <w:ind w:left="562" w:hanging="562"/>
        <w:jc w:val="left"/>
        <w:outlineLvl w:val="9"/>
        <w:rPr>
          <w:rFonts w:hint="eastAsia" w:ascii="宋体" w:hAnsi="宋体"/>
          <w:b w:val="0"/>
          <w:bCs w:val="0"/>
          <w:color w:val="auto"/>
          <w:sz w:val="24"/>
          <w:highlight w:val="none"/>
        </w:rPr>
      </w:pPr>
    </w:p>
    <w:p w14:paraId="57C2B6B4">
      <w:pPr>
        <w:pStyle w:val="95"/>
        <w:keepNext/>
        <w:keepLines/>
        <w:pageBreakBefore w:val="0"/>
        <w:widowControl w:val="0"/>
        <w:kinsoku/>
        <w:wordWrap/>
        <w:overflowPunct/>
        <w:topLinePunct w:val="0"/>
        <w:autoSpaceDE/>
        <w:autoSpaceDN/>
        <w:bidi w:val="0"/>
        <w:adjustRightInd/>
        <w:snapToGrid/>
        <w:spacing w:before="120" w:beforeLines="50" w:after="120" w:afterLines="50" w:line="360" w:lineRule="auto"/>
        <w:ind w:left="0" w:firstLine="0"/>
        <w:jc w:val="center"/>
        <w:textAlignment w:val="auto"/>
        <w:rPr>
          <w:color w:val="auto"/>
          <w:highlight w:val="none"/>
        </w:rPr>
      </w:pPr>
      <w:r>
        <w:rPr>
          <w:rFonts w:ascii="宋体" w:hAnsi="宋体"/>
          <w:color w:val="auto"/>
          <w:highlight w:val="none"/>
        </w:rPr>
        <w:br w:type="page"/>
      </w:r>
      <w:bookmarkStart w:id="156" w:name="_Toc436730370"/>
      <w:bookmarkStart w:id="157" w:name="_Toc372633022"/>
      <w:bookmarkStart w:id="158" w:name="_Toc33625865"/>
      <w:r>
        <w:rPr>
          <w:rFonts w:hint="eastAsia"/>
          <w:color w:val="auto"/>
          <w:highlight w:val="none"/>
        </w:rPr>
        <w:t>一、投标函</w:t>
      </w:r>
      <w:bookmarkEnd w:id="156"/>
      <w:bookmarkEnd w:id="157"/>
      <w:bookmarkEnd w:id="158"/>
    </w:p>
    <w:p w14:paraId="17D1E512">
      <w:pPr>
        <w:spacing w:line="360" w:lineRule="auto"/>
        <w:rPr>
          <w:rFonts w:hint="eastAsia" w:ascii="宋体" w:hAnsi="宋体" w:eastAsia="宋体" w:cs="宋体"/>
          <w:snapToGrid w:val="0"/>
          <w:color w:val="auto"/>
          <w:kern w:val="0"/>
          <w:sz w:val="21"/>
          <w:szCs w:val="21"/>
          <w:highlight w:val="none"/>
          <w:u w:val="single"/>
          <w:lang w:eastAsia="zh-CN"/>
        </w:rPr>
      </w:pPr>
      <w:r>
        <w:rPr>
          <w:rFonts w:hint="eastAsia" w:ascii="宋体" w:hAnsi="宋体" w:cs="宋体"/>
          <w:snapToGrid w:val="0"/>
          <w:color w:val="auto"/>
          <w:kern w:val="0"/>
          <w:sz w:val="21"/>
          <w:szCs w:val="21"/>
          <w:highlight w:val="none"/>
        </w:rPr>
        <w:t>致：</w:t>
      </w:r>
      <w:r>
        <w:rPr>
          <w:rFonts w:hint="eastAsia" w:ascii="宋体" w:hAnsi="宋体" w:cs="宋体"/>
          <w:snapToGrid w:val="0"/>
          <w:color w:val="auto"/>
          <w:kern w:val="0"/>
          <w:sz w:val="21"/>
          <w:szCs w:val="21"/>
          <w:highlight w:val="none"/>
          <w:u w:val="single"/>
          <w:lang w:eastAsia="zh-CN"/>
        </w:rPr>
        <w:t>南通市江海河联运项目建设指挥部</w:t>
      </w:r>
    </w:p>
    <w:p w14:paraId="148A89C7">
      <w:pPr>
        <w:wordWrap w:val="0"/>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1、我方在仔细研究了</w:t>
      </w:r>
      <w:r>
        <w:rPr>
          <w:rFonts w:hint="eastAsia" w:ascii="宋体" w:hAnsi="宋体" w:cs="宋体"/>
          <w:bCs/>
          <w:color w:val="auto"/>
          <w:sz w:val="21"/>
          <w:szCs w:val="21"/>
          <w:highlight w:val="none"/>
          <w:u w:val="single"/>
          <w:lang w:eastAsia="zh-CN"/>
        </w:rPr>
        <w:t>“水运江苏”建设跨江竞技劳动技能竞赛服务项目SYJS-JNJS标段</w:t>
      </w:r>
      <w:r>
        <w:rPr>
          <w:rFonts w:hint="eastAsia" w:ascii="宋体" w:hAnsi="宋体" w:cs="宋体"/>
          <w:color w:val="auto"/>
          <w:sz w:val="21"/>
          <w:szCs w:val="21"/>
          <w:highlight w:val="none"/>
        </w:rPr>
        <w:t>的招标文件并了解该项目基本情况后</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决定参加该项目投标。在此郑重表示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我们愿意按照招标文件确定的投入力量和工作方案、遵照招标文件规定的责任和义务、并以投标文件第二个信封报价函上的投标总价</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承担本项目的服务工作。</w:t>
      </w:r>
    </w:p>
    <w:p w14:paraId="4A9E99BE">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2、我单位一旦中标</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将保证按本投标文件配备的人员提供服务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即</w:t>
      </w:r>
    </w:p>
    <w:p w14:paraId="4422085C">
      <w:pPr>
        <w:spacing w:line="360" w:lineRule="auto"/>
        <w:ind w:firstLine="422" w:firstLineChars="200"/>
        <w:rPr>
          <w:rFonts w:hint="eastAsia" w:ascii="宋体" w:hAnsi="宋体" w:cs="宋体"/>
          <w:color w:val="auto"/>
          <w:sz w:val="21"/>
          <w:szCs w:val="21"/>
          <w:highlight w:val="none"/>
        </w:rPr>
      </w:pPr>
      <w:r>
        <w:rPr>
          <w:rFonts w:hint="eastAsia" w:ascii="宋体" w:hAnsi="宋体" w:cs="宋体"/>
          <w:b/>
          <w:bCs/>
          <w:color w:val="auto"/>
          <w:sz w:val="21"/>
          <w:szCs w:val="21"/>
          <w:highlight w:val="none"/>
        </w:rPr>
        <w:t xml:space="preserve">（1）项目负责人：_____________ </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rPr>
        <w:t>身份证号为（</w:t>
      </w:r>
      <w:r>
        <w:rPr>
          <w:rFonts w:hint="eastAsia"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rPr>
        <w:t>）；</w:t>
      </w:r>
    </w:p>
    <w:p w14:paraId="2B413342">
      <w:pPr>
        <w:adjustRightInd w:val="0"/>
        <w:snapToGrid w:val="0"/>
        <w:spacing w:line="360" w:lineRule="auto"/>
        <w:ind w:firstLine="420" w:firstLineChars="200"/>
        <w:rPr>
          <w:rFonts w:hint="eastAsia" w:ascii="宋体" w:hAnsi="宋体" w:cs="宋体"/>
          <w:b/>
          <w:color w:val="auto"/>
          <w:sz w:val="21"/>
          <w:szCs w:val="21"/>
          <w:highlight w:val="none"/>
        </w:rPr>
      </w:pPr>
      <w:r>
        <w:rPr>
          <w:rFonts w:hint="eastAsia" w:ascii="宋体" w:hAnsi="宋体" w:cs="宋体"/>
          <w:color w:val="auto"/>
          <w:sz w:val="21"/>
          <w:szCs w:val="21"/>
          <w:highlight w:val="none"/>
        </w:rPr>
        <w:t>3、</w:t>
      </w:r>
      <w:r>
        <w:rPr>
          <w:rFonts w:hint="eastAsia" w:ascii="宋体" w:hAnsi="宋体" w:cs="宋体"/>
          <w:b w:val="0"/>
          <w:bCs w:val="0"/>
          <w:color w:val="auto"/>
          <w:sz w:val="21"/>
          <w:szCs w:val="21"/>
          <w:highlight w:val="none"/>
          <w:lang w:eastAsia="zh-CN"/>
        </w:rPr>
        <w:t>服务周期</w:t>
      </w:r>
      <w:r>
        <w:rPr>
          <w:rFonts w:hint="eastAsia" w:ascii="宋体" w:hAnsi="宋体" w:cs="宋体"/>
          <w:b w:val="0"/>
          <w:bCs w:val="0"/>
          <w:color w:val="auto"/>
          <w:sz w:val="21"/>
          <w:szCs w:val="21"/>
          <w:highlight w:val="none"/>
        </w:rPr>
        <w:t>：</w:t>
      </w:r>
      <w:r>
        <w:rPr>
          <w:rFonts w:hint="eastAsia" w:ascii="宋体" w:hAnsi="宋体" w:cs="宋体"/>
          <w:b w:val="0"/>
          <w:bCs w:val="0"/>
          <w:color w:val="auto"/>
          <w:sz w:val="21"/>
          <w:szCs w:val="21"/>
          <w:highlight w:val="none"/>
          <w:u w:val="single"/>
          <w:lang w:val="en-US" w:eastAsia="zh-CN"/>
        </w:rPr>
        <w:t>满足招标文件规定</w:t>
      </w:r>
      <w:r>
        <w:rPr>
          <w:rFonts w:hint="eastAsia" w:ascii="宋体" w:hAnsi="宋体" w:cs="宋体"/>
          <w:b w:val="0"/>
          <w:bCs w:val="0"/>
          <w:color w:val="auto"/>
          <w:sz w:val="21"/>
          <w:szCs w:val="21"/>
          <w:highlight w:val="none"/>
          <w:u w:val="single"/>
        </w:rPr>
        <w:t>。</w:t>
      </w:r>
    </w:p>
    <w:p w14:paraId="1BF18F2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4、我方同意所递交的投标文件在“投标人须知”规定的投标有效期内有效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在此期限届满之前</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本投标函将始终对我方具有约束力</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并随时接受中标。</w:t>
      </w:r>
    </w:p>
    <w:p w14:paraId="6C4FFEF2">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5、如果你单位接受我们的投标文件</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我们保证按照投标文件的约定及时与你方按招标文件中服务合同的格式及内容签署服务合同。</w:t>
      </w:r>
    </w:p>
    <w:p w14:paraId="369160C8">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6、除非另外达成协议并生效</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你方的招标文件、中标通知书和本投标文件将构成约束我们双方的合同。</w:t>
      </w:r>
    </w:p>
    <w:p w14:paraId="59611B5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（其他补充说明）。</w:t>
      </w:r>
    </w:p>
    <w:p w14:paraId="627804B1">
      <w:pPr>
        <w:spacing w:line="360" w:lineRule="auto"/>
        <w:ind w:firstLine="420" w:firstLineChars="200"/>
        <w:rPr>
          <w:rFonts w:hint="eastAsia" w:ascii="宋体" w:hAnsi="宋体" w:cs="宋体"/>
          <w:snapToGrid w:val="0"/>
          <w:color w:val="auto"/>
          <w:kern w:val="0"/>
          <w:sz w:val="21"/>
          <w:szCs w:val="21"/>
          <w:highlight w:val="none"/>
        </w:rPr>
      </w:pPr>
    </w:p>
    <w:p w14:paraId="0A789A10">
      <w:pPr>
        <w:spacing w:line="360" w:lineRule="auto"/>
        <w:ind w:firstLine="420" w:firstLineChars="200"/>
        <w:jc w:val="righ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投标人名称：</w:t>
      </w:r>
      <w:r>
        <w:rPr>
          <w:rFonts w:hint="eastAsia" w:ascii="宋体" w:hAnsi="宋体" w:cs="宋体"/>
          <w:color w:val="auto"/>
          <w:sz w:val="21"/>
          <w:szCs w:val="21"/>
          <w:highlight w:val="none"/>
          <w:u w:val="single"/>
        </w:rPr>
        <w:t xml:space="preserve">    （全称）（盖章）    </w:t>
      </w:r>
    </w:p>
    <w:p w14:paraId="570F9BC6">
      <w:pPr>
        <w:spacing w:line="360" w:lineRule="auto"/>
        <w:ind w:firstLine="420" w:firstLineChars="2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法定代表人或其授权代理人：</w:t>
      </w:r>
      <w:r>
        <w:rPr>
          <w:rFonts w:hint="eastAsia" w:ascii="宋体" w:hAnsi="宋体" w:cs="宋体"/>
          <w:color w:val="auto"/>
          <w:sz w:val="21"/>
          <w:szCs w:val="21"/>
          <w:highlight w:val="none"/>
          <w:u w:val="single"/>
        </w:rPr>
        <w:t xml:space="preserve">   （签字</w:t>
      </w:r>
      <w:r>
        <w:rPr>
          <w:rFonts w:hint="eastAsia" w:ascii="宋体" w:hAnsi="宋体" w:cs="宋体"/>
          <w:color w:val="auto"/>
          <w:sz w:val="21"/>
          <w:szCs w:val="21"/>
          <w:highlight w:val="none"/>
          <w:u w:val="single"/>
          <w:lang w:val="en-US" w:eastAsia="zh-CN"/>
        </w:rPr>
        <w:t>或签章</w:t>
      </w:r>
      <w:r>
        <w:rPr>
          <w:rFonts w:hint="eastAsia" w:ascii="宋体" w:hAnsi="宋体" w:cs="宋体"/>
          <w:color w:val="auto"/>
          <w:sz w:val="21"/>
          <w:szCs w:val="21"/>
          <w:highlight w:val="none"/>
          <w:u w:val="single"/>
        </w:rPr>
        <w:t xml:space="preserve">） </w:t>
      </w:r>
    </w:p>
    <w:p w14:paraId="52002B64">
      <w:pPr>
        <w:spacing w:line="360" w:lineRule="auto"/>
        <w:ind w:firstLine="420" w:firstLineChars="200"/>
        <w:jc w:val="right"/>
        <w:rPr>
          <w:rFonts w:hint="eastAsia" w:ascii="宋体" w:hAnsi="宋体" w:cs="宋体"/>
          <w:color w:val="auto"/>
          <w:sz w:val="21"/>
          <w:szCs w:val="21"/>
          <w:highlight w:val="none"/>
        </w:rPr>
        <w:sectPr>
          <w:headerReference r:id="rId8" w:type="default"/>
          <w:footerReference r:id="rId9" w:type="default"/>
          <w:pgSz w:w="11906" w:h="16838"/>
          <w:pgMar w:top="1361" w:right="1361" w:bottom="1361" w:left="1361" w:header="850" w:footer="964" w:gutter="170"/>
          <w:pgNumType w:fmt="decimal"/>
          <w:cols w:space="720" w:num="1"/>
          <w:docGrid w:linePitch="381" w:charSpace="0"/>
        </w:sectPr>
      </w:pPr>
      <w:r>
        <w:rPr>
          <w:rFonts w:hint="eastAsia" w:ascii="宋体" w:hAnsi="宋体" w:cs="宋体"/>
          <w:color w:val="auto"/>
          <w:sz w:val="21"/>
          <w:szCs w:val="21"/>
          <w:highlight w:val="none"/>
        </w:rPr>
        <w:t>日期：_____年___月___日</w:t>
      </w:r>
      <w:bookmarkStart w:id="159" w:name="_Toc258313656"/>
      <w:bookmarkStart w:id="160" w:name="_Toc255930403"/>
    </w:p>
    <w:p w14:paraId="0E2C4135">
      <w:pPr>
        <w:pStyle w:val="95"/>
        <w:keepNext/>
        <w:keepLines/>
        <w:pageBreakBefore w:val="0"/>
        <w:widowControl w:val="0"/>
        <w:kinsoku/>
        <w:wordWrap/>
        <w:overflowPunct/>
        <w:topLinePunct w:val="0"/>
        <w:autoSpaceDE/>
        <w:autoSpaceDN/>
        <w:bidi w:val="0"/>
        <w:adjustRightInd/>
        <w:snapToGrid/>
        <w:spacing w:before="0" w:line="360" w:lineRule="auto"/>
        <w:ind w:left="0" w:firstLine="0"/>
        <w:textAlignment w:val="auto"/>
        <w:rPr>
          <w:color w:val="auto"/>
          <w:highlight w:val="none"/>
        </w:rPr>
      </w:pPr>
      <w:r>
        <w:rPr>
          <w:color w:val="auto"/>
          <w:highlight w:val="none"/>
        </w:rPr>
        <w:t>二、法定代表人身份证明及授权委托书</w:t>
      </w:r>
    </w:p>
    <w:p w14:paraId="253987D9">
      <w:pPr>
        <w:spacing w:line="360" w:lineRule="auto"/>
        <w:jc w:val="center"/>
        <w:rPr>
          <w:b/>
          <w:color w:val="auto"/>
          <w:sz w:val="32"/>
          <w:szCs w:val="32"/>
          <w:highlight w:val="none"/>
        </w:rPr>
      </w:pPr>
      <w:r>
        <w:rPr>
          <w:color w:val="auto"/>
          <w:sz w:val="32"/>
          <w:szCs w:val="32"/>
          <w:highlight w:val="none"/>
        </w:rPr>
        <w:t xml:space="preserve"> </w:t>
      </w:r>
      <w:r>
        <w:rPr>
          <w:b/>
          <w:color w:val="auto"/>
          <w:sz w:val="32"/>
          <w:szCs w:val="32"/>
          <w:highlight w:val="none"/>
        </w:rPr>
        <w:t xml:space="preserve"> </w:t>
      </w:r>
    </w:p>
    <w:p w14:paraId="4286D338">
      <w:pPr>
        <w:spacing w:line="360" w:lineRule="auto"/>
        <w:jc w:val="center"/>
        <w:rPr>
          <w:b/>
          <w:color w:val="auto"/>
          <w:sz w:val="24"/>
          <w:highlight w:val="none"/>
        </w:rPr>
      </w:pPr>
      <w:r>
        <w:rPr>
          <w:b/>
          <w:color w:val="auto"/>
          <w:sz w:val="24"/>
          <w:highlight w:val="none"/>
        </w:rPr>
        <w:t>（一）法定代表人身份证明</w:t>
      </w:r>
    </w:p>
    <w:p w14:paraId="4C9C9E22">
      <w:pPr>
        <w:spacing w:line="340" w:lineRule="exact"/>
        <w:jc w:val="right"/>
        <w:rPr>
          <w:color w:val="auto"/>
          <w:sz w:val="24"/>
          <w:highlight w:val="none"/>
        </w:rPr>
      </w:pPr>
    </w:p>
    <w:p w14:paraId="2FC6F639">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投标人名称：_____________________</w:t>
      </w:r>
    </w:p>
    <w:p w14:paraId="4CA33E06">
      <w:pPr>
        <w:spacing w:line="360" w:lineRule="auto"/>
        <w:ind w:firstLine="420" w:firstLineChars="200"/>
        <w:rPr>
          <w:rFonts w:hint="eastAsia" w:ascii="宋体" w:hAnsi="宋体" w:cs="宋体"/>
          <w:b/>
          <w:bCs/>
          <w:color w:val="auto"/>
          <w:sz w:val="32"/>
          <w:szCs w:val="32"/>
          <w:highlight w:val="none"/>
          <w:u w:val="single"/>
        </w:rPr>
      </w:pPr>
      <w:r>
        <w:rPr>
          <w:rFonts w:hint="eastAsia" w:ascii="宋体" w:hAnsi="宋体" w:cs="宋体"/>
          <w:color w:val="auto"/>
          <w:sz w:val="21"/>
          <w:szCs w:val="21"/>
          <w:highlight w:val="none"/>
        </w:rPr>
        <w:t>姓名：</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b/>
          <w:bCs/>
          <w:color w:val="auto"/>
          <w:sz w:val="32"/>
          <w:szCs w:val="32"/>
          <w:highlight w:val="none"/>
          <w:u w:val="single"/>
        </w:rPr>
        <w:t>（签字</w:t>
      </w:r>
      <w:r>
        <w:rPr>
          <w:rFonts w:hint="eastAsia" w:ascii="宋体" w:hAnsi="宋体" w:cs="宋体"/>
          <w:b/>
          <w:bCs/>
          <w:color w:val="auto"/>
          <w:sz w:val="32"/>
          <w:szCs w:val="32"/>
          <w:highlight w:val="none"/>
          <w:u w:val="single"/>
          <w:lang w:val="en-US" w:eastAsia="zh-CN"/>
        </w:rPr>
        <w:t>或签章</w:t>
      </w:r>
      <w:r>
        <w:rPr>
          <w:rFonts w:hint="eastAsia" w:ascii="宋体" w:hAnsi="宋体" w:cs="宋体"/>
          <w:b/>
          <w:bCs/>
          <w:color w:val="auto"/>
          <w:sz w:val="32"/>
          <w:szCs w:val="32"/>
          <w:highlight w:val="none"/>
          <w:u w:val="single"/>
        </w:rPr>
        <w:t>）</w:t>
      </w:r>
    </w:p>
    <w:p w14:paraId="51C43F3F">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性别：____年龄：_____职务：_____</w:t>
      </w:r>
    </w:p>
    <w:p w14:paraId="07E64A77">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系_________（投标人名称）的法定代表人。</w:t>
      </w:r>
    </w:p>
    <w:p w14:paraId="032080E5">
      <w:pPr>
        <w:spacing w:line="360" w:lineRule="auto"/>
        <w:rPr>
          <w:rFonts w:hint="eastAsia" w:ascii="宋体" w:hAnsi="宋体" w:cs="宋体"/>
          <w:color w:val="auto"/>
          <w:sz w:val="21"/>
          <w:szCs w:val="21"/>
          <w:highlight w:val="none"/>
        </w:rPr>
      </w:pPr>
    </w:p>
    <w:p w14:paraId="4CC386F2">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特此证明。</w:t>
      </w:r>
    </w:p>
    <w:p w14:paraId="2902D6A0">
      <w:pPr>
        <w:spacing w:line="360" w:lineRule="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附：法定代表人身份证复印件（双面）。</w:t>
      </w:r>
    </w:p>
    <w:p w14:paraId="5D1160DB">
      <w:pPr>
        <w:spacing w:line="360" w:lineRule="auto"/>
        <w:rPr>
          <w:rFonts w:hint="eastAsia" w:ascii="宋体" w:hAnsi="宋体" w:cs="宋体"/>
          <w:color w:val="auto"/>
          <w:sz w:val="21"/>
          <w:szCs w:val="21"/>
          <w:highlight w:val="none"/>
        </w:rPr>
      </w:pPr>
    </w:p>
    <w:p w14:paraId="3D1F7C8E">
      <w:pPr>
        <w:spacing w:line="360" w:lineRule="auto"/>
        <w:rPr>
          <w:rFonts w:hint="eastAsia" w:ascii="宋体" w:hAnsi="宋体" w:cs="宋体"/>
          <w:color w:val="auto"/>
          <w:sz w:val="21"/>
          <w:szCs w:val="21"/>
          <w:highlight w:val="none"/>
        </w:rPr>
      </w:pPr>
    </w:p>
    <w:p w14:paraId="585B797F">
      <w:pPr>
        <w:spacing w:line="360" w:lineRule="auto"/>
        <w:jc w:val="right"/>
        <w:rPr>
          <w:rFonts w:hint="eastAsia" w:ascii="宋体" w:hAnsi="宋体" w:cs="宋体"/>
          <w:color w:val="auto"/>
          <w:sz w:val="21"/>
          <w:szCs w:val="21"/>
          <w:highlight w:val="none"/>
        </w:rPr>
      </w:pPr>
    </w:p>
    <w:p w14:paraId="6189FBFD">
      <w:pPr>
        <w:spacing w:line="360" w:lineRule="auto"/>
        <w:jc w:val="right"/>
        <w:rPr>
          <w:rFonts w:hint="eastAsia" w:ascii="宋体" w:hAnsi="宋体" w:cs="宋体"/>
          <w:color w:val="auto"/>
          <w:sz w:val="21"/>
          <w:szCs w:val="21"/>
          <w:highlight w:val="none"/>
        </w:rPr>
      </w:pPr>
    </w:p>
    <w:p w14:paraId="42CA25D2">
      <w:pPr>
        <w:spacing w:line="360" w:lineRule="auto"/>
        <w:jc w:val="right"/>
        <w:rPr>
          <w:rFonts w:hint="eastAsia" w:ascii="宋体" w:hAnsi="宋体" w:cs="宋体"/>
          <w:color w:val="auto"/>
          <w:sz w:val="21"/>
          <w:szCs w:val="21"/>
          <w:highlight w:val="none"/>
        </w:rPr>
      </w:pPr>
    </w:p>
    <w:p w14:paraId="6148560B">
      <w:pPr>
        <w:spacing w:line="360" w:lineRule="auto"/>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投标人：___________________（盖单位章）</w:t>
      </w:r>
    </w:p>
    <w:p w14:paraId="566A6421">
      <w:pPr>
        <w:spacing w:line="360" w:lineRule="auto"/>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______年_____月_______日</w:t>
      </w:r>
    </w:p>
    <w:p w14:paraId="4F2853FC">
      <w:pPr>
        <w:spacing w:line="360" w:lineRule="auto"/>
        <w:jc w:val="right"/>
        <w:rPr>
          <w:color w:val="auto"/>
          <w:sz w:val="21"/>
          <w:szCs w:val="21"/>
          <w:highlight w:val="none"/>
        </w:rPr>
      </w:pPr>
    </w:p>
    <w:p w14:paraId="196B2C91">
      <w:pPr>
        <w:spacing w:line="360" w:lineRule="auto"/>
        <w:jc w:val="left"/>
        <w:rPr>
          <w:rFonts w:hint="eastAsia" w:ascii="宋体" w:hAnsi="宋体" w:cs="宋体"/>
          <w:color w:val="auto"/>
          <w:sz w:val="21"/>
          <w:szCs w:val="21"/>
          <w:highlight w:val="none"/>
        </w:rPr>
      </w:pPr>
      <w:r>
        <w:rPr>
          <w:rFonts w:hint="eastAsia" w:ascii="宋体" w:hAnsi="宋体" w:cs="宋体"/>
          <w:b/>
          <w:color w:val="auto"/>
          <w:sz w:val="21"/>
          <w:szCs w:val="21"/>
          <w:highlight w:val="none"/>
          <w:lang w:val="en-US" w:eastAsia="zh-CN"/>
        </w:rPr>
        <w:t>注：</w:t>
      </w:r>
      <w:r>
        <w:rPr>
          <w:rFonts w:hint="eastAsia" w:ascii="宋体" w:hAnsi="宋体" w:cs="宋体"/>
          <w:b/>
          <w:color w:val="auto"/>
          <w:sz w:val="21"/>
          <w:szCs w:val="21"/>
          <w:highlight w:val="none"/>
        </w:rPr>
        <w:t>无论由投标人的法定代表人或委托代理人签署投标文件</w:t>
      </w:r>
      <w:r>
        <w:rPr>
          <w:rFonts w:hint="eastAsia" w:ascii="宋体" w:hAnsi="宋体" w:cs="宋体"/>
          <w:b/>
          <w:color w:val="auto"/>
          <w:sz w:val="21"/>
          <w:szCs w:val="21"/>
          <w:highlight w:val="none"/>
          <w:lang w:eastAsia="zh-CN"/>
        </w:rPr>
        <w:t>，</w:t>
      </w:r>
      <w:r>
        <w:rPr>
          <w:rFonts w:hint="eastAsia" w:ascii="宋体" w:hAnsi="宋体" w:cs="宋体"/>
          <w:b/>
          <w:color w:val="auto"/>
          <w:sz w:val="21"/>
          <w:szCs w:val="21"/>
          <w:highlight w:val="none"/>
        </w:rPr>
        <w:t>法定代表人身份证明</w:t>
      </w:r>
      <w:r>
        <w:rPr>
          <w:rFonts w:hint="eastAsia" w:ascii="宋体" w:hAnsi="宋体" w:cs="宋体"/>
          <w:b/>
          <w:color w:val="auto"/>
          <w:sz w:val="21"/>
          <w:szCs w:val="21"/>
          <w:highlight w:val="none"/>
          <w:lang w:val="en-US" w:eastAsia="zh-CN"/>
        </w:rPr>
        <w:t>都</w:t>
      </w:r>
      <w:r>
        <w:rPr>
          <w:rFonts w:hint="eastAsia" w:ascii="宋体" w:hAnsi="宋体" w:cs="宋体"/>
          <w:b/>
          <w:color w:val="auto"/>
          <w:sz w:val="21"/>
          <w:szCs w:val="21"/>
          <w:highlight w:val="none"/>
        </w:rPr>
        <w:t>必须提供。如果由投标人的法定代表人签署投标文件</w:t>
      </w:r>
      <w:r>
        <w:rPr>
          <w:rFonts w:hint="eastAsia" w:ascii="宋体" w:hAnsi="宋体" w:cs="宋体"/>
          <w:b/>
          <w:color w:val="auto"/>
          <w:sz w:val="21"/>
          <w:szCs w:val="21"/>
          <w:highlight w:val="none"/>
          <w:lang w:eastAsia="zh-CN"/>
        </w:rPr>
        <w:t>，</w:t>
      </w:r>
      <w:r>
        <w:rPr>
          <w:rFonts w:hint="eastAsia" w:ascii="宋体" w:hAnsi="宋体" w:cs="宋体"/>
          <w:b/>
          <w:color w:val="auto"/>
          <w:sz w:val="21"/>
          <w:szCs w:val="21"/>
          <w:highlight w:val="none"/>
        </w:rPr>
        <w:t>则无须提交授权委托书</w:t>
      </w:r>
      <w:r>
        <w:rPr>
          <w:rFonts w:hint="eastAsia" w:ascii="黑体" w:eastAsia="黑体"/>
          <w:b/>
          <w:color w:val="auto"/>
          <w:sz w:val="21"/>
          <w:szCs w:val="21"/>
          <w:highlight w:val="none"/>
        </w:rPr>
        <w:t>。</w:t>
      </w:r>
    </w:p>
    <w:p w14:paraId="60A95757">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sz w:val="21"/>
          <w:szCs w:val="21"/>
          <w:highlight w:val="none"/>
        </w:rPr>
      </w:pPr>
    </w:p>
    <w:p w14:paraId="587DB608">
      <w:pPr>
        <w:pStyle w:val="6"/>
        <w:rPr>
          <w:color w:val="auto"/>
          <w:highlight w:val="none"/>
        </w:rPr>
      </w:pPr>
    </w:p>
    <w:p w14:paraId="2C594098">
      <w:pPr>
        <w:spacing w:line="360" w:lineRule="auto"/>
        <w:jc w:val="right"/>
        <w:rPr>
          <w:color w:val="auto"/>
          <w:sz w:val="21"/>
          <w:szCs w:val="21"/>
          <w:highlight w:val="none"/>
        </w:rPr>
      </w:pPr>
    </w:p>
    <w:p w14:paraId="2F33E833">
      <w:pPr>
        <w:spacing w:line="360" w:lineRule="auto"/>
        <w:jc w:val="right"/>
        <w:rPr>
          <w:color w:val="auto"/>
          <w:sz w:val="21"/>
          <w:szCs w:val="21"/>
          <w:highlight w:val="none"/>
        </w:rPr>
      </w:pPr>
    </w:p>
    <w:p w14:paraId="349564C0">
      <w:pPr>
        <w:spacing w:line="360" w:lineRule="auto"/>
        <w:jc w:val="right"/>
        <w:rPr>
          <w:color w:val="auto"/>
          <w:sz w:val="21"/>
          <w:szCs w:val="21"/>
          <w:highlight w:val="none"/>
        </w:rPr>
      </w:pPr>
    </w:p>
    <w:p w14:paraId="38B5464E">
      <w:pPr>
        <w:spacing w:line="360" w:lineRule="auto"/>
        <w:jc w:val="right"/>
        <w:rPr>
          <w:color w:val="auto"/>
          <w:sz w:val="21"/>
          <w:szCs w:val="21"/>
          <w:highlight w:val="none"/>
        </w:rPr>
      </w:pPr>
    </w:p>
    <w:p w14:paraId="6D47EBC0">
      <w:pPr>
        <w:spacing w:line="360" w:lineRule="auto"/>
        <w:jc w:val="right"/>
        <w:rPr>
          <w:color w:val="auto"/>
          <w:sz w:val="21"/>
          <w:szCs w:val="21"/>
          <w:highlight w:val="none"/>
        </w:rPr>
      </w:pPr>
    </w:p>
    <w:p w14:paraId="1BAB6708">
      <w:pPr>
        <w:spacing w:line="360" w:lineRule="auto"/>
        <w:jc w:val="right"/>
        <w:rPr>
          <w:color w:val="auto"/>
          <w:sz w:val="21"/>
          <w:szCs w:val="21"/>
          <w:highlight w:val="none"/>
        </w:rPr>
      </w:pPr>
    </w:p>
    <w:p w14:paraId="65BE177F">
      <w:pPr>
        <w:widowControl/>
        <w:spacing w:line="240" w:lineRule="auto"/>
        <w:jc w:val="center"/>
        <w:rPr>
          <w:b/>
          <w:color w:val="auto"/>
          <w:sz w:val="24"/>
          <w:highlight w:val="none"/>
        </w:rPr>
      </w:pPr>
      <w:r>
        <w:rPr>
          <w:b/>
          <w:color w:val="auto"/>
          <w:sz w:val="24"/>
          <w:highlight w:val="none"/>
        </w:rPr>
        <w:t>（二）授权委托书</w:t>
      </w:r>
    </w:p>
    <w:p w14:paraId="2A5D36F4">
      <w:pPr>
        <w:spacing w:line="340" w:lineRule="exact"/>
        <w:jc w:val="center"/>
        <w:rPr>
          <w:b/>
          <w:color w:val="auto"/>
          <w:sz w:val="24"/>
          <w:highlight w:val="none"/>
        </w:rPr>
      </w:pPr>
    </w:p>
    <w:p w14:paraId="36E1B14B">
      <w:pPr>
        <w:spacing w:line="365" w:lineRule="auto"/>
        <w:ind w:firstLine="479"/>
        <w:rPr>
          <w:rFonts w:hint="eastAsia" w:ascii="宋体" w:hAnsi="宋体" w:cs="宋体"/>
          <w:color w:val="auto"/>
          <w:sz w:val="21"/>
          <w:szCs w:val="21"/>
          <w:highlight w:val="none"/>
        </w:rPr>
      </w:pPr>
      <w:r>
        <w:rPr>
          <w:rFonts w:hint="eastAsia" w:ascii="宋体" w:hAnsi="宋体" w:cs="宋体"/>
          <w:color w:val="auto"/>
          <w:sz w:val="21"/>
          <w:szCs w:val="21"/>
          <w:highlight w:val="none"/>
        </w:rPr>
        <w:t>本人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（姓名）系</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（投标人名称）的法定代表人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现委托</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（姓名） 为我方代理人。代理人根据授权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以我方名义签署、澄清确认、递交、撤回、修改</w:t>
      </w:r>
      <w:r>
        <w:rPr>
          <w:rFonts w:hint="eastAsia" w:ascii="宋体" w:hAnsi="宋体" w:cs="宋体"/>
          <w:color w:val="auto"/>
          <w:sz w:val="21"/>
          <w:szCs w:val="21"/>
          <w:highlight w:val="none"/>
          <w:u w:val="single"/>
          <w:lang w:eastAsia="zh-CN"/>
        </w:rPr>
        <w:t>“水运江苏”建设跨江竞技劳动技能竞赛服务项目SYJS-JNJS标段</w:t>
      </w:r>
      <w:r>
        <w:rPr>
          <w:rFonts w:hint="eastAsia" w:ascii="宋体" w:hAnsi="宋体" w:cs="宋体"/>
          <w:color w:val="auto"/>
          <w:sz w:val="21"/>
          <w:szCs w:val="21"/>
          <w:highlight w:val="none"/>
        </w:rPr>
        <w:t>投标文件、签订合同和处理有关事宜</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其法律后果由我方承担。</w:t>
      </w:r>
    </w:p>
    <w:p w14:paraId="1B2DE7F9">
      <w:pPr>
        <w:spacing w:before="3" w:line="365" w:lineRule="auto"/>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委托期限：</w:t>
      </w:r>
      <w:r>
        <w:rPr>
          <w:rFonts w:hint="eastAsia" w:ascii="宋体" w:hAnsi="宋体" w:cs="宋体"/>
          <w:color w:val="auto"/>
          <w:sz w:val="21"/>
          <w:szCs w:val="21"/>
          <w:highlight w:val="none"/>
          <w:u w:val="single"/>
        </w:rPr>
        <w:t>自本委托书签署之日起至投标有效期满</w:t>
      </w:r>
    </w:p>
    <w:p w14:paraId="10B00E3C">
      <w:pPr>
        <w:spacing w:before="3" w:line="364"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代理人无转委托权。</w:t>
      </w:r>
    </w:p>
    <w:p w14:paraId="1CA57547">
      <w:pPr>
        <w:spacing w:before="2"/>
        <w:rPr>
          <w:rFonts w:hint="eastAsia" w:ascii="宋体" w:hAnsi="宋体" w:cs="宋体"/>
          <w:color w:val="auto"/>
          <w:sz w:val="21"/>
          <w:szCs w:val="21"/>
          <w:highlight w:val="none"/>
        </w:rPr>
      </w:pPr>
      <w:r>
        <w:rPr>
          <w:rFonts w:hint="eastAsia" w:ascii="宋体" w:hAnsi="宋体" w:cs="宋体"/>
          <w:color w:val="auto"/>
          <w:sz w:val="21"/>
          <w:szCs w:val="21"/>
          <w:highlight w:val="none"/>
        </w:rPr>
        <w:t>附：法定代表人身份证复印件（双面）及委托代理人身份证复印件（双面）</w:t>
      </w:r>
    </w:p>
    <w:p w14:paraId="50363F33">
      <w:pPr>
        <w:pStyle w:val="12"/>
        <w:rPr>
          <w:rFonts w:hint="eastAsia" w:ascii="宋体" w:hAnsi="宋体" w:eastAsia="宋体" w:cs="宋体"/>
          <w:color w:val="auto"/>
          <w:sz w:val="24"/>
          <w:highlight w:val="none"/>
        </w:rPr>
      </w:pPr>
    </w:p>
    <w:p w14:paraId="2BD6AC79">
      <w:pPr>
        <w:pStyle w:val="12"/>
        <w:spacing w:before="10"/>
        <w:rPr>
          <w:rFonts w:hint="eastAsia" w:ascii="宋体" w:hAnsi="宋体" w:eastAsia="宋体" w:cs="宋体"/>
          <w:color w:val="auto"/>
          <w:sz w:val="24"/>
          <w:highlight w:val="none"/>
        </w:rPr>
      </w:pPr>
    </w:p>
    <w:p w14:paraId="10AF1DF3">
      <w:pPr>
        <w:tabs>
          <w:tab w:val="left" w:pos="7631"/>
          <w:tab w:val="left" w:pos="7752"/>
          <w:tab w:val="left" w:pos="9007"/>
        </w:tabs>
        <w:spacing w:line="393" w:lineRule="auto"/>
        <w:ind w:firstLine="3780" w:firstLineChars="18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投标人：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（盖单位章） </w:t>
      </w:r>
    </w:p>
    <w:p w14:paraId="6B53AFFE">
      <w:pPr>
        <w:tabs>
          <w:tab w:val="left" w:pos="7631"/>
          <w:tab w:val="left" w:pos="7752"/>
          <w:tab w:val="left" w:pos="9007"/>
        </w:tabs>
        <w:spacing w:line="393" w:lineRule="auto"/>
        <w:ind w:firstLine="3780" w:firstLineChars="18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r>
        <w:rPr>
          <w:rFonts w:hint="eastAsia" w:ascii="宋体" w:hAnsi="宋体" w:cs="宋体"/>
          <w:color w:val="auto"/>
          <w:sz w:val="21"/>
          <w:szCs w:val="21"/>
          <w:highlight w:val="none"/>
          <w:u w:val="single"/>
        </w:rPr>
        <w:t xml:space="preserve">                </w:t>
      </w:r>
      <w:r>
        <w:rPr>
          <w:rFonts w:hint="eastAsia" w:ascii="宋体" w:hAnsi="宋体" w:cs="宋体"/>
          <w:bCs/>
          <w:color w:val="auto"/>
          <w:sz w:val="21"/>
          <w:szCs w:val="21"/>
          <w:highlight w:val="none"/>
        </w:rPr>
        <w:t>（签字或签章）</w:t>
      </w:r>
      <w:r>
        <w:rPr>
          <w:rFonts w:hint="eastAsia" w:ascii="宋体" w:hAnsi="宋体" w:cs="宋体"/>
          <w:color w:val="auto"/>
          <w:sz w:val="21"/>
          <w:szCs w:val="21"/>
          <w:highlight w:val="none"/>
        </w:rPr>
        <w:t xml:space="preserve"> </w:t>
      </w:r>
    </w:p>
    <w:p w14:paraId="73EA747A">
      <w:pPr>
        <w:tabs>
          <w:tab w:val="left" w:pos="7631"/>
          <w:tab w:val="left" w:pos="7752"/>
          <w:tab w:val="left" w:pos="9007"/>
        </w:tabs>
        <w:spacing w:line="393" w:lineRule="auto"/>
        <w:ind w:firstLine="3780" w:firstLineChars="18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身份证号码：</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w:t>
      </w:r>
    </w:p>
    <w:p w14:paraId="59DF64F9">
      <w:pPr>
        <w:tabs>
          <w:tab w:val="left" w:pos="7631"/>
          <w:tab w:val="left" w:pos="8407"/>
        </w:tabs>
        <w:spacing w:line="381" w:lineRule="auto"/>
        <w:ind w:firstLine="3780" w:firstLineChars="18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委托代理人：</w:t>
      </w:r>
      <w:r>
        <w:rPr>
          <w:rFonts w:hint="eastAsia" w:ascii="宋体" w:hAnsi="宋体" w:cs="宋体"/>
          <w:color w:val="auto"/>
          <w:sz w:val="21"/>
          <w:szCs w:val="21"/>
          <w:highlight w:val="none"/>
          <w:u w:val="single"/>
        </w:rPr>
        <w:t xml:space="preserve">                </w:t>
      </w:r>
      <w:r>
        <w:rPr>
          <w:rFonts w:hint="eastAsia" w:ascii="宋体" w:hAnsi="宋体" w:cs="宋体"/>
          <w:bCs/>
          <w:color w:val="auto"/>
          <w:sz w:val="21"/>
          <w:szCs w:val="21"/>
          <w:highlight w:val="none"/>
        </w:rPr>
        <w:t>（签字</w:t>
      </w:r>
      <w:r>
        <w:rPr>
          <w:rFonts w:hint="eastAsia" w:ascii="宋体" w:hAnsi="宋体" w:cs="宋体"/>
          <w:bCs/>
          <w:color w:val="auto"/>
          <w:sz w:val="21"/>
          <w:szCs w:val="21"/>
          <w:highlight w:val="none"/>
          <w:lang w:val="en-US" w:eastAsia="zh-CN"/>
        </w:rPr>
        <w:t>或签章</w:t>
      </w:r>
      <w:r>
        <w:rPr>
          <w:rFonts w:hint="eastAsia" w:ascii="宋体" w:hAnsi="宋体" w:cs="宋体"/>
          <w:bCs/>
          <w:color w:val="auto"/>
          <w:sz w:val="21"/>
          <w:szCs w:val="21"/>
          <w:highlight w:val="none"/>
        </w:rPr>
        <w:t>）</w:t>
      </w:r>
      <w:r>
        <w:rPr>
          <w:rFonts w:hint="eastAsia" w:ascii="宋体" w:hAnsi="宋体" w:cs="宋体"/>
          <w:color w:val="auto"/>
          <w:sz w:val="21"/>
          <w:szCs w:val="21"/>
          <w:highlight w:val="none"/>
        </w:rPr>
        <w:t xml:space="preserve"> </w:t>
      </w:r>
    </w:p>
    <w:p w14:paraId="2808B533">
      <w:pPr>
        <w:tabs>
          <w:tab w:val="left" w:pos="7631"/>
          <w:tab w:val="left" w:pos="8407"/>
        </w:tabs>
        <w:spacing w:line="381" w:lineRule="auto"/>
        <w:ind w:firstLine="3780" w:firstLineChars="1800"/>
        <w:jc w:val="left"/>
        <w:rPr>
          <w:rFonts w:ascii="宋体" w:hAnsi="宋体" w:cs="宋体"/>
          <w:color w:val="auto"/>
          <w:sz w:val="21"/>
          <w:szCs w:val="21"/>
          <w:highlight w:val="none"/>
        </w:rPr>
      </w:pPr>
      <w:r>
        <w:rPr>
          <w:rFonts w:hint="eastAsia" w:ascii="宋体" w:hAnsi="宋体" w:cs="宋体"/>
          <w:color w:val="auto"/>
          <w:sz w:val="21"/>
          <w:szCs w:val="21"/>
          <w:highlight w:val="none"/>
        </w:rPr>
        <w:t>身份证号码：</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w:t>
      </w:r>
    </w:p>
    <w:p w14:paraId="714677E9">
      <w:pPr>
        <w:tabs>
          <w:tab w:val="left" w:pos="6318"/>
          <w:tab w:val="left" w:pos="7278"/>
          <w:tab w:val="left" w:pos="8239"/>
        </w:tabs>
        <w:spacing w:before="74"/>
        <w:jc w:val="right"/>
        <w:rPr>
          <w:rFonts w:hint="eastAsia" w:ascii="宋体" w:hAnsi="宋体" w:cs="宋体"/>
          <w:color w:val="auto"/>
          <w:sz w:val="21"/>
          <w:szCs w:val="21"/>
          <w:highlight w:val="none"/>
        </w:rPr>
      </w:pP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40368FC3">
      <w:pPr>
        <w:tabs>
          <w:tab w:val="left" w:pos="6318"/>
          <w:tab w:val="left" w:pos="7278"/>
          <w:tab w:val="left" w:pos="8239"/>
        </w:tabs>
        <w:spacing w:before="74"/>
        <w:ind w:left="7000" w:leftChars="2500"/>
        <w:jc w:val="right"/>
        <w:rPr>
          <w:rFonts w:hint="eastAsia" w:ascii="宋体" w:hAnsi="宋体" w:cs="宋体"/>
          <w:color w:val="auto"/>
          <w:sz w:val="24"/>
          <w:highlight w:val="none"/>
        </w:rPr>
      </w:pPr>
    </w:p>
    <w:p w14:paraId="7A91398A">
      <w:pPr>
        <w:spacing w:line="360" w:lineRule="auto"/>
        <w:jc w:val="left"/>
        <w:rPr>
          <w:rFonts w:hint="eastAsia" w:ascii="宋体" w:hAnsi="宋体" w:cs="宋体"/>
          <w:color w:val="auto"/>
          <w:sz w:val="21"/>
          <w:szCs w:val="21"/>
          <w:highlight w:val="none"/>
        </w:rPr>
      </w:pPr>
    </w:p>
    <w:p w14:paraId="7FFECB07">
      <w:pPr>
        <w:spacing w:line="360" w:lineRule="auto"/>
        <w:jc w:val="right"/>
        <w:rPr>
          <w:color w:val="auto"/>
          <w:sz w:val="24"/>
          <w:highlight w:val="none"/>
        </w:rPr>
      </w:pPr>
    </w:p>
    <w:p w14:paraId="76FAA2A2">
      <w:pPr>
        <w:spacing w:line="360" w:lineRule="auto"/>
        <w:jc w:val="center"/>
        <w:rPr>
          <w:color w:val="auto"/>
          <w:sz w:val="21"/>
          <w:szCs w:val="21"/>
          <w:highlight w:val="none"/>
        </w:rPr>
      </w:pPr>
    </w:p>
    <w:p w14:paraId="1F8A4DE3">
      <w:pPr>
        <w:spacing w:line="360" w:lineRule="auto"/>
        <w:jc w:val="center"/>
        <w:rPr>
          <w:color w:val="auto"/>
          <w:sz w:val="21"/>
          <w:szCs w:val="21"/>
          <w:highlight w:val="none"/>
        </w:rPr>
      </w:pPr>
    </w:p>
    <w:p w14:paraId="5A2AEACF">
      <w:pPr>
        <w:spacing w:line="360" w:lineRule="auto"/>
        <w:jc w:val="center"/>
        <w:rPr>
          <w:color w:val="auto"/>
          <w:sz w:val="21"/>
          <w:szCs w:val="21"/>
          <w:highlight w:val="none"/>
        </w:rPr>
      </w:pPr>
    </w:p>
    <w:p w14:paraId="2764FB47">
      <w:pPr>
        <w:spacing w:line="360" w:lineRule="auto"/>
        <w:jc w:val="center"/>
        <w:rPr>
          <w:color w:val="auto"/>
          <w:sz w:val="21"/>
          <w:szCs w:val="21"/>
          <w:highlight w:val="none"/>
        </w:rPr>
      </w:pPr>
    </w:p>
    <w:p w14:paraId="1FB49D04">
      <w:pPr>
        <w:spacing w:line="360" w:lineRule="auto"/>
        <w:jc w:val="center"/>
        <w:rPr>
          <w:color w:val="auto"/>
          <w:sz w:val="21"/>
          <w:szCs w:val="21"/>
          <w:highlight w:val="none"/>
        </w:rPr>
      </w:pPr>
    </w:p>
    <w:p w14:paraId="71CD226A">
      <w:pPr>
        <w:spacing w:line="360" w:lineRule="auto"/>
        <w:jc w:val="center"/>
        <w:rPr>
          <w:color w:val="auto"/>
          <w:sz w:val="21"/>
          <w:szCs w:val="21"/>
          <w:highlight w:val="none"/>
        </w:rPr>
      </w:pPr>
    </w:p>
    <w:p w14:paraId="174F1684">
      <w:pPr>
        <w:spacing w:line="360" w:lineRule="auto"/>
        <w:jc w:val="center"/>
        <w:rPr>
          <w:color w:val="auto"/>
          <w:sz w:val="21"/>
          <w:szCs w:val="21"/>
          <w:highlight w:val="none"/>
        </w:rPr>
      </w:pPr>
    </w:p>
    <w:p w14:paraId="79203565">
      <w:pPr>
        <w:spacing w:line="360" w:lineRule="auto"/>
        <w:jc w:val="center"/>
        <w:rPr>
          <w:color w:val="auto"/>
          <w:sz w:val="21"/>
          <w:szCs w:val="21"/>
          <w:highlight w:val="none"/>
        </w:rPr>
      </w:pPr>
    </w:p>
    <w:p w14:paraId="50F8389A">
      <w:pPr>
        <w:jc w:val="both"/>
        <w:rPr>
          <w:rFonts w:hint="eastAsia" w:ascii="宋体" w:hAnsi="宋体" w:cs="宋体"/>
          <w:color w:val="auto"/>
          <w:sz w:val="21"/>
          <w:szCs w:val="21"/>
          <w:highlight w:val="none"/>
        </w:rPr>
      </w:pPr>
      <w:r>
        <w:rPr>
          <w:rFonts w:ascii="宋体" w:hAnsi="宋体"/>
          <w:b w:val="0"/>
          <w:color w:val="auto"/>
          <w:highlight w:val="none"/>
        </w:rPr>
        <w:br w:type="page"/>
      </w:r>
      <w:bookmarkStart w:id="161" w:name="_Toc436730372"/>
      <w:bookmarkStart w:id="162" w:name="_Toc372633024"/>
      <w:bookmarkStart w:id="163" w:name="_Toc33625866"/>
    </w:p>
    <w:p w14:paraId="5A89E4F6">
      <w:pPr>
        <w:spacing w:line="380" w:lineRule="exact"/>
        <w:jc w:val="center"/>
        <w:rPr>
          <w:rFonts w:ascii="宋体" w:hAnsi="宋体" w:cs="宋体"/>
          <w:b/>
          <w:color w:val="auto"/>
          <w:sz w:val="30"/>
          <w:szCs w:val="30"/>
          <w:highlight w:val="none"/>
        </w:rPr>
        <w:sectPr>
          <w:pgSz w:w="11906" w:h="16838"/>
          <w:pgMar w:top="1361" w:right="1361" w:bottom="1361" w:left="1361" w:header="851" w:footer="964" w:gutter="0"/>
          <w:cols w:space="720" w:num="1"/>
          <w:titlePg/>
          <w:docGrid w:type="lines" w:linePitch="312" w:charSpace="0"/>
        </w:sectPr>
      </w:pPr>
    </w:p>
    <w:bookmarkEnd w:id="159"/>
    <w:bookmarkEnd w:id="160"/>
    <w:bookmarkEnd w:id="161"/>
    <w:bookmarkEnd w:id="162"/>
    <w:bookmarkEnd w:id="163"/>
    <w:p w14:paraId="20982481">
      <w:pPr>
        <w:pStyle w:val="95"/>
        <w:numPr>
          <w:ilvl w:val="0"/>
          <w:numId w:val="0"/>
        </w:numPr>
        <w:spacing w:before="120" w:beforeLines="50" w:after="120" w:afterLines="50" w:line="360" w:lineRule="auto"/>
        <w:ind w:leftChars="0"/>
        <w:jc w:val="center"/>
        <w:rPr>
          <w:color w:val="auto"/>
          <w:highlight w:val="none"/>
        </w:rPr>
      </w:pPr>
      <w:bookmarkStart w:id="164" w:name="_Toc33625867"/>
      <w:r>
        <w:rPr>
          <w:rFonts w:hint="eastAsia" w:ascii="宋体" w:hAnsi="宋体"/>
          <w:b/>
          <w:bCs w:val="0"/>
          <w:color w:val="auto"/>
          <w:highlight w:val="none"/>
          <w:lang w:val="en-US" w:eastAsia="zh-CN"/>
        </w:rPr>
        <w:t>三、</w:t>
      </w:r>
      <w:r>
        <w:rPr>
          <w:rFonts w:hint="eastAsia"/>
          <w:b/>
          <w:bCs w:val="0"/>
          <w:color w:val="auto"/>
          <w:highlight w:val="none"/>
        </w:rPr>
        <w:t>资格审查资料</w:t>
      </w:r>
      <w:bookmarkEnd w:id="164"/>
    </w:p>
    <w:p w14:paraId="1387AAC5">
      <w:pPr>
        <w:spacing w:line="360" w:lineRule="auto"/>
        <w:ind w:firstLine="539" w:firstLineChars="257"/>
        <w:rPr>
          <w:rFonts w:hint="eastAsia" w:ascii="宋体" w:hAnsi="宋体" w:cs="宋体"/>
          <w:color w:val="auto"/>
          <w:sz w:val="21"/>
          <w:szCs w:val="21"/>
          <w:highlight w:val="none"/>
        </w:rPr>
      </w:pPr>
      <w:bookmarkStart w:id="165" w:name="_Toc33625868"/>
    </w:p>
    <w:p w14:paraId="735A7F8A">
      <w:pPr>
        <w:spacing w:line="360" w:lineRule="auto"/>
        <w:ind w:firstLine="539" w:firstLineChars="257"/>
        <w:rPr>
          <w:rFonts w:hint="eastAsia" w:ascii="宋体" w:hAnsi="宋体" w:cs="宋体"/>
          <w:color w:val="auto"/>
          <w:sz w:val="21"/>
          <w:szCs w:val="21"/>
          <w:highlight w:val="none"/>
        </w:rPr>
      </w:pPr>
      <w:r>
        <w:rPr>
          <w:rFonts w:hint="eastAsia" w:ascii="宋体" w:hAnsi="宋体" w:cs="宋体"/>
          <w:color w:val="auto"/>
          <w:sz w:val="21"/>
          <w:szCs w:val="21"/>
          <w:highlight w:val="none"/>
        </w:rPr>
        <w:t>表1 企业信息基本表</w:t>
      </w:r>
    </w:p>
    <w:p w14:paraId="00427A55">
      <w:pPr>
        <w:spacing w:line="360" w:lineRule="auto"/>
        <w:ind w:firstLine="539" w:firstLineChars="257"/>
        <w:rPr>
          <w:rFonts w:hint="eastAsia" w:ascii="宋体" w:hAnsi="宋体" w:cs="宋体"/>
          <w:color w:val="auto"/>
          <w:sz w:val="21"/>
          <w:szCs w:val="21"/>
          <w:highlight w:val="none"/>
        </w:rPr>
      </w:pPr>
      <w:r>
        <w:rPr>
          <w:rFonts w:hint="eastAsia" w:ascii="宋体" w:hAnsi="宋体" w:cs="宋体"/>
          <w:color w:val="auto"/>
          <w:sz w:val="21"/>
          <w:szCs w:val="21"/>
          <w:highlight w:val="none"/>
        </w:rPr>
        <w:t>表2 拟投入本标段主要人员情况表</w:t>
      </w:r>
    </w:p>
    <w:p w14:paraId="1808C836">
      <w:pPr>
        <w:spacing w:line="360" w:lineRule="auto"/>
        <w:ind w:firstLine="539" w:firstLineChars="257"/>
        <w:rPr>
          <w:rFonts w:hint="eastAsia" w:ascii="宋体" w:hAnsi="宋体" w:cs="宋体"/>
          <w:color w:val="auto"/>
          <w:sz w:val="21"/>
          <w:szCs w:val="21"/>
          <w:highlight w:val="none"/>
        </w:rPr>
      </w:pPr>
      <w:r>
        <w:rPr>
          <w:rFonts w:hint="eastAsia" w:ascii="宋体" w:hAnsi="宋体" w:cs="宋体"/>
          <w:color w:val="auto"/>
          <w:sz w:val="21"/>
          <w:szCs w:val="21"/>
          <w:highlight w:val="none"/>
        </w:rPr>
        <w:t>表3 拟投入本标段主要人员经历表</w:t>
      </w:r>
    </w:p>
    <w:p w14:paraId="260E1B00">
      <w:pPr>
        <w:spacing w:line="360" w:lineRule="auto"/>
        <w:ind w:firstLine="539" w:firstLineChars="257"/>
        <w:rPr>
          <w:rFonts w:hint="eastAsia" w:ascii="宋体" w:hAnsi="宋体" w:cs="宋体"/>
          <w:color w:val="auto"/>
          <w:sz w:val="21"/>
          <w:szCs w:val="21"/>
          <w:highlight w:val="none"/>
        </w:rPr>
      </w:pPr>
      <w:r>
        <w:rPr>
          <w:rFonts w:hint="eastAsia" w:ascii="宋体" w:hAnsi="宋体" w:cs="宋体"/>
          <w:color w:val="auto"/>
          <w:sz w:val="21"/>
          <w:szCs w:val="21"/>
          <w:highlight w:val="none"/>
        </w:rPr>
        <w:t>表4 已完成类似项目表</w:t>
      </w:r>
    </w:p>
    <w:p w14:paraId="5B3C094F">
      <w:pPr>
        <w:spacing w:line="360" w:lineRule="auto"/>
        <w:ind w:firstLine="539" w:firstLineChars="257"/>
        <w:rPr>
          <w:rFonts w:hint="eastAsia" w:ascii="宋体" w:hAnsi="宋体" w:cs="宋体"/>
          <w:color w:val="auto"/>
          <w:sz w:val="21"/>
          <w:szCs w:val="21"/>
          <w:highlight w:val="none"/>
        </w:rPr>
      </w:pPr>
      <w:r>
        <w:rPr>
          <w:rFonts w:hint="eastAsia" w:ascii="宋体" w:hAnsi="宋体" w:cs="宋体"/>
          <w:color w:val="auto"/>
          <w:sz w:val="21"/>
          <w:szCs w:val="21"/>
          <w:highlight w:val="none"/>
        </w:rPr>
        <w:t>表5 申请人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投标人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与其他单位存在控股、管理关系</w:t>
      </w:r>
    </w:p>
    <w:p w14:paraId="40DDE0DB">
      <w:pPr>
        <w:spacing w:line="360" w:lineRule="auto"/>
        <w:ind w:firstLine="491" w:firstLineChars="233"/>
        <w:rPr>
          <w:rFonts w:hint="eastAsia" w:ascii="宋体" w:hAnsi="宋体" w:cs="宋体"/>
          <w:b/>
          <w:bCs/>
          <w:color w:val="auto"/>
          <w:kern w:val="0"/>
          <w:sz w:val="21"/>
          <w:szCs w:val="21"/>
          <w:highlight w:val="none"/>
        </w:rPr>
      </w:pPr>
    </w:p>
    <w:p w14:paraId="317A2E59">
      <w:pPr>
        <w:wordWrap w:val="0"/>
        <w:snapToGrid w:val="0"/>
        <w:spacing w:before="120" w:beforeLines="50" w:after="120" w:afterLines="50"/>
        <w:jc w:val="center"/>
        <w:rPr>
          <w:rFonts w:hint="eastAsia" w:ascii="宋体" w:hAnsi="宋体" w:cs="宋体"/>
          <w:b/>
          <w:color w:val="auto"/>
          <w:kern w:val="0"/>
          <w:sz w:val="21"/>
          <w:szCs w:val="21"/>
          <w:highlight w:val="none"/>
          <w:u w:val="single"/>
        </w:rPr>
        <w:sectPr>
          <w:pgSz w:w="11907" w:h="16840"/>
          <w:pgMar w:top="1418" w:right="1474" w:bottom="1247" w:left="1588" w:header="851" w:footer="711" w:gutter="0"/>
          <w:paperSrc w:first="7" w:other="7"/>
          <w:pgNumType w:fmt="decimal"/>
          <w:cols w:space="720" w:num="1"/>
          <w:docGrid w:linePitch="312" w:charSpace="0"/>
        </w:sectPr>
      </w:pPr>
    </w:p>
    <w:p w14:paraId="7B3F60C2">
      <w:pPr>
        <w:wordWrap w:val="0"/>
        <w:snapToGrid w:val="0"/>
        <w:spacing w:before="120" w:beforeLines="50" w:after="120" w:afterLines="50"/>
        <w:jc w:val="center"/>
        <w:outlineLvl w:val="2"/>
        <w:rPr>
          <w:rFonts w:hint="eastAsia" w:ascii="宋体" w:hAnsi="宋体" w:cs="宋体"/>
          <w:b/>
          <w:color w:val="auto"/>
          <w:kern w:val="0"/>
          <w:sz w:val="24"/>
          <w:highlight w:val="none"/>
        </w:rPr>
      </w:pPr>
      <w:r>
        <w:rPr>
          <w:rFonts w:hint="eastAsia" w:ascii="宋体" w:hAnsi="宋体" w:cs="宋体"/>
          <w:b/>
          <w:color w:val="auto"/>
          <w:kern w:val="0"/>
          <w:sz w:val="24"/>
          <w:highlight w:val="none"/>
        </w:rPr>
        <w:t>表1 企业信息基本表</w:t>
      </w:r>
    </w:p>
    <w:tbl>
      <w:tblPr>
        <w:tblStyle w:val="30"/>
        <w:tblW w:w="9366" w:type="dxa"/>
        <w:jc w:val="center"/>
        <w:tblLayout w:type="fixed"/>
        <w:tblCellMar>
          <w:top w:w="0" w:type="dxa"/>
          <w:left w:w="108" w:type="dxa"/>
          <w:bottom w:w="0" w:type="dxa"/>
          <w:right w:w="108" w:type="dxa"/>
        </w:tblCellMar>
      </w:tblPr>
      <w:tblGrid>
        <w:gridCol w:w="2266"/>
        <w:gridCol w:w="987"/>
        <w:gridCol w:w="2328"/>
        <w:gridCol w:w="854"/>
        <w:gridCol w:w="1951"/>
        <w:gridCol w:w="980"/>
      </w:tblGrid>
      <w:tr w14:paraId="136810B9">
        <w:tblPrEx>
          <w:tblCellMar>
            <w:top w:w="0" w:type="dxa"/>
            <w:left w:w="108" w:type="dxa"/>
            <w:bottom w:w="0" w:type="dxa"/>
            <w:right w:w="108" w:type="dxa"/>
          </w:tblCellMar>
        </w:tblPrEx>
        <w:trPr>
          <w:trHeight w:val="20" w:hRule="atLeast"/>
          <w:jc w:val="center"/>
        </w:trPr>
        <w:tc>
          <w:tcPr>
            <w:tcW w:w="2266" w:type="dxa"/>
            <w:tcBorders>
              <w:top w:val="single" w:color="000000" w:sz="4" w:space="0"/>
              <w:left w:val="single" w:color="000000" w:sz="4" w:space="0"/>
              <w:bottom w:val="single" w:color="000000" w:sz="4" w:space="0"/>
              <w:right w:val="single" w:color="000000" w:sz="4" w:space="0"/>
            </w:tcBorders>
            <w:shd w:val="clear" w:color="000000" w:fill="FFFFFF"/>
            <w:noWrap w:val="0"/>
            <w:vAlign w:val="center"/>
          </w:tcPr>
          <w:p w14:paraId="2949603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申请人全称：</w:t>
            </w:r>
          </w:p>
        </w:tc>
        <w:tc>
          <w:tcPr>
            <w:tcW w:w="7100" w:type="dxa"/>
            <w:gridSpan w:val="5"/>
            <w:tcBorders>
              <w:top w:val="single" w:color="000000" w:sz="4" w:space="0"/>
              <w:left w:val="nil"/>
              <w:bottom w:val="single" w:color="000000" w:sz="4" w:space="0"/>
              <w:right w:val="single" w:color="000000" w:sz="4" w:space="0"/>
            </w:tcBorders>
            <w:shd w:val="clear" w:color="000000" w:fill="FFFFFF"/>
            <w:noWrap w:val="0"/>
            <w:vAlign w:val="center"/>
          </w:tcPr>
          <w:p w14:paraId="5E7EC8F9">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10F44CD8">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0C2C238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主要业务：</w:t>
            </w:r>
          </w:p>
        </w:tc>
        <w:tc>
          <w:tcPr>
            <w:tcW w:w="7100" w:type="dxa"/>
            <w:gridSpan w:val="5"/>
            <w:tcBorders>
              <w:top w:val="single" w:color="000000" w:sz="4" w:space="0"/>
              <w:left w:val="nil"/>
              <w:bottom w:val="single" w:color="000000" w:sz="4" w:space="0"/>
              <w:right w:val="single" w:color="000000" w:sz="4" w:space="0"/>
            </w:tcBorders>
            <w:shd w:val="clear" w:color="000000" w:fill="FFFFFF"/>
            <w:noWrap w:val="0"/>
            <w:vAlign w:val="center"/>
          </w:tcPr>
          <w:p w14:paraId="6E9C9B88">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44777FA5">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5946D6CF">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营业范围：</w:t>
            </w:r>
          </w:p>
        </w:tc>
        <w:tc>
          <w:tcPr>
            <w:tcW w:w="7100" w:type="dxa"/>
            <w:gridSpan w:val="5"/>
            <w:tcBorders>
              <w:top w:val="single" w:color="000000" w:sz="4" w:space="0"/>
              <w:left w:val="nil"/>
              <w:bottom w:val="single" w:color="000000" w:sz="4" w:space="0"/>
              <w:right w:val="single" w:color="000000" w:sz="4" w:space="0"/>
            </w:tcBorders>
            <w:shd w:val="clear" w:color="000000" w:fill="FFFFFF"/>
            <w:noWrap w:val="0"/>
            <w:vAlign w:val="center"/>
          </w:tcPr>
          <w:p w14:paraId="2DF9144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4D5393D4">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6D654DA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统一社会信用代码：</w:t>
            </w:r>
          </w:p>
        </w:tc>
        <w:tc>
          <w:tcPr>
            <w:tcW w:w="987" w:type="dxa"/>
            <w:tcBorders>
              <w:top w:val="nil"/>
              <w:left w:val="nil"/>
              <w:bottom w:val="single" w:color="000000" w:sz="4" w:space="0"/>
              <w:right w:val="single" w:color="000000" w:sz="4" w:space="0"/>
            </w:tcBorders>
            <w:shd w:val="clear" w:color="000000" w:fill="FFFFFF"/>
            <w:noWrap w:val="0"/>
            <w:vAlign w:val="center"/>
          </w:tcPr>
          <w:p w14:paraId="760A34F2">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5DC9351E">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注册资本</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元</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t>
            </w:r>
          </w:p>
        </w:tc>
        <w:tc>
          <w:tcPr>
            <w:tcW w:w="3785" w:type="dxa"/>
            <w:gridSpan w:val="3"/>
            <w:tcBorders>
              <w:top w:val="nil"/>
              <w:left w:val="nil"/>
              <w:bottom w:val="single" w:color="000000" w:sz="4" w:space="0"/>
              <w:right w:val="single" w:color="000000" w:sz="4" w:space="0"/>
            </w:tcBorders>
            <w:shd w:val="clear" w:color="000000" w:fill="FFFFFF"/>
            <w:noWrap w:val="0"/>
            <w:vAlign w:val="center"/>
          </w:tcPr>
          <w:p w14:paraId="1619AC5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7ABD948D">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1486FAD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建立日期：</w:t>
            </w:r>
          </w:p>
        </w:tc>
        <w:tc>
          <w:tcPr>
            <w:tcW w:w="987" w:type="dxa"/>
            <w:tcBorders>
              <w:top w:val="nil"/>
              <w:left w:val="nil"/>
              <w:bottom w:val="single" w:color="000000" w:sz="4" w:space="0"/>
              <w:right w:val="single" w:color="000000" w:sz="4" w:space="0"/>
            </w:tcBorders>
            <w:shd w:val="clear" w:color="000000" w:fill="FFFFFF"/>
            <w:noWrap w:val="0"/>
            <w:vAlign w:val="center"/>
          </w:tcPr>
          <w:p w14:paraId="1E86B100">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5D05A73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现有职工总人数</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w:t>
            </w:r>
          </w:p>
        </w:tc>
        <w:tc>
          <w:tcPr>
            <w:tcW w:w="3785"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00C6B04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74F886CA">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080C7021">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办公地址：</w:t>
            </w:r>
          </w:p>
        </w:tc>
        <w:tc>
          <w:tcPr>
            <w:tcW w:w="4169"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1ADA4D3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2C52FF3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邮编：</w:t>
            </w:r>
          </w:p>
        </w:tc>
        <w:tc>
          <w:tcPr>
            <w:tcW w:w="980" w:type="dxa"/>
            <w:tcBorders>
              <w:top w:val="nil"/>
              <w:left w:val="nil"/>
              <w:bottom w:val="single" w:color="000000" w:sz="4" w:space="0"/>
              <w:right w:val="single" w:color="000000" w:sz="4" w:space="0"/>
            </w:tcBorders>
            <w:shd w:val="clear" w:color="000000" w:fill="FFFFFF"/>
            <w:noWrap w:val="0"/>
            <w:vAlign w:val="center"/>
          </w:tcPr>
          <w:p w14:paraId="13D189FA">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2811FFB2">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2C92077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p>
        </w:tc>
        <w:tc>
          <w:tcPr>
            <w:tcW w:w="987" w:type="dxa"/>
            <w:tcBorders>
              <w:top w:val="nil"/>
              <w:left w:val="nil"/>
              <w:bottom w:val="single" w:color="000000" w:sz="4" w:space="0"/>
              <w:right w:val="single" w:color="000000" w:sz="4" w:space="0"/>
            </w:tcBorders>
            <w:shd w:val="clear" w:color="000000" w:fill="FFFFFF"/>
            <w:noWrap w:val="0"/>
            <w:vAlign w:val="center"/>
          </w:tcPr>
          <w:p w14:paraId="3B4223A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2CFF8E2E">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3785"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215A6F30">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54E013C0">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13C3777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法人代表姓名：</w:t>
            </w:r>
          </w:p>
        </w:tc>
        <w:tc>
          <w:tcPr>
            <w:tcW w:w="987" w:type="dxa"/>
            <w:tcBorders>
              <w:top w:val="nil"/>
              <w:left w:val="nil"/>
              <w:bottom w:val="single" w:color="000000" w:sz="4" w:space="0"/>
              <w:right w:val="single" w:color="000000" w:sz="4" w:space="0"/>
            </w:tcBorders>
            <w:shd w:val="clear" w:color="000000" w:fill="FFFFFF"/>
            <w:noWrap w:val="0"/>
            <w:vAlign w:val="center"/>
          </w:tcPr>
          <w:p w14:paraId="3998C36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617CDFC9">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职务：</w:t>
            </w:r>
          </w:p>
        </w:tc>
        <w:tc>
          <w:tcPr>
            <w:tcW w:w="854" w:type="dxa"/>
            <w:tcBorders>
              <w:top w:val="nil"/>
              <w:left w:val="nil"/>
              <w:bottom w:val="single" w:color="000000" w:sz="4" w:space="0"/>
              <w:right w:val="single" w:color="000000" w:sz="4" w:space="0"/>
            </w:tcBorders>
            <w:shd w:val="clear" w:color="000000" w:fill="FFFFFF"/>
            <w:noWrap w:val="0"/>
            <w:vAlign w:val="center"/>
          </w:tcPr>
          <w:p w14:paraId="196991E2">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2732611E">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联系电话：</w:t>
            </w:r>
          </w:p>
        </w:tc>
        <w:tc>
          <w:tcPr>
            <w:tcW w:w="980" w:type="dxa"/>
            <w:tcBorders>
              <w:top w:val="nil"/>
              <w:left w:val="nil"/>
              <w:bottom w:val="single" w:color="000000" w:sz="4" w:space="0"/>
              <w:right w:val="single" w:color="000000" w:sz="4" w:space="0"/>
            </w:tcBorders>
            <w:shd w:val="clear" w:color="000000" w:fill="FFFFFF"/>
            <w:noWrap w:val="0"/>
            <w:vAlign w:val="center"/>
          </w:tcPr>
          <w:p w14:paraId="5DDC506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5D582791">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2F74699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技术负责人姓名：</w:t>
            </w:r>
          </w:p>
        </w:tc>
        <w:tc>
          <w:tcPr>
            <w:tcW w:w="987" w:type="dxa"/>
            <w:tcBorders>
              <w:top w:val="nil"/>
              <w:left w:val="nil"/>
              <w:bottom w:val="single" w:color="000000" w:sz="4" w:space="0"/>
              <w:right w:val="single" w:color="000000" w:sz="4" w:space="0"/>
            </w:tcBorders>
            <w:shd w:val="clear" w:color="000000" w:fill="FFFFFF"/>
            <w:noWrap w:val="0"/>
            <w:vAlign w:val="center"/>
          </w:tcPr>
          <w:p w14:paraId="675CCD90">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69B23F9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技术负责人职务：</w:t>
            </w:r>
          </w:p>
        </w:tc>
        <w:tc>
          <w:tcPr>
            <w:tcW w:w="854" w:type="dxa"/>
            <w:tcBorders>
              <w:top w:val="nil"/>
              <w:left w:val="nil"/>
              <w:bottom w:val="single" w:color="000000" w:sz="4" w:space="0"/>
              <w:right w:val="single" w:color="000000" w:sz="4" w:space="0"/>
            </w:tcBorders>
            <w:shd w:val="clear" w:color="000000" w:fill="FFFFFF"/>
            <w:noWrap w:val="0"/>
            <w:vAlign w:val="center"/>
          </w:tcPr>
          <w:p w14:paraId="0E0B665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55C8ACAE">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技术负责人电话：</w:t>
            </w:r>
          </w:p>
        </w:tc>
        <w:tc>
          <w:tcPr>
            <w:tcW w:w="980" w:type="dxa"/>
            <w:tcBorders>
              <w:top w:val="nil"/>
              <w:left w:val="nil"/>
              <w:bottom w:val="single" w:color="000000" w:sz="4" w:space="0"/>
              <w:right w:val="single" w:color="000000" w:sz="4" w:space="0"/>
            </w:tcBorders>
            <w:shd w:val="clear" w:color="000000" w:fill="FFFFFF"/>
            <w:noWrap w:val="0"/>
            <w:vAlign w:val="center"/>
          </w:tcPr>
          <w:p w14:paraId="497A0A0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668E87C8">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1EBE895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联系人姓名：</w:t>
            </w:r>
          </w:p>
        </w:tc>
        <w:tc>
          <w:tcPr>
            <w:tcW w:w="987" w:type="dxa"/>
            <w:tcBorders>
              <w:top w:val="nil"/>
              <w:left w:val="nil"/>
              <w:bottom w:val="single" w:color="000000" w:sz="4" w:space="0"/>
              <w:right w:val="single" w:color="000000" w:sz="4" w:space="0"/>
            </w:tcBorders>
            <w:shd w:val="clear" w:color="000000" w:fill="FFFFFF"/>
            <w:noWrap w:val="0"/>
            <w:vAlign w:val="center"/>
          </w:tcPr>
          <w:p w14:paraId="0645929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07D0B00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联系人职务：</w:t>
            </w:r>
          </w:p>
        </w:tc>
        <w:tc>
          <w:tcPr>
            <w:tcW w:w="854" w:type="dxa"/>
            <w:tcBorders>
              <w:top w:val="nil"/>
              <w:left w:val="nil"/>
              <w:bottom w:val="single" w:color="000000" w:sz="4" w:space="0"/>
              <w:right w:val="single" w:color="000000" w:sz="4" w:space="0"/>
            </w:tcBorders>
            <w:shd w:val="clear" w:color="000000" w:fill="FFFFFF"/>
            <w:noWrap w:val="0"/>
            <w:vAlign w:val="center"/>
          </w:tcPr>
          <w:p w14:paraId="791197C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7340741F">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联系人电话：</w:t>
            </w:r>
          </w:p>
        </w:tc>
        <w:tc>
          <w:tcPr>
            <w:tcW w:w="980" w:type="dxa"/>
            <w:tcBorders>
              <w:top w:val="nil"/>
              <w:left w:val="nil"/>
              <w:bottom w:val="single" w:color="000000" w:sz="4" w:space="0"/>
              <w:right w:val="single" w:color="000000" w:sz="4" w:space="0"/>
            </w:tcBorders>
            <w:shd w:val="clear" w:color="000000" w:fill="FFFFFF"/>
            <w:noWrap w:val="0"/>
            <w:vAlign w:val="center"/>
          </w:tcPr>
          <w:p w14:paraId="3927CE63">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01D09DB4">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65CEF047">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联系人邮箱：</w:t>
            </w:r>
          </w:p>
        </w:tc>
        <w:tc>
          <w:tcPr>
            <w:tcW w:w="7100" w:type="dxa"/>
            <w:gridSpan w:val="5"/>
            <w:tcBorders>
              <w:top w:val="single" w:color="000000" w:sz="4" w:space="0"/>
              <w:left w:val="nil"/>
              <w:bottom w:val="single" w:color="000000" w:sz="4" w:space="0"/>
              <w:right w:val="single" w:color="000000" w:sz="4" w:space="0"/>
            </w:tcBorders>
            <w:shd w:val="clear" w:color="000000" w:fill="FFFFFF"/>
            <w:noWrap w:val="0"/>
            <w:vAlign w:val="center"/>
          </w:tcPr>
          <w:p w14:paraId="73B51C65">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133063C7">
        <w:tblPrEx>
          <w:tblCellMar>
            <w:top w:w="0" w:type="dxa"/>
            <w:left w:w="108" w:type="dxa"/>
            <w:bottom w:w="0" w:type="dxa"/>
            <w:right w:w="108" w:type="dxa"/>
          </w:tblCellMar>
        </w:tblPrEx>
        <w:trPr>
          <w:trHeight w:val="571"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3F2337BD">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企业资质名称及等级：</w:t>
            </w:r>
          </w:p>
        </w:tc>
        <w:tc>
          <w:tcPr>
            <w:tcW w:w="987" w:type="dxa"/>
            <w:tcBorders>
              <w:top w:val="nil"/>
              <w:left w:val="nil"/>
              <w:bottom w:val="single" w:color="000000" w:sz="4" w:space="0"/>
              <w:right w:val="single" w:color="000000" w:sz="4" w:space="0"/>
            </w:tcBorders>
            <w:shd w:val="clear" w:color="000000" w:fill="FFFFFF"/>
            <w:noWrap w:val="0"/>
            <w:vAlign w:val="center"/>
          </w:tcPr>
          <w:p w14:paraId="43E38C02">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587DE46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企业资质证书号：</w:t>
            </w:r>
          </w:p>
        </w:tc>
        <w:tc>
          <w:tcPr>
            <w:tcW w:w="854" w:type="dxa"/>
            <w:tcBorders>
              <w:top w:val="nil"/>
              <w:left w:val="nil"/>
              <w:bottom w:val="single" w:color="000000" w:sz="4" w:space="0"/>
              <w:right w:val="single" w:color="000000" w:sz="4" w:space="0"/>
            </w:tcBorders>
            <w:shd w:val="clear" w:color="000000" w:fill="FFFFFF"/>
            <w:noWrap w:val="0"/>
            <w:vAlign w:val="center"/>
          </w:tcPr>
          <w:p w14:paraId="28BD3B3F">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5B6DDE13">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企业资质有效期：</w:t>
            </w:r>
          </w:p>
        </w:tc>
        <w:tc>
          <w:tcPr>
            <w:tcW w:w="980" w:type="dxa"/>
            <w:tcBorders>
              <w:top w:val="nil"/>
              <w:left w:val="nil"/>
              <w:bottom w:val="single" w:color="000000" w:sz="4" w:space="0"/>
              <w:right w:val="single" w:color="000000" w:sz="4" w:space="0"/>
            </w:tcBorders>
            <w:shd w:val="clear" w:color="000000" w:fill="FFFFFF"/>
            <w:noWrap w:val="0"/>
            <w:vAlign w:val="center"/>
          </w:tcPr>
          <w:p w14:paraId="080AE1FA">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16A725D3">
        <w:tblPrEx>
          <w:tblCellMar>
            <w:top w:w="0" w:type="dxa"/>
            <w:left w:w="108" w:type="dxa"/>
            <w:bottom w:w="0" w:type="dxa"/>
            <w:right w:w="108" w:type="dxa"/>
          </w:tblCellMar>
        </w:tblPrEx>
        <w:trPr>
          <w:trHeight w:val="571"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46E20CBC">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w:t>
            </w:r>
          </w:p>
        </w:tc>
        <w:tc>
          <w:tcPr>
            <w:tcW w:w="987" w:type="dxa"/>
            <w:tcBorders>
              <w:top w:val="nil"/>
              <w:left w:val="nil"/>
              <w:bottom w:val="single" w:color="000000" w:sz="4" w:space="0"/>
              <w:right w:val="single" w:color="000000" w:sz="4" w:space="0"/>
            </w:tcBorders>
            <w:shd w:val="clear" w:color="000000" w:fill="FFFFFF"/>
            <w:noWrap w:val="0"/>
            <w:vAlign w:val="center"/>
          </w:tcPr>
          <w:p w14:paraId="50F0D9E2">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2328" w:type="dxa"/>
            <w:tcBorders>
              <w:top w:val="nil"/>
              <w:left w:val="nil"/>
              <w:bottom w:val="single" w:color="000000" w:sz="4" w:space="0"/>
              <w:right w:val="single" w:color="000000" w:sz="4" w:space="0"/>
            </w:tcBorders>
            <w:shd w:val="clear" w:color="000000" w:fill="FFFFFF"/>
            <w:noWrap w:val="0"/>
            <w:vAlign w:val="center"/>
          </w:tcPr>
          <w:p w14:paraId="27FB9518">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w:t>
            </w:r>
          </w:p>
        </w:tc>
        <w:tc>
          <w:tcPr>
            <w:tcW w:w="854" w:type="dxa"/>
            <w:tcBorders>
              <w:top w:val="nil"/>
              <w:left w:val="nil"/>
              <w:bottom w:val="single" w:color="000000" w:sz="4" w:space="0"/>
              <w:right w:val="single" w:color="000000" w:sz="4" w:space="0"/>
            </w:tcBorders>
            <w:shd w:val="clear" w:color="000000" w:fill="FFFFFF"/>
            <w:noWrap w:val="0"/>
            <w:vAlign w:val="center"/>
          </w:tcPr>
          <w:p w14:paraId="124D2F59">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33F5DF05">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w:t>
            </w:r>
          </w:p>
        </w:tc>
        <w:tc>
          <w:tcPr>
            <w:tcW w:w="980" w:type="dxa"/>
            <w:tcBorders>
              <w:top w:val="nil"/>
              <w:left w:val="nil"/>
              <w:bottom w:val="single" w:color="000000" w:sz="4" w:space="0"/>
              <w:right w:val="single" w:color="000000" w:sz="4" w:space="0"/>
            </w:tcBorders>
            <w:shd w:val="clear" w:color="000000" w:fill="FFFFFF"/>
            <w:noWrap w:val="0"/>
            <w:vAlign w:val="center"/>
          </w:tcPr>
          <w:p w14:paraId="33486AF4">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6D9E90FD">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0C323391">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ascii="宋体" w:hAnsi="宋体" w:cs="宋体"/>
                <w:color w:val="auto"/>
                <w:sz w:val="21"/>
                <w:szCs w:val="21"/>
                <w:highlight w:val="none"/>
              </w:rPr>
            </w:pPr>
            <w:r>
              <w:rPr>
                <w:rFonts w:hint="eastAsia" w:ascii="宋体" w:hAnsi="宋体" w:cs="宋体"/>
                <w:color w:val="auto"/>
                <w:sz w:val="21"/>
                <w:szCs w:val="21"/>
                <w:highlight w:val="none"/>
              </w:rPr>
              <w:t>信用等级</w:t>
            </w:r>
          </w:p>
        </w:tc>
        <w:tc>
          <w:tcPr>
            <w:tcW w:w="7100" w:type="dxa"/>
            <w:gridSpan w:val="5"/>
            <w:tcBorders>
              <w:top w:val="nil"/>
              <w:left w:val="nil"/>
              <w:bottom w:val="single" w:color="000000" w:sz="4" w:space="0"/>
              <w:right w:val="single" w:color="000000" w:sz="4" w:space="0"/>
            </w:tcBorders>
            <w:shd w:val="clear" w:color="000000" w:fill="FFFFFF"/>
            <w:noWrap w:val="0"/>
            <w:vAlign w:val="center"/>
          </w:tcPr>
          <w:p w14:paraId="295631E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2A1E650C">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26871C6E">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基本户开户行：</w:t>
            </w:r>
          </w:p>
        </w:tc>
        <w:tc>
          <w:tcPr>
            <w:tcW w:w="4169"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2B91ABBB">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c>
          <w:tcPr>
            <w:tcW w:w="1951" w:type="dxa"/>
            <w:tcBorders>
              <w:top w:val="nil"/>
              <w:left w:val="nil"/>
              <w:bottom w:val="single" w:color="000000" w:sz="4" w:space="0"/>
              <w:right w:val="single" w:color="000000" w:sz="4" w:space="0"/>
            </w:tcBorders>
            <w:shd w:val="clear" w:color="000000" w:fill="FFFFFF"/>
            <w:noWrap w:val="0"/>
            <w:vAlign w:val="center"/>
          </w:tcPr>
          <w:p w14:paraId="7D5AD6B6">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基本户户名：</w:t>
            </w:r>
          </w:p>
        </w:tc>
        <w:tc>
          <w:tcPr>
            <w:tcW w:w="980" w:type="dxa"/>
            <w:tcBorders>
              <w:top w:val="nil"/>
              <w:left w:val="nil"/>
              <w:bottom w:val="single" w:color="000000" w:sz="4" w:space="0"/>
              <w:right w:val="single" w:color="000000" w:sz="4" w:space="0"/>
            </w:tcBorders>
            <w:shd w:val="clear" w:color="000000" w:fill="FFFFFF"/>
            <w:noWrap w:val="0"/>
            <w:vAlign w:val="center"/>
          </w:tcPr>
          <w:p w14:paraId="50AEC90A">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r w14:paraId="23E8D028">
        <w:tblPrEx>
          <w:tblCellMar>
            <w:top w:w="0" w:type="dxa"/>
            <w:left w:w="108" w:type="dxa"/>
            <w:bottom w:w="0" w:type="dxa"/>
            <w:right w:w="108" w:type="dxa"/>
          </w:tblCellMar>
        </w:tblPrEx>
        <w:trPr>
          <w:trHeight w:val="20" w:hRule="atLeast"/>
          <w:jc w:val="center"/>
        </w:trPr>
        <w:tc>
          <w:tcPr>
            <w:tcW w:w="2266" w:type="dxa"/>
            <w:tcBorders>
              <w:top w:val="nil"/>
              <w:left w:val="single" w:color="000000" w:sz="4" w:space="0"/>
              <w:bottom w:val="single" w:color="000000" w:sz="4" w:space="0"/>
              <w:right w:val="single" w:color="000000" w:sz="4" w:space="0"/>
            </w:tcBorders>
            <w:shd w:val="clear" w:color="000000" w:fill="FFFFFF"/>
            <w:noWrap w:val="0"/>
            <w:vAlign w:val="center"/>
          </w:tcPr>
          <w:p w14:paraId="3D949A33">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基本户账号：</w:t>
            </w:r>
          </w:p>
        </w:tc>
        <w:tc>
          <w:tcPr>
            <w:tcW w:w="7100" w:type="dxa"/>
            <w:gridSpan w:val="5"/>
            <w:tcBorders>
              <w:top w:val="single" w:color="000000" w:sz="4" w:space="0"/>
              <w:left w:val="nil"/>
              <w:bottom w:val="single" w:color="000000" w:sz="4" w:space="0"/>
              <w:right w:val="single" w:color="000000" w:sz="4" w:space="0"/>
            </w:tcBorders>
            <w:shd w:val="clear" w:color="000000" w:fill="FFFFFF"/>
            <w:noWrap w:val="0"/>
            <w:vAlign w:val="center"/>
          </w:tcPr>
          <w:p w14:paraId="5A8101D1">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宋体" w:hAnsi="宋体" w:cs="宋体"/>
                <w:color w:val="auto"/>
                <w:sz w:val="21"/>
                <w:szCs w:val="21"/>
                <w:highlight w:val="none"/>
              </w:rPr>
            </w:pPr>
          </w:p>
        </w:tc>
      </w:tr>
    </w:tbl>
    <w:p w14:paraId="756E647F">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6E529863">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注：</w:t>
      </w:r>
    </w:p>
    <w:p w14:paraId="6E6BECD1">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1、格式可扩展</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本表后附资格</w:t>
      </w:r>
      <w:r>
        <w:rPr>
          <w:rFonts w:hint="eastAsia" w:ascii="宋体" w:hAnsi="宋体" w:cs="宋体"/>
          <w:b/>
          <w:color w:val="auto"/>
          <w:kern w:val="0"/>
          <w:sz w:val="21"/>
          <w:szCs w:val="21"/>
          <w:highlight w:val="none"/>
          <w:lang w:val="en-US" w:eastAsia="zh-CN"/>
        </w:rPr>
        <w:t>要求</w:t>
      </w:r>
      <w:r>
        <w:rPr>
          <w:rFonts w:hint="eastAsia" w:ascii="宋体" w:hAnsi="宋体" w:cs="宋体"/>
          <w:b/>
          <w:color w:val="auto"/>
          <w:kern w:val="0"/>
          <w:sz w:val="21"/>
          <w:szCs w:val="21"/>
          <w:highlight w:val="none"/>
        </w:rPr>
        <w:t>所涉内容的证明材料</w:t>
      </w:r>
      <w:r>
        <w:rPr>
          <w:rFonts w:hint="eastAsia" w:ascii="宋体" w:hAnsi="宋体" w:cs="宋体"/>
          <w:b/>
          <w:color w:val="auto"/>
          <w:kern w:val="0"/>
          <w:sz w:val="21"/>
          <w:szCs w:val="21"/>
          <w:highlight w:val="none"/>
          <w:lang w:val="en-US" w:eastAsia="zh-CN"/>
        </w:rPr>
        <w:t>复印件或</w:t>
      </w:r>
      <w:r>
        <w:rPr>
          <w:rFonts w:hint="eastAsia" w:ascii="宋体" w:hAnsi="宋体" w:cs="宋体"/>
          <w:b/>
          <w:color w:val="auto"/>
          <w:kern w:val="0"/>
          <w:sz w:val="21"/>
          <w:szCs w:val="21"/>
          <w:highlight w:val="none"/>
        </w:rPr>
        <w:t>扫描件</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并</w:t>
      </w:r>
      <w:r>
        <w:rPr>
          <w:rFonts w:hint="eastAsia" w:ascii="宋体" w:hAnsi="宋体" w:cs="宋体"/>
          <w:b/>
          <w:color w:val="auto"/>
          <w:kern w:val="0"/>
          <w:sz w:val="21"/>
          <w:szCs w:val="21"/>
          <w:highlight w:val="none"/>
          <w:u w:val="single"/>
        </w:rPr>
        <w:t>加盖单位公章</w:t>
      </w:r>
      <w:r>
        <w:rPr>
          <w:rFonts w:hint="eastAsia" w:ascii="宋体" w:hAnsi="宋体" w:cs="宋体"/>
          <w:b/>
          <w:color w:val="auto"/>
          <w:kern w:val="0"/>
          <w:sz w:val="21"/>
          <w:szCs w:val="21"/>
          <w:highlight w:val="none"/>
        </w:rPr>
        <w:t>。</w:t>
      </w:r>
    </w:p>
    <w:p w14:paraId="451033E4">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7037DE53">
      <w:pPr>
        <w:wordWrap w:val="0"/>
        <w:snapToGrid w:val="0"/>
        <w:spacing w:before="120" w:beforeLines="50" w:after="120" w:afterLines="50"/>
        <w:jc w:val="center"/>
        <w:outlineLvl w:val="2"/>
        <w:rPr>
          <w:rFonts w:hint="eastAsia" w:ascii="宋体" w:hAnsi="宋体" w:cs="宋体"/>
          <w:b/>
          <w:color w:val="auto"/>
          <w:kern w:val="0"/>
          <w:sz w:val="24"/>
          <w:highlight w:val="none"/>
        </w:rPr>
      </w:pPr>
      <w:r>
        <w:rPr>
          <w:rFonts w:hint="eastAsia" w:ascii="宋体" w:hAnsi="宋体" w:cs="宋体"/>
          <w:b/>
          <w:color w:val="auto"/>
          <w:kern w:val="0"/>
          <w:sz w:val="21"/>
          <w:szCs w:val="21"/>
          <w:highlight w:val="none"/>
        </w:rPr>
        <w:br w:type="page"/>
      </w:r>
      <w:r>
        <w:rPr>
          <w:rFonts w:hint="eastAsia" w:ascii="宋体" w:hAnsi="宋体" w:cs="宋体"/>
          <w:b/>
          <w:color w:val="auto"/>
          <w:kern w:val="0"/>
          <w:sz w:val="24"/>
          <w:highlight w:val="none"/>
        </w:rPr>
        <w:t>表2 拟投入本标段主要人员情况表</w:t>
      </w:r>
    </w:p>
    <w:tbl>
      <w:tblPr>
        <w:tblStyle w:val="30"/>
        <w:tblW w:w="10003" w:type="dxa"/>
        <w:jc w:val="center"/>
        <w:tblLayout w:type="fixed"/>
        <w:tblCellMar>
          <w:top w:w="0" w:type="dxa"/>
          <w:left w:w="108" w:type="dxa"/>
          <w:bottom w:w="0" w:type="dxa"/>
          <w:right w:w="108" w:type="dxa"/>
        </w:tblCellMar>
      </w:tblPr>
      <w:tblGrid>
        <w:gridCol w:w="645"/>
        <w:gridCol w:w="1383"/>
        <w:gridCol w:w="803"/>
        <w:gridCol w:w="719"/>
        <w:gridCol w:w="725"/>
        <w:gridCol w:w="948"/>
        <w:gridCol w:w="717"/>
        <w:gridCol w:w="1014"/>
        <w:gridCol w:w="1062"/>
        <w:gridCol w:w="1222"/>
        <w:gridCol w:w="765"/>
      </w:tblGrid>
      <w:tr w14:paraId="000D6DEF">
        <w:tblPrEx>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auto" w:sz="4" w:space="0"/>
              <w:right w:val="single" w:color="000000" w:sz="4" w:space="0"/>
            </w:tcBorders>
            <w:shd w:val="clear" w:color="000000" w:fill="FFFFFF"/>
            <w:noWrap w:val="0"/>
            <w:vAlign w:val="center"/>
          </w:tcPr>
          <w:p w14:paraId="3CE8717C">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序号</w:t>
            </w:r>
          </w:p>
        </w:tc>
        <w:tc>
          <w:tcPr>
            <w:tcW w:w="1383" w:type="dxa"/>
            <w:tcBorders>
              <w:top w:val="single" w:color="000000" w:sz="4" w:space="0"/>
              <w:left w:val="nil"/>
              <w:bottom w:val="single" w:color="auto" w:sz="4" w:space="0"/>
              <w:right w:val="single" w:color="000000" w:sz="4" w:space="0"/>
            </w:tcBorders>
            <w:shd w:val="clear" w:color="000000" w:fill="FFFFFF"/>
            <w:noWrap w:val="0"/>
            <w:vAlign w:val="center"/>
          </w:tcPr>
          <w:p w14:paraId="0A3BB01C">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在本项目中</w:t>
            </w:r>
          </w:p>
          <w:p w14:paraId="707DC905">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担任职务</w:t>
            </w:r>
          </w:p>
        </w:tc>
        <w:tc>
          <w:tcPr>
            <w:tcW w:w="803" w:type="dxa"/>
            <w:tcBorders>
              <w:top w:val="single" w:color="000000" w:sz="4" w:space="0"/>
              <w:left w:val="nil"/>
              <w:bottom w:val="single" w:color="auto" w:sz="4" w:space="0"/>
              <w:right w:val="single" w:color="000000" w:sz="4" w:space="0"/>
            </w:tcBorders>
            <w:shd w:val="clear" w:color="000000" w:fill="FFFFFF"/>
            <w:noWrap w:val="0"/>
            <w:vAlign w:val="center"/>
          </w:tcPr>
          <w:p w14:paraId="167A4EE1">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姓名</w:t>
            </w:r>
          </w:p>
        </w:tc>
        <w:tc>
          <w:tcPr>
            <w:tcW w:w="719" w:type="dxa"/>
            <w:tcBorders>
              <w:top w:val="single" w:color="000000" w:sz="4" w:space="0"/>
              <w:left w:val="nil"/>
              <w:bottom w:val="single" w:color="auto" w:sz="4" w:space="0"/>
              <w:right w:val="single" w:color="000000" w:sz="4" w:space="0"/>
            </w:tcBorders>
            <w:shd w:val="clear" w:color="000000" w:fill="FFFFFF"/>
            <w:noWrap w:val="0"/>
            <w:vAlign w:val="center"/>
          </w:tcPr>
          <w:p w14:paraId="1AD7B1F5">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年龄</w:t>
            </w:r>
          </w:p>
        </w:tc>
        <w:tc>
          <w:tcPr>
            <w:tcW w:w="725" w:type="dxa"/>
            <w:tcBorders>
              <w:top w:val="single" w:color="000000" w:sz="4" w:space="0"/>
              <w:left w:val="nil"/>
              <w:bottom w:val="single" w:color="auto" w:sz="4" w:space="0"/>
              <w:right w:val="single" w:color="000000" w:sz="4" w:space="0"/>
            </w:tcBorders>
            <w:shd w:val="clear" w:color="000000" w:fill="FFFFFF"/>
            <w:noWrap w:val="0"/>
            <w:vAlign w:val="center"/>
          </w:tcPr>
          <w:p w14:paraId="0869C5DF">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技术</w:t>
            </w:r>
          </w:p>
          <w:p w14:paraId="4466C5A8">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职称</w:t>
            </w:r>
          </w:p>
        </w:tc>
        <w:tc>
          <w:tcPr>
            <w:tcW w:w="948" w:type="dxa"/>
            <w:tcBorders>
              <w:top w:val="single" w:color="000000" w:sz="4" w:space="0"/>
              <w:left w:val="nil"/>
              <w:bottom w:val="single" w:color="auto" w:sz="4" w:space="0"/>
              <w:right w:val="single" w:color="000000" w:sz="4" w:space="0"/>
            </w:tcBorders>
            <w:shd w:val="clear" w:color="000000" w:fill="FFFFFF"/>
            <w:noWrap w:val="0"/>
            <w:vAlign w:val="center"/>
          </w:tcPr>
          <w:p w14:paraId="6FDA2274">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职称</w:t>
            </w:r>
          </w:p>
          <w:p w14:paraId="295FD5B7">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专业</w:t>
            </w:r>
          </w:p>
        </w:tc>
        <w:tc>
          <w:tcPr>
            <w:tcW w:w="717" w:type="dxa"/>
            <w:tcBorders>
              <w:top w:val="single" w:color="000000" w:sz="4" w:space="0"/>
              <w:left w:val="nil"/>
              <w:bottom w:val="single" w:color="auto" w:sz="4" w:space="0"/>
              <w:right w:val="single" w:color="000000" w:sz="4" w:space="0"/>
            </w:tcBorders>
            <w:shd w:val="clear" w:color="000000" w:fill="FFFFFF"/>
            <w:noWrap w:val="0"/>
            <w:vAlign w:val="center"/>
          </w:tcPr>
          <w:p w14:paraId="5A6E2AAF">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工作</w:t>
            </w:r>
          </w:p>
          <w:p w14:paraId="3C05F93D">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年限</w:t>
            </w:r>
          </w:p>
        </w:tc>
        <w:tc>
          <w:tcPr>
            <w:tcW w:w="1014" w:type="dxa"/>
            <w:tcBorders>
              <w:top w:val="single" w:color="000000" w:sz="4" w:space="0"/>
              <w:left w:val="nil"/>
              <w:bottom w:val="single" w:color="auto" w:sz="4" w:space="0"/>
              <w:right w:val="single" w:color="000000" w:sz="4" w:space="0"/>
            </w:tcBorders>
            <w:shd w:val="clear" w:color="000000" w:fill="FFFFFF"/>
            <w:noWrap w:val="0"/>
            <w:vAlign w:val="center"/>
          </w:tcPr>
          <w:p w14:paraId="2CC1F09E">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执业资格名称</w:t>
            </w:r>
          </w:p>
        </w:tc>
        <w:tc>
          <w:tcPr>
            <w:tcW w:w="1062" w:type="dxa"/>
            <w:tcBorders>
              <w:top w:val="single" w:color="000000" w:sz="4" w:space="0"/>
              <w:left w:val="nil"/>
              <w:bottom w:val="single" w:color="auto" w:sz="4" w:space="0"/>
              <w:right w:val="single" w:color="000000" w:sz="4" w:space="0"/>
            </w:tcBorders>
            <w:shd w:val="clear" w:color="000000" w:fill="FFFFFF"/>
            <w:noWrap w:val="0"/>
            <w:vAlign w:val="center"/>
          </w:tcPr>
          <w:p w14:paraId="2AB9740B">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执业资格编号</w:t>
            </w:r>
          </w:p>
        </w:tc>
        <w:tc>
          <w:tcPr>
            <w:tcW w:w="1222" w:type="dxa"/>
            <w:tcBorders>
              <w:top w:val="single" w:color="000000" w:sz="4" w:space="0"/>
              <w:left w:val="nil"/>
              <w:bottom w:val="single" w:color="auto" w:sz="4" w:space="0"/>
              <w:right w:val="single" w:color="000000" w:sz="4" w:space="0"/>
            </w:tcBorders>
            <w:shd w:val="clear" w:color="000000" w:fill="FFFFFF"/>
            <w:noWrap w:val="0"/>
            <w:vAlign w:val="center"/>
          </w:tcPr>
          <w:p w14:paraId="659CC7CB">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执业资格有效期</w:t>
            </w:r>
          </w:p>
        </w:tc>
        <w:tc>
          <w:tcPr>
            <w:tcW w:w="765" w:type="dxa"/>
            <w:tcBorders>
              <w:top w:val="single" w:color="000000" w:sz="4" w:space="0"/>
              <w:left w:val="nil"/>
              <w:bottom w:val="single" w:color="auto" w:sz="4" w:space="0"/>
              <w:right w:val="single" w:color="000000" w:sz="4" w:space="0"/>
            </w:tcBorders>
            <w:shd w:val="clear" w:color="000000" w:fill="FFFFFF"/>
            <w:noWrap w:val="0"/>
            <w:vAlign w:val="center"/>
          </w:tcPr>
          <w:p w14:paraId="139149F4">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备注</w:t>
            </w:r>
          </w:p>
        </w:tc>
      </w:tr>
      <w:tr w14:paraId="5FE319F7">
        <w:tblPrEx>
          <w:tblCellMar>
            <w:top w:w="0" w:type="dxa"/>
            <w:left w:w="108" w:type="dxa"/>
            <w:bottom w:w="0" w:type="dxa"/>
            <w:right w:w="108" w:type="dxa"/>
          </w:tblCellMar>
        </w:tblPrEx>
        <w:trPr>
          <w:trHeight w:val="15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FB19EC1">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ADAD106">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项目负责人</w:t>
            </w: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B9C0A67">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D03C763">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5CF430">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1241E0B">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B928447">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387A5C4">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3079E5B">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1D108938">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4B989B0">
            <w:pPr>
              <w:widowControl/>
              <w:jc w:val="center"/>
              <w:rPr>
                <w:rFonts w:hint="eastAsia" w:ascii="宋体" w:hAnsi="宋体" w:cs="宋体"/>
                <w:color w:val="auto"/>
                <w:kern w:val="0"/>
                <w:sz w:val="21"/>
                <w:szCs w:val="21"/>
                <w:highlight w:val="none"/>
              </w:rPr>
            </w:pPr>
          </w:p>
        </w:tc>
      </w:tr>
      <w:tr w14:paraId="2D8A290D">
        <w:tblPrEx>
          <w:tblCellMar>
            <w:top w:w="0" w:type="dxa"/>
            <w:left w:w="108" w:type="dxa"/>
            <w:bottom w:w="0" w:type="dxa"/>
            <w:right w:w="108" w:type="dxa"/>
          </w:tblCellMar>
        </w:tblPrEx>
        <w:trPr>
          <w:trHeight w:val="15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791A221">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2</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F022422">
            <w:pPr>
              <w:widowControl/>
              <w:jc w:val="center"/>
              <w:rPr>
                <w:rFonts w:hint="eastAsia" w:ascii="宋体" w:hAnsi="宋体" w:cs="宋体"/>
                <w:color w:val="auto"/>
                <w:kern w:val="0"/>
                <w:sz w:val="21"/>
                <w:szCs w:val="21"/>
                <w:highlight w:val="none"/>
              </w:rPr>
            </w:pP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9EB1B5">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EB79A9F">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9A621CC">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2C62CC3">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504F4C5">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D864511">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8BDFC4D">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0331168">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0893A97D">
            <w:pPr>
              <w:widowControl/>
              <w:jc w:val="center"/>
              <w:rPr>
                <w:rFonts w:hint="eastAsia" w:ascii="宋体" w:hAnsi="宋体" w:cs="宋体"/>
                <w:color w:val="auto"/>
                <w:kern w:val="0"/>
                <w:sz w:val="21"/>
                <w:szCs w:val="21"/>
                <w:highlight w:val="none"/>
              </w:rPr>
            </w:pPr>
          </w:p>
        </w:tc>
      </w:tr>
      <w:tr w14:paraId="22875657">
        <w:tblPrEx>
          <w:tblCellMar>
            <w:top w:w="0" w:type="dxa"/>
            <w:left w:w="108" w:type="dxa"/>
            <w:bottom w:w="0" w:type="dxa"/>
            <w:right w:w="108" w:type="dxa"/>
          </w:tblCellMar>
        </w:tblPrEx>
        <w:trPr>
          <w:trHeight w:val="15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0422DCE">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195ABA6">
            <w:pPr>
              <w:widowControl/>
              <w:jc w:val="center"/>
              <w:rPr>
                <w:rFonts w:hint="eastAsia" w:ascii="宋体" w:hAnsi="宋体" w:cs="宋体"/>
                <w:color w:val="auto"/>
                <w:kern w:val="0"/>
                <w:sz w:val="21"/>
                <w:szCs w:val="21"/>
                <w:highlight w:val="none"/>
              </w:rPr>
            </w:pP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A2F914F">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D3E7991">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72F4325">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9B2E960">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3E73BE7">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668532D">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88735A2">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614B2EFD">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1CA8DEE1">
            <w:pPr>
              <w:widowControl/>
              <w:jc w:val="center"/>
              <w:rPr>
                <w:rFonts w:hint="eastAsia" w:ascii="宋体" w:hAnsi="宋体" w:cs="宋体"/>
                <w:color w:val="auto"/>
                <w:kern w:val="0"/>
                <w:sz w:val="21"/>
                <w:szCs w:val="21"/>
                <w:highlight w:val="none"/>
              </w:rPr>
            </w:pPr>
          </w:p>
        </w:tc>
      </w:tr>
      <w:tr w14:paraId="224D45C5">
        <w:tblPrEx>
          <w:tblCellMar>
            <w:top w:w="0" w:type="dxa"/>
            <w:left w:w="108" w:type="dxa"/>
            <w:bottom w:w="0" w:type="dxa"/>
            <w:right w:w="108" w:type="dxa"/>
          </w:tblCellMar>
        </w:tblPrEx>
        <w:trPr>
          <w:trHeight w:val="15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2B1C546">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4</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CF37E3D">
            <w:pPr>
              <w:widowControl/>
              <w:jc w:val="center"/>
              <w:rPr>
                <w:rFonts w:hint="eastAsia" w:ascii="宋体" w:hAnsi="宋体" w:cs="宋体"/>
                <w:color w:val="auto"/>
                <w:kern w:val="0"/>
                <w:sz w:val="21"/>
                <w:szCs w:val="21"/>
                <w:highlight w:val="none"/>
              </w:rPr>
            </w:pP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CAB0157">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B511E38">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804648F">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597DFF0">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9581DF8">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94F4C54">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184CA1E">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12273CC8">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752F54E3">
            <w:pPr>
              <w:widowControl/>
              <w:jc w:val="center"/>
              <w:rPr>
                <w:rFonts w:hint="eastAsia" w:ascii="宋体" w:hAnsi="宋体" w:cs="宋体"/>
                <w:color w:val="auto"/>
                <w:kern w:val="0"/>
                <w:sz w:val="21"/>
                <w:szCs w:val="21"/>
                <w:highlight w:val="none"/>
              </w:rPr>
            </w:pPr>
          </w:p>
        </w:tc>
      </w:tr>
      <w:tr w14:paraId="6597FED4">
        <w:tblPrEx>
          <w:tblCellMar>
            <w:top w:w="0" w:type="dxa"/>
            <w:left w:w="108" w:type="dxa"/>
            <w:bottom w:w="0" w:type="dxa"/>
            <w:right w:w="108" w:type="dxa"/>
          </w:tblCellMar>
        </w:tblPrEx>
        <w:trPr>
          <w:trHeight w:val="15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0A5C084">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5</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60DF415">
            <w:pPr>
              <w:widowControl/>
              <w:jc w:val="center"/>
              <w:rPr>
                <w:rFonts w:hint="eastAsia" w:ascii="宋体" w:hAnsi="宋体" w:cs="宋体"/>
                <w:color w:val="auto"/>
                <w:kern w:val="0"/>
                <w:sz w:val="21"/>
                <w:szCs w:val="21"/>
                <w:highlight w:val="none"/>
              </w:rPr>
            </w:pP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3E53683">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704314D">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B772740">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31B50D9">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B5A8AAB">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2390788">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9AF7048">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68D07770">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412119BC">
            <w:pPr>
              <w:widowControl/>
              <w:jc w:val="center"/>
              <w:rPr>
                <w:rFonts w:hint="eastAsia" w:ascii="宋体" w:hAnsi="宋体" w:cs="宋体"/>
                <w:color w:val="auto"/>
                <w:kern w:val="0"/>
                <w:sz w:val="21"/>
                <w:szCs w:val="21"/>
                <w:highlight w:val="none"/>
              </w:rPr>
            </w:pPr>
          </w:p>
        </w:tc>
      </w:tr>
      <w:tr w14:paraId="3B7C2EFA">
        <w:tblPrEx>
          <w:tblCellMar>
            <w:top w:w="0" w:type="dxa"/>
            <w:left w:w="108" w:type="dxa"/>
            <w:bottom w:w="0" w:type="dxa"/>
            <w:right w:w="108" w:type="dxa"/>
          </w:tblCellMar>
        </w:tblPrEx>
        <w:trPr>
          <w:trHeight w:val="37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68B7CA9">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6</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E2B5C80">
            <w:pPr>
              <w:widowControl/>
              <w:jc w:val="center"/>
              <w:rPr>
                <w:rFonts w:hint="eastAsia" w:ascii="宋体" w:hAnsi="宋体" w:cs="宋体"/>
                <w:color w:val="auto"/>
                <w:kern w:val="0"/>
                <w:sz w:val="21"/>
                <w:szCs w:val="21"/>
                <w:highlight w:val="none"/>
              </w:rPr>
            </w:pP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A7A9FA1">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4133388">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601A4E">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BC07200">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48D5507">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D43EC4F">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49F40CF">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EAC95C4">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24416034">
            <w:pPr>
              <w:widowControl/>
              <w:jc w:val="center"/>
              <w:rPr>
                <w:rFonts w:hint="eastAsia" w:ascii="宋体" w:hAnsi="宋体" w:cs="宋体"/>
                <w:color w:val="auto"/>
                <w:kern w:val="0"/>
                <w:sz w:val="21"/>
                <w:szCs w:val="21"/>
                <w:highlight w:val="none"/>
              </w:rPr>
            </w:pPr>
          </w:p>
        </w:tc>
      </w:tr>
      <w:tr w14:paraId="72733B53">
        <w:tblPrEx>
          <w:tblCellMar>
            <w:top w:w="0" w:type="dxa"/>
            <w:left w:w="108" w:type="dxa"/>
            <w:bottom w:w="0" w:type="dxa"/>
            <w:right w:w="108" w:type="dxa"/>
          </w:tblCellMar>
        </w:tblPrEx>
        <w:trPr>
          <w:trHeight w:val="378" w:hRule="atLeast"/>
          <w:jc w:val="center"/>
        </w:trPr>
        <w:tc>
          <w:tcPr>
            <w:tcW w:w="64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F3DA6C6">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w:t>
            </w:r>
          </w:p>
        </w:tc>
        <w:tc>
          <w:tcPr>
            <w:tcW w:w="138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E5A38CF">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w:t>
            </w:r>
          </w:p>
        </w:tc>
        <w:tc>
          <w:tcPr>
            <w:tcW w:w="803"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74BC9A7">
            <w:pPr>
              <w:widowControl/>
              <w:jc w:val="center"/>
              <w:rPr>
                <w:rFonts w:hint="eastAsia" w:ascii="宋体" w:hAnsi="宋体" w:cs="宋体"/>
                <w:color w:val="auto"/>
                <w:kern w:val="0"/>
                <w:sz w:val="21"/>
                <w:szCs w:val="21"/>
                <w:highlight w:val="none"/>
              </w:rPr>
            </w:pPr>
          </w:p>
        </w:tc>
        <w:tc>
          <w:tcPr>
            <w:tcW w:w="71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F1F0C01">
            <w:pPr>
              <w:widowControl/>
              <w:jc w:val="center"/>
              <w:rPr>
                <w:rFonts w:hint="eastAsia" w:ascii="宋体" w:hAnsi="宋体" w:cs="宋体"/>
                <w:color w:val="auto"/>
                <w:kern w:val="0"/>
                <w:sz w:val="21"/>
                <w:szCs w:val="21"/>
                <w:highlight w:val="none"/>
              </w:rPr>
            </w:pPr>
          </w:p>
        </w:tc>
        <w:tc>
          <w:tcPr>
            <w:tcW w:w="7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7DD11FD">
            <w:pPr>
              <w:widowControl/>
              <w:jc w:val="center"/>
              <w:rPr>
                <w:rFonts w:hint="eastAsia" w:ascii="宋体" w:hAnsi="宋体" w:cs="宋体"/>
                <w:color w:val="auto"/>
                <w:kern w:val="0"/>
                <w:sz w:val="21"/>
                <w:szCs w:val="21"/>
                <w:highlight w:val="none"/>
              </w:rPr>
            </w:pPr>
          </w:p>
        </w:tc>
        <w:tc>
          <w:tcPr>
            <w:tcW w:w="94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3FC65D2">
            <w:pPr>
              <w:widowControl/>
              <w:jc w:val="center"/>
              <w:rPr>
                <w:rFonts w:hint="eastAsia" w:ascii="宋体" w:hAnsi="宋体" w:cs="宋体"/>
                <w:color w:val="auto"/>
                <w:kern w:val="0"/>
                <w:sz w:val="21"/>
                <w:szCs w:val="21"/>
                <w:highlight w:val="none"/>
              </w:rPr>
            </w:pPr>
          </w:p>
        </w:tc>
        <w:tc>
          <w:tcPr>
            <w:tcW w:w="717"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141F20D">
            <w:pPr>
              <w:widowControl/>
              <w:jc w:val="center"/>
              <w:rPr>
                <w:rFonts w:hint="eastAsia" w:ascii="宋体" w:hAnsi="宋体" w:cs="宋体"/>
                <w:color w:val="auto"/>
                <w:kern w:val="0"/>
                <w:sz w:val="21"/>
                <w:szCs w:val="21"/>
                <w:highlight w:val="none"/>
              </w:rPr>
            </w:pPr>
          </w:p>
        </w:tc>
        <w:tc>
          <w:tcPr>
            <w:tcW w:w="1014"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F02C74B">
            <w:pPr>
              <w:widowControl/>
              <w:jc w:val="center"/>
              <w:rPr>
                <w:rFonts w:hint="eastAsia" w:ascii="宋体" w:hAnsi="宋体" w:cs="宋体"/>
                <w:color w:val="auto"/>
                <w:kern w:val="0"/>
                <w:sz w:val="21"/>
                <w:szCs w:val="21"/>
                <w:highlight w:val="none"/>
              </w:rPr>
            </w:pPr>
          </w:p>
        </w:tc>
        <w:tc>
          <w:tcPr>
            <w:tcW w:w="1062"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BA727A5">
            <w:pPr>
              <w:widowControl/>
              <w:jc w:val="center"/>
              <w:rPr>
                <w:rFonts w:hint="eastAsia" w:ascii="宋体" w:hAnsi="宋体" w:cs="宋体"/>
                <w:color w:val="auto"/>
                <w:kern w:val="0"/>
                <w:sz w:val="21"/>
                <w:szCs w:val="21"/>
                <w:highlight w:val="none"/>
              </w:rPr>
            </w:pPr>
          </w:p>
        </w:tc>
        <w:tc>
          <w:tcPr>
            <w:tcW w:w="1222"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4E1AF780">
            <w:pPr>
              <w:widowControl/>
              <w:jc w:val="center"/>
              <w:rPr>
                <w:rFonts w:hint="eastAsia" w:ascii="宋体" w:hAnsi="宋体" w:cs="宋体"/>
                <w:color w:val="auto"/>
                <w:kern w:val="0"/>
                <w:sz w:val="21"/>
                <w:szCs w:val="21"/>
                <w:highlight w:val="none"/>
              </w:rPr>
            </w:pPr>
          </w:p>
        </w:tc>
        <w:tc>
          <w:tcPr>
            <w:tcW w:w="765" w:type="dxa"/>
            <w:tcBorders>
              <w:top w:val="single" w:color="auto" w:sz="4" w:space="0"/>
              <w:left w:val="single" w:color="auto" w:sz="4" w:space="0"/>
              <w:bottom w:val="single" w:color="auto" w:sz="4" w:space="0"/>
              <w:right w:val="single" w:color="auto" w:sz="4" w:space="0"/>
            </w:tcBorders>
            <w:shd w:val="clear" w:color="000000" w:fill="FFFFFF"/>
            <w:noWrap w:val="0"/>
            <w:vAlign w:val="top"/>
          </w:tcPr>
          <w:p w14:paraId="0EB424B2">
            <w:pPr>
              <w:widowControl/>
              <w:jc w:val="center"/>
              <w:rPr>
                <w:rFonts w:hint="eastAsia" w:ascii="宋体" w:hAnsi="宋体" w:cs="宋体"/>
                <w:color w:val="auto"/>
                <w:kern w:val="0"/>
                <w:sz w:val="21"/>
                <w:szCs w:val="21"/>
                <w:highlight w:val="none"/>
              </w:rPr>
            </w:pPr>
          </w:p>
        </w:tc>
      </w:tr>
    </w:tbl>
    <w:p w14:paraId="16691B7C">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6F4A4AD5">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注：</w:t>
      </w:r>
    </w:p>
    <w:p w14:paraId="7F4DF11F">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格式可扩展</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本表后附资格</w:t>
      </w:r>
      <w:r>
        <w:rPr>
          <w:rFonts w:hint="eastAsia" w:ascii="宋体" w:hAnsi="宋体" w:cs="宋体"/>
          <w:b/>
          <w:color w:val="auto"/>
          <w:kern w:val="0"/>
          <w:sz w:val="21"/>
          <w:szCs w:val="21"/>
          <w:highlight w:val="none"/>
          <w:lang w:val="en-US" w:eastAsia="zh-CN"/>
        </w:rPr>
        <w:t>要求</w:t>
      </w:r>
      <w:r>
        <w:rPr>
          <w:rFonts w:hint="eastAsia" w:ascii="宋体" w:hAnsi="宋体" w:cs="宋体"/>
          <w:b/>
          <w:color w:val="auto"/>
          <w:kern w:val="0"/>
          <w:sz w:val="21"/>
          <w:szCs w:val="21"/>
          <w:highlight w:val="none"/>
        </w:rPr>
        <w:t>及评标办法所涉的证明材料</w:t>
      </w:r>
      <w:r>
        <w:rPr>
          <w:rFonts w:hint="eastAsia" w:ascii="宋体" w:hAnsi="宋体" w:cs="宋体"/>
          <w:b/>
          <w:color w:val="auto"/>
          <w:kern w:val="0"/>
          <w:sz w:val="21"/>
          <w:szCs w:val="21"/>
          <w:highlight w:val="none"/>
          <w:lang w:val="en-US" w:eastAsia="zh-CN"/>
        </w:rPr>
        <w:t>复印件或</w:t>
      </w:r>
      <w:r>
        <w:rPr>
          <w:rFonts w:hint="eastAsia" w:ascii="宋体" w:hAnsi="宋体" w:cs="宋体"/>
          <w:b/>
          <w:color w:val="auto"/>
          <w:kern w:val="0"/>
          <w:sz w:val="21"/>
          <w:szCs w:val="21"/>
          <w:highlight w:val="none"/>
        </w:rPr>
        <w:t>扫描件（项目负责人及其他主要人员）</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并</w:t>
      </w:r>
      <w:r>
        <w:rPr>
          <w:rFonts w:hint="eastAsia" w:ascii="宋体" w:hAnsi="宋体" w:cs="宋体"/>
          <w:b/>
          <w:color w:val="auto"/>
          <w:kern w:val="0"/>
          <w:sz w:val="21"/>
          <w:szCs w:val="21"/>
          <w:highlight w:val="none"/>
          <w:u w:val="single"/>
        </w:rPr>
        <w:t>加盖单位公章</w:t>
      </w:r>
      <w:r>
        <w:rPr>
          <w:rFonts w:hint="eastAsia" w:ascii="宋体" w:hAnsi="宋体" w:cs="宋体"/>
          <w:b/>
          <w:color w:val="auto"/>
          <w:kern w:val="0"/>
          <w:sz w:val="21"/>
          <w:szCs w:val="21"/>
          <w:highlight w:val="none"/>
        </w:rPr>
        <w:t>。</w:t>
      </w:r>
    </w:p>
    <w:p w14:paraId="62FA7E37">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lang w:val="en-US" w:eastAsia="zh-CN"/>
        </w:rPr>
        <w:t>拟投入本项目的项目负责人必须为投标单位正式人员，出具投标人为其缴纳的最近3个月（2024年12月~2025年2月或2025年1月~2025年3月）的社保缴费证明[社保缴纳证明材料需含缴费起止时间、缴费单位、缴费人员姓名并由社保机构加盖缴费证明专用章，社保机构官网上打印件与线下的盖章件具有同等效力，缴费单位须与投标人名称一致（投标人下属不具备独立法人资格的分支机构缴纳的社保视为本单位）。若社保缴费证明材料中体现缴费类别的，则至少包含养老保险。]。</w:t>
      </w:r>
    </w:p>
    <w:p w14:paraId="36548406">
      <w:pPr>
        <w:wordWrap w:val="0"/>
        <w:snapToGrid w:val="0"/>
        <w:spacing w:before="120" w:beforeLines="50" w:after="120" w:afterLines="50"/>
        <w:jc w:val="left"/>
        <w:rPr>
          <w:rFonts w:hint="eastAsia" w:ascii="宋体" w:hAnsi="宋体" w:cs="宋体"/>
          <w:b/>
          <w:color w:val="auto"/>
          <w:kern w:val="0"/>
          <w:sz w:val="21"/>
          <w:szCs w:val="21"/>
          <w:highlight w:val="none"/>
        </w:rPr>
      </w:pPr>
    </w:p>
    <w:p w14:paraId="01FF228F">
      <w:pPr>
        <w:wordWrap w:val="0"/>
        <w:snapToGrid w:val="0"/>
        <w:spacing w:before="120" w:beforeLines="50" w:after="120" w:afterLines="50"/>
        <w:jc w:val="center"/>
        <w:outlineLvl w:val="2"/>
        <w:rPr>
          <w:rFonts w:hint="eastAsia" w:ascii="宋体" w:hAnsi="宋体" w:cs="宋体"/>
          <w:b/>
          <w:color w:val="auto"/>
          <w:kern w:val="0"/>
          <w:sz w:val="24"/>
          <w:highlight w:val="none"/>
        </w:rPr>
      </w:pPr>
      <w:r>
        <w:rPr>
          <w:rFonts w:hint="eastAsia" w:ascii="宋体" w:hAnsi="宋体" w:cs="宋体"/>
          <w:b/>
          <w:color w:val="auto"/>
          <w:kern w:val="0"/>
          <w:sz w:val="21"/>
          <w:szCs w:val="21"/>
          <w:highlight w:val="none"/>
        </w:rPr>
        <w:br w:type="page"/>
      </w:r>
      <w:r>
        <w:rPr>
          <w:rFonts w:hint="eastAsia" w:ascii="宋体" w:hAnsi="宋体" w:cs="宋体"/>
          <w:b/>
          <w:color w:val="auto"/>
          <w:kern w:val="0"/>
          <w:sz w:val="24"/>
          <w:highlight w:val="none"/>
        </w:rPr>
        <w:t>表3 拟投入本标段主要人员经历表</w:t>
      </w:r>
    </w:p>
    <w:tbl>
      <w:tblPr>
        <w:tblStyle w:val="30"/>
        <w:tblW w:w="10396" w:type="dxa"/>
        <w:jc w:val="center"/>
        <w:tblLayout w:type="fixed"/>
        <w:tblCellMar>
          <w:top w:w="0" w:type="dxa"/>
          <w:left w:w="108" w:type="dxa"/>
          <w:bottom w:w="0" w:type="dxa"/>
          <w:right w:w="108" w:type="dxa"/>
        </w:tblCellMar>
      </w:tblPr>
      <w:tblGrid>
        <w:gridCol w:w="718"/>
        <w:gridCol w:w="1571"/>
        <w:gridCol w:w="709"/>
        <w:gridCol w:w="1378"/>
        <w:gridCol w:w="1350"/>
        <w:gridCol w:w="1125"/>
        <w:gridCol w:w="760"/>
        <w:gridCol w:w="1159"/>
        <w:gridCol w:w="1136"/>
        <w:gridCol w:w="490"/>
      </w:tblGrid>
      <w:tr w14:paraId="6D52C399">
        <w:tblPrEx>
          <w:tblCellMar>
            <w:top w:w="0" w:type="dxa"/>
            <w:left w:w="108" w:type="dxa"/>
            <w:bottom w:w="0" w:type="dxa"/>
            <w:right w:w="108" w:type="dxa"/>
          </w:tblCellMar>
        </w:tblPrEx>
        <w:trPr>
          <w:trHeight w:val="20" w:hRule="atLeast"/>
          <w:jc w:val="center"/>
        </w:trPr>
        <w:tc>
          <w:tcPr>
            <w:tcW w:w="718" w:type="dxa"/>
            <w:tcBorders>
              <w:top w:val="single" w:color="000000" w:sz="4" w:space="0"/>
              <w:left w:val="single" w:color="000000" w:sz="4" w:space="0"/>
              <w:bottom w:val="single" w:color="auto" w:sz="4" w:space="0"/>
              <w:right w:val="single" w:color="000000" w:sz="4" w:space="0"/>
            </w:tcBorders>
            <w:shd w:val="clear" w:color="000000" w:fill="FFFFFF"/>
            <w:noWrap w:val="0"/>
            <w:vAlign w:val="center"/>
          </w:tcPr>
          <w:p w14:paraId="6B83D22B">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序号</w:t>
            </w:r>
          </w:p>
        </w:tc>
        <w:tc>
          <w:tcPr>
            <w:tcW w:w="1571" w:type="dxa"/>
            <w:tcBorders>
              <w:top w:val="single" w:color="000000" w:sz="4" w:space="0"/>
              <w:left w:val="nil"/>
              <w:bottom w:val="single" w:color="auto" w:sz="4" w:space="0"/>
              <w:right w:val="single" w:color="000000" w:sz="4" w:space="0"/>
            </w:tcBorders>
            <w:shd w:val="clear" w:color="000000" w:fill="FFFFFF"/>
            <w:noWrap w:val="0"/>
            <w:vAlign w:val="center"/>
          </w:tcPr>
          <w:p w14:paraId="565E81ED">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在本项目中</w:t>
            </w:r>
          </w:p>
          <w:p w14:paraId="43AD8E18">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担任职务</w:t>
            </w:r>
          </w:p>
        </w:tc>
        <w:tc>
          <w:tcPr>
            <w:tcW w:w="709" w:type="dxa"/>
            <w:tcBorders>
              <w:top w:val="single" w:color="000000" w:sz="4" w:space="0"/>
              <w:left w:val="nil"/>
              <w:bottom w:val="single" w:color="auto" w:sz="4" w:space="0"/>
              <w:right w:val="single" w:color="000000" w:sz="4" w:space="0"/>
            </w:tcBorders>
            <w:shd w:val="clear" w:color="000000" w:fill="FFFFFF"/>
            <w:noWrap w:val="0"/>
            <w:vAlign w:val="center"/>
          </w:tcPr>
          <w:p w14:paraId="79DB2883">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姓名</w:t>
            </w:r>
          </w:p>
        </w:tc>
        <w:tc>
          <w:tcPr>
            <w:tcW w:w="1378" w:type="dxa"/>
            <w:tcBorders>
              <w:top w:val="single" w:color="000000" w:sz="4" w:space="0"/>
              <w:left w:val="nil"/>
              <w:bottom w:val="single" w:color="auto" w:sz="4" w:space="0"/>
              <w:right w:val="single" w:color="000000" w:sz="4" w:space="0"/>
            </w:tcBorders>
            <w:shd w:val="clear" w:color="000000" w:fill="FFFFFF"/>
            <w:noWrap w:val="0"/>
            <w:vAlign w:val="center"/>
          </w:tcPr>
          <w:p w14:paraId="3065A892">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项目名称</w:t>
            </w:r>
          </w:p>
        </w:tc>
        <w:tc>
          <w:tcPr>
            <w:tcW w:w="1350" w:type="dxa"/>
            <w:tcBorders>
              <w:top w:val="single" w:color="000000" w:sz="4" w:space="0"/>
              <w:left w:val="nil"/>
              <w:bottom w:val="single" w:color="auto" w:sz="4" w:space="0"/>
              <w:right w:val="single" w:color="000000" w:sz="4" w:space="0"/>
            </w:tcBorders>
            <w:shd w:val="clear" w:color="000000" w:fill="FFFFFF"/>
            <w:noWrap w:val="0"/>
            <w:vAlign w:val="center"/>
          </w:tcPr>
          <w:p w14:paraId="6E8DCC7D">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项目简介</w:t>
            </w:r>
          </w:p>
        </w:tc>
        <w:tc>
          <w:tcPr>
            <w:tcW w:w="1125" w:type="dxa"/>
            <w:tcBorders>
              <w:top w:val="single" w:color="000000" w:sz="4" w:space="0"/>
              <w:left w:val="nil"/>
              <w:bottom w:val="single" w:color="auto" w:sz="4" w:space="0"/>
              <w:right w:val="single" w:color="000000" w:sz="4" w:space="0"/>
            </w:tcBorders>
            <w:shd w:val="clear" w:color="000000" w:fill="FFFFFF"/>
            <w:noWrap w:val="0"/>
            <w:vAlign w:val="center"/>
          </w:tcPr>
          <w:p w14:paraId="09F21FC1">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工作内容</w:t>
            </w:r>
          </w:p>
        </w:tc>
        <w:tc>
          <w:tcPr>
            <w:tcW w:w="760" w:type="dxa"/>
            <w:tcBorders>
              <w:top w:val="single" w:color="000000" w:sz="4" w:space="0"/>
              <w:left w:val="nil"/>
              <w:bottom w:val="single" w:color="auto" w:sz="4" w:space="0"/>
              <w:right w:val="single" w:color="000000" w:sz="4" w:space="0"/>
            </w:tcBorders>
            <w:shd w:val="clear" w:color="000000" w:fill="FFFFFF"/>
            <w:noWrap w:val="0"/>
            <w:vAlign w:val="center"/>
          </w:tcPr>
          <w:p w14:paraId="1D37774D">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项目职务</w:t>
            </w:r>
          </w:p>
        </w:tc>
        <w:tc>
          <w:tcPr>
            <w:tcW w:w="1159" w:type="dxa"/>
            <w:tcBorders>
              <w:top w:val="single" w:color="000000" w:sz="4" w:space="0"/>
              <w:left w:val="nil"/>
              <w:bottom w:val="single" w:color="auto" w:sz="4" w:space="0"/>
              <w:right w:val="single" w:color="000000" w:sz="4" w:space="0"/>
            </w:tcBorders>
            <w:shd w:val="clear" w:color="000000" w:fill="FFFFFF"/>
            <w:noWrap w:val="0"/>
            <w:vAlign w:val="center"/>
          </w:tcPr>
          <w:p w14:paraId="0FF2B22F">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合同签订</w:t>
            </w:r>
          </w:p>
          <w:p w14:paraId="689224AF">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时间</w:t>
            </w:r>
          </w:p>
        </w:tc>
        <w:tc>
          <w:tcPr>
            <w:tcW w:w="1136" w:type="dxa"/>
            <w:tcBorders>
              <w:top w:val="single" w:color="000000" w:sz="4" w:space="0"/>
              <w:left w:val="nil"/>
              <w:bottom w:val="single" w:color="auto" w:sz="4" w:space="0"/>
              <w:right w:val="single" w:color="000000" w:sz="4" w:space="0"/>
            </w:tcBorders>
            <w:shd w:val="clear" w:color="000000" w:fill="FFFFFF"/>
            <w:noWrap w:val="0"/>
            <w:vAlign w:val="center"/>
          </w:tcPr>
          <w:p w14:paraId="50BF5E3A">
            <w:pPr>
              <w:widowControl/>
              <w:spacing w:line="240" w:lineRule="auto"/>
              <w:jc w:val="center"/>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rPr>
              <w:t>合同</w:t>
            </w:r>
            <w:r>
              <w:rPr>
                <w:rFonts w:hint="eastAsia" w:ascii="宋体" w:hAnsi="宋体" w:cs="宋体"/>
                <w:color w:val="auto"/>
                <w:kern w:val="0"/>
                <w:sz w:val="21"/>
                <w:szCs w:val="21"/>
                <w:highlight w:val="none"/>
                <w:lang w:val="en-US" w:eastAsia="zh-CN"/>
              </w:rPr>
              <w:t>完成</w:t>
            </w:r>
          </w:p>
          <w:p w14:paraId="25859A58">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时间</w:t>
            </w:r>
          </w:p>
        </w:tc>
        <w:tc>
          <w:tcPr>
            <w:tcW w:w="490" w:type="dxa"/>
            <w:tcBorders>
              <w:top w:val="single" w:color="000000" w:sz="4" w:space="0"/>
              <w:left w:val="nil"/>
              <w:bottom w:val="single" w:color="auto" w:sz="4" w:space="0"/>
              <w:right w:val="single" w:color="000000" w:sz="4" w:space="0"/>
            </w:tcBorders>
            <w:shd w:val="clear" w:color="000000" w:fill="FFFFFF"/>
            <w:noWrap w:val="0"/>
            <w:vAlign w:val="center"/>
          </w:tcPr>
          <w:p w14:paraId="7D555929">
            <w:pPr>
              <w:widowControl/>
              <w:spacing w:line="240" w:lineRule="auto"/>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备注</w:t>
            </w:r>
          </w:p>
        </w:tc>
      </w:tr>
      <w:tr w14:paraId="49085441">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F8742C1">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7E6A2B3">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项目负责人</w:t>
            </w: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2EB3EE0">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528F29A">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8729067">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E91584B">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900086A">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33554AD">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6BE682A">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012B674">
            <w:pPr>
              <w:widowControl/>
              <w:jc w:val="center"/>
              <w:rPr>
                <w:rFonts w:hint="eastAsia" w:ascii="宋体" w:hAnsi="宋体" w:cs="宋体"/>
                <w:color w:val="auto"/>
                <w:kern w:val="0"/>
                <w:sz w:val="21"/>
                <w:szCs w:val="21"/>
                <w:highlight w:val="none"/>
              </w:rPr>
            </w:pPr>
          </w:p>
        </w:tc>
      </w:tr>
      <w:tr w14:paraId="4A722090">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8738BAD">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2</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2FD446">
            <w:pPr>
              <w:widowControl/>
              <w:jc w:val="center"/>
              <w:rPr>
                <w:rFonts w:hint="eastAsia" w:ascii="宋体" w:hAnsi="宋体" w:cs="宋体"/>
                <w:color w:val="auto"/>
                <w:kern w:val="0"/>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15E8894">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5C1168F">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685E10B">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5FC0DD2">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6F33EDF">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68A778D">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21DB22F">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0C577EC">
            <w:pPr>
              <w:widowControl/>
              <w:jc w:val="center"/>
              <w:rPr>
                <w:rFonts w:hint="eastAsia" w:ascii="宋体" w:hAnsi="宋体" w:cs="宋体"/>
                <w:color w:val="auto"/>
                <w:kern w:val="0"/>
                <w:sz w:val="21"/>
                <w:szCs w:val="21"/>
                <w:highlight w:val="none"/>
              </w:rPr>
            </w:pPr>
          </w:p>
        </w:tc>
      </w:tr>
      <w:tr w14:paraId="1027236A">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01700D1">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3</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476497D">
            <w:pPr>
              <w:widowControl/>
              <w:jc w:val="center"/>
              <w:rPr>
                <w:rFonts w:hint="eastAsia" w:ascii="宋体" w:hAnsi="宋体" w:cs="宋体"/>
                <w:color w:val="auto"/>
                <w:kern w:val="0"/>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5436BA5">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32AAC3A">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B1F2D7A">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6516D93">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A97B78C">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5814927">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E972018">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28AAC5B">
            <w:pPr>
              <w:widowControl/>
              <w:jc w:val="center"/>
              <w:rPr>
                <w:rFonts w:hint="eastAsia" w:ascii="宋体" w:hAnsi="宋体" w:cs="宋体"/>
                <w:color w:val="auto"/>
                <w:kern w:val="0"/>
                <w:sz w:val="21"/>
                <w:szCs w:val="21"/>
                <w:highlight w:val="none"/>
              </w:rPr>
            </w:pPr>
          </w:p>
        </w:tc>
      </w:tr>
      <w:tr w14:paraId="2A6C6E29">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DB991F6">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2315871">
            <w:pPr>
              <w:widowControl/>
              <w:jc w:val="center"/>
              <w:rPr>
                <w:rFonts w:hint="eastAsia" w:ascii="宋体" w:hAnsi="宋体" w:cs="宋体"/>
                <w:color w:val="auto"/>
                <w:kern w:val="0"/>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948AC24">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F1C4574">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8C23D97">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7906600">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9A2A37A">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4EF683C">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E8339D">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8A8BD06">
            <w:pPr>
              <w:widowControl/>
              <w:jc w:val="center"/>
              <w:rPr>
                <w:rFonts w:hint="eastAsia" w:ascii="宋体" w:hAnsi="宋体" w:cs="宋体"/>
                <w:color w:val="auto"/>
                <w:kern w:val="0"/>
                <w:sz w:val="21"/>
                <w:szCs w:val="21"/>
                <w:highlight w:val="none"/>
              </w:rPr>
            </w:pPr>
          </w:p>
        </w:tc>
      </w:tr>
      <w:tr w14:paraId="744FEAF7">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49E8809">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CB54335">
            <w:pPr>
              <w:widowControl/>
              <w:jc w:val="center"/>
              <w:rPr>
                <w:rFonts w:hint="eastAsia" w:ascii="宋体" w:hAnsi="宋体" w:cs="宋体"/>
                <w:color w:val="auto"/>
                <w:kern w:val="0"/>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87429F5">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EC71DC8">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1694AF2">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7B85A34">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A1293B9">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B51FB0F">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0494FA3">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5D7AB8A">
            <w:pPr>
              <w:widowControl/>
              <w:jc w:val="center"/>
              <w:rPr>
                <w:rFonts w:hint="eastAsia" w:ascii="宋体" w:hAnsi="宋体" w:cs="宋体"/>
                <w:color w:val="auto"/>
                <w:kern w:val="0"/>
                <w:sz w:val="21"/>
                <w:szCs w:val="21"/>
                <w:highlight w:val="none"/>
              </w:rPr>
            </w:pPr>
          </w:p>
        </w:tc>
      </w:tr>
      <w:tr w14:paraId="58ABE12D">
        <w:tblPrEx>
          <w:tblCellMar>
            <w:top w:w="0" w:type="dxa"/>
            <w:left w:w="108" w:type="dxa"/>
            <w:bottom w:w="0" w:type="dxa"/>
            <w:right w:w="108" w:type="dxa"/>
          </w:tblCellMar>
        </w:tblPrEx>
        <w:trPr>
          <w:trHeight w:val="1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4AC5507">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6</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86EAF36">
            <w:pPr>
              <w:widowControl/>
              <w:jc w:val="center"/>
              <w:rPr>
                <w:rFonts w:hint="eastAsia" w:ascii="宋体" w:hAnsi="宋体" w:cs="宋体"/>
                <w:color w:val="auto"/>
                <w:kern w:val="0"/>
                <w:sz w:val="21"/>
                <w:szCs w:val="21"/>
                <w:highlight w:val="none"/>
              </w:rPr>
            </w:pP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1CC4A07">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4BA7F5D">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665255D">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700C579">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A791112">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5E69E7D">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123831C7">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2D9514C">
            <w:pPr>
              <w:widowControl/>
              <w:jc w:val="center"/>
              <w:rPr>
                <w:rFonts w:hint="eastAsia" w:ascii="宋体" w:hAnsi="宋体" w:cs="宋体"/>
                <w:color w:val="auto"/>
                <w:kern w:val="0"/>
                <w:sz w:val="21"/>
                <w:szCs w:val="21"/>
                <w:highlight w:val="none"/>
              </w:rPr>
            </w:pPr>
          </w:p>
        </w:tc>
      </w:tr>
      <w:tr w14:paraId="2F4E67C8">
        <w:tblPrEx>
          <w:tblCellMar>
            <w:top w:w="0" w:type="dxa"/>
            <w:left w:w="108" w:type="dxa"/>
            <w:bottom w:w="0" w:type="dxa"/>
            <w:right w:w="108" w:type="dxa"/>
          </w:tblCellMar>
        </w:tblPrEx>
        <w:trPr>
          <w:trHeight w:val="458" w:hRule="atLeast"/>
          <w:jc w:val="center"/>
        </w:trPr>
        <w:tc>
          <w:tcPr>
            <w:tcW w:w="71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646BC4F0">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w:t>
            </w:r>
          </w:p>
        </w:tc>
        <w:tc>
          <w:tcPr>
            <w:tcW w:w="1571"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55C3C994">
            <w:pPr>
              <w:widowControl/>
              <w:jc w:val="center"/>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w:t>
            </w:r>
          </w:p>
        </w:tc>
        <w:tc>
          <w:tcPr>
            <w:tcW w:w="70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75A2F9EA">
            <w:pPr>
              <w:widowControl/>
              <w:jc w:val="center"/>
              <w:rPr>
                <w:rFonts w:hint="eastAsia" w:ascii="宋体" w:hAnsi="宋体" w:cs="宋体"/>
                <w:color w:val="auto"/>
                <w:kern w:val="0"/>
                <w:sz w:val="21"/>
                <w:szCs w:val="21"/>
                <w:highlight w:val="none"/>
              </w:rPr>
            </w:pPr>
          </w:p>
        </w:tc>
        <w:tc>
          <w:tcPr>
            <w:tcW w:w="1378"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1CF79CE">
            <w:pPr>
              <w:widowControl/>
              <w:jc w:val="center"/>
              <w:rPr>
                <w:rFonts w:hint="eastAsia" w:ascii="宋体" w:hAnsi="宋体" w:cs="宋体"/>
                <w:color w:val="auto"/>
                <w:kern w:val="0"/>
                <w:sz w:val="21"/>
                <w:szCs w:val="21"/>
                <w:highlight w:val="none"/>
              </w:rPr>
            </w:pPr>
          </w:p>
        </w:tc>
        <w:tc>
          <w:tcPr>
            <w:tcW w:w="1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1CE180A">
            <w:pPr>
              <w:widowControl/>
              <w:jc w:val="center"/>
              <w:rPr>
                <w:rFonts w:hint="eastAsia" w:ascii="宋体" w:hAnsi="宋体" w:cs="宋体"/>
                <w:color w:val="auto"/>
                <w:kern w:val="0"/>
                <w:sz w:val="21"/>
                <w:szCs w:val="21"/>
                <w:highlight w:val="none"/>
              </w:rPr>
            </w:pPr>
          </w:p>
        </w:tc>
        <w:tc>
          <w:tcPr>
            <w:tcW w:w="1125"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A6A7AEA">
            <w:pPr>
              <w:widowControl/>
              <w:jc w:val="center"/>
              <w:rPr>
                <w:rFonts w:hint="eastAsia" w:ascii="宋体" w:hAnsi="宋体" w:cs="宋体"/>
                <w:color w:val="auto"/>
                <w:kern w:val="0"/>
                <w:sz w:val="21"/>
                <w:szCs w:val="21"/>
                <w:highlight w:val="none"/>
              </w:rPr>
            </w:pPr>
          </w:p>
        </w:tc>
        <w:tc>
          <w:tcPr>
            <w:tcW w:w="7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23CA1D89">
            <w:pPr>
              <w:widowControl/>
              <w:jc w:val="center"/>
              <w:rPr>
                <w:rFonts w:hint="eastAsia" w:ascii="宋体" w:hAnsi="宋体" w:cs="宋体"/>
                <w:color w:val="auto"/>
                <w:kern w:val="0"/>
                <w:sz w:val="21"/>
                <w:szCs w:val="21"/>
                <w:highlight w:val="none"/>
              </w:rPr>
            </w:pPr>
          </w:p>
        </w:tc>
        <w:tc>
          <w:tcPr>
            <w:tcW w:w="115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B2C4DEB">
            <w:pPr>
              <w:widowControl/>
              <w:jc w:val="center"/>
              <w:rPr>
                <w:rFonts w:hint="eastAsia" w:ascii="宋体" w:hAnsi="宋体" w:cs="宋体"/>
                <w:color w:val="auto"/>
                <w:kern w:val="0"/>
                <w:sz w:val="21"/>
                <w:szCs w:val="21"/>
                <w:highlight w:val="none"/>
              </w:rPr>
            </w:pPr>
          </w:p>
        </w:tc>
        <w:tc>
          <w:tcPr>
            <w:tcW w:w="11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6690913">
            <w:pPr>
              <w:widowControl/>
              <w:jc w:val="center"/>
              <w:rPr>
                <w:rFonts w:hint="eastAsia" w:ascii="宋体" w:hAnsi="宋体" w:cs="宋体"/>
                <w:color w:val="auto"/>
                <w:kern w:val="0"/>
                <w:sz w:val="21"/>
                <w:szCs w:val="21"/>
                <w:highlight w:val="none"/>
              </w:rPr>
            </w:pPr>
          </w:p>
        </w:tc>
        <w:tc>
          <w:tcPr>
            <w:tcW w:w="49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2B3CEE4">
            <w:pPr>
              <w:widowControl/>
              <w:jc w:val="center"/>
              <w:rPr>
                <w:rFonts w:hint="eastAsia" w:ascii="宋体" w:hAnsi="宋体" w:cs="宋体"/>
                <w:color w:val="auto"/>
                <w:kern w:val="0"/>
                <w:sz w:val="21"/>
                <w:szCs w:val="21"/>
                <w:highlight w:val="none"/>
              </w:rPr>
            </w:pPr>
          </w:p>
        </w:tc>
      </w:tr>
    </w:tbl>
    <w:p w14:paraId="5D25D058">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238BD73A">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注：</w:t>
      </w:r>
    </w:p>
    <w:p w14:paraId="1F06B5B8">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rPr>
        <w:t>1、格式可扩展</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本表后附资格</w:t>
      </w:r>
      <w:r>
        <w:rPr>
          <w:rFonts w:hint="eastAsia" w:ascii="宋体" w:hAnsi="宋体" w:cs="宋体"/>
          <w:b/>
          <w:color w:val="auto"/>
          <w:kern w:val="0"/>
          <w:sz w:val="21"/>
          <w:szCs w:val="21"/>
          <w:highlight w:val="none"/>
          <w:lang w:val="en-US" w:eastAsia="zh-CN"/>
        </w:rPr>
        <w:t>要求</w:t>
      </w:r>
      <w:r>
        <w:rPr>
          <w:rFonts w:hint="eastAsia" w:ascii="宋体" w:hAnsi="宋体" w:cs="宋体"/>
          <w:b/>
          <w:color w:val="auto"/>
          <w:kern w:val="0"/>
          <w:sz w:val="21"/>
          <w:szCs w:val="21"/>
          <w:highlight w:val="none"/>
        </w:rPr>
        <w:t>及评标办法所涉内容的证明材料</w:t>
      </w:r>
      <w:r>
        <w:rPr>
          <w:rFonts w:hint="eastAsia" w:ascii="宋体" w:hAnsi="宋体" w:cs="宋体"/>
          <w:b/>
          <w:color w:val="auto"/>
          <w:kern w:val="0"/>
          <w:sz w:val="21"/>
          <w:szCs w:val="21"/>
          <w:highlight w:val="none"/>
          <w:lang w:eastAsia="zh-CN"/>
        </w:rPr>
        <w:t>（合同扫描件等相关证明材料）</w:t>
      </w:r>
      <w:r>
        <w:rPr>
          <w:rFonts w:hint="eastAsia" w:ascii="宋体" w:hAnsi="宋体" w:cs="宋体"/>
          <w:b/>
          <w:color w:val="auto"/>
          <w:kern w:val="0"/>
          <w:sz w:val="21"/>
          <w:szCs w:val="21"/>
          <w:highlight w:val="none"/>
          <w:lang w:val="en-US" w:eastAsia="zh-CN"/>
        </w:rPr>
        <w:t>复印件或</w:t>
      </w:r>
      <w:r>
        <w:rPr>
          <w:rFonts w:hint="eastAsia" w:ascii="宋体" w:hAnsi="宋体" w:cs="宋体"/>
          <w:b/>
          <w:color w:val="auto"/>
          <w:kern w:val="0"/>
          <w:sz w:val="21"/>
          <w:szCs w:val="21"/>
          <w:highlight w:val="none"/>
        </w:rPr>
        <w:t>扫描件（项目负责人及其他主要人员</w:t>
      </w:r>
      <w:r>
        <w:rPr>
          <w:rFonts w:hint="eastAsia" w:ascii="宋体" w:hAnsi="宋体" w:cs="宋体"/>
          <w:b/>
          <w:color w:val="auto"/>
          <w:kern w:val="0"/>
          <w:sz w:val="21"/>
          <w:szCs w:val="21"/>
          <w:highlight w:val="none"/>
          <w:lang w:eastAsia="zh-CN"/>
        </w:rPr>
        <w:t>，证明材料需体现项目负责人在某项目中所担任的职务</w:t>
      </w:r>
      <w:r>
        <w:rPr>
          <w:rFonts w:hint="eastAsia" w:ascii="宋体" w:hAnsi="宋体" w:cs="宋体"/>
          <w:b/>
          <w:color w:val="auto"/>
          <w:kern w:val="0"/>
          <w:sz w:val="21"/>
          <w:szCs w:val="21"/>
          <w:highlight w:val="none"/>
        </w:rPr>
        <w:t>）</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并</w:t>
      </w:r>
      <w:r>
        <w:rPr>
          <w:rFonts w:hint="eastAsia" w:ascii="宋体" w:hAnsi="宋体" w:cs="宋体"/>
          <w:b/>
          <w:color w:val="auto"/>
          <w:kern w:val="0"/>
          <w:sz w:val="21"/>
          <w:szCs w:val="21"/>
          <w:highlight w:val="none"/>
          <w:u w:val="single"/>
        </w:rPr>
        <w:t>加盖单位公章</w:t>
      </w:r>
      <w:r>
        <w:rPr>
          <w:rFonts w:hint="eastAsia" w:ascii="宋体" w:hAnsi="宋体" w:cs="宋体"/>
          <w:b/>
          <w:color w:val="auto"/>
          <w:kern w:val="0"/>
          <w:sz w:val="21"/>
          <w:szCs w:val="21"/>
          <w:highlight w:val="none"/>
        </w:rPr>
        <w:t>。</w:t>
      </w:r>
    </w:p>
    <w:p w14:paraId="31606CB8">
      <w:pPr>
        <w:keepNext w:val="0"/>
        <w:keepLines w:val="0"/>
        <w:pageBreakBefore w:val="0"/>
        <w:widowControl w:val="0"/>
        <w:kinsoku/>
        <w:wordWrap w:val="0"/>
        <w:overflowPunct/>
        <w:topLinePunct w:val="0"/>
        <w:autoSpaceDE/>
        <w:autoSpaceDN/>
        <w:bidi w:val="0"/>
        <w:adjustRightInd/>
        <w:snapToGrid w:val="0"/>
        <w:spacing w:before="120" w:beforeLines="50" w:after="120" w:afterLines="50" w:line="360" w:lineRule="auto"/>
        <w:jc w:val="center"/>
        <w:textAlignment w:val="auto"/>
        <w:outlineLvl w:val="2"/>
        <w:rPr>
          <w:rFonts w:hint="eastAsia" w:ascii="宋体" w:hAnsi="宋体" w:cs="宋体"/>
          <w:b/>
          <w:color w:val="auto"/>
          <w:kern w:val="0"/>
          <w:sz w:val="24"/>
          <w:highlight w:val="none"/>
        </w:rPr>
      </w:pPr>
      <w:r>
        <w:rPr>
          <w:rFonts w:hint="eastAsia" w:ascii="宋体" w:hAnsi="宋体" w:cs="宋体"/>
          <w:b/>
          <w:color w:val="auto"/>
          <w:kern w:val="0"/>
          <w:sz w:val="21"/>
          <w:szCs w:val="21"/>
          <w:highlight w:val="none"/>
        </w:rPr>
        <w:br w:type="page"/>
      </w:r>
      <w:r>
        <w:rPr>
          <w:rFonts w:hint="eastAsia" w:ascii="宋体" w:hAnsi="宋体" w:cs="宋体"/>
          <w:b/>
          <w:color w:val="auto"/>
          <w:kern w:val="0"/>
          <w:sz w:val="24"/>
          <w:highlight w:val="none"/>
        </w:rPr>
        <w:t>表4 已完成类似项目表</w:t>
      </w:r>
    </w:p>
    <w:tbl>
      <w:tblPr>
        <w:tblStyle w:val="30"/>
        <w:tblW w:w="0" w:type="auto"/>
        <w:tblInd w:w="0" w:type="dxa"/>
        <w:tblLayout w:type="fixed"/>
        <w:tblCellMar>
          <w:top w:w="0" w:type="dxa"/>
          <w:left w:w="108" w:type="dxa"/>
          <w:bottom w:w="0" w:type="dxa"/>
          <w:right w:w="108" w:type="dxa"/>
        </w:tblCellMar>
      </w:tblPr>
      <w:tblGrid>
        <w:gridCol w:w="2350"/>
        <w:gridCol w:w="2350"/>
        <w:gridCol w:w="2350"/>
        <w:gridCol w:w="2100"/>
      </w:tblGrid>
      <w:tr w14:paraId="506D9FD3">
        <w:tblPrEx>
          <w:tblCellMar>
            <w:top w:w="0" w:type="dxa"/>
            <w:left w:w="108" w:type="dxa"/>
            <w:bottom w:w="0" w:type="dxa"/>
            <w:right w:w="108" w:type="dxa"/>
          </w:tblCellMar>
        </w:tblPrEx>
        <w:trPr>
          <w:trHeight w:val="20" w:hRule="atLeast"/>
        </w:trPr>
        <w:tc>
          <w:tcPr>
            <w:tcW w:w="9150" w:type="dxa"/>
            <w:gridSpan w:val="4"/>
            <w:tcBorders>
              <w:top w:val="single" w:color="000000" w:sz="4" w:space="0"/>
              <w:left w:val="single" w:color="000000" w:sz="4" w:space="0"/>
              <w:bottom w:val="single" w:color="000000" w:sz="4" w:space="0"/>
              <w:right w:val="single" w:color="000000" w:sz="4" w:space="0"/>
            </w:tcBorders>
            <w:shd w:val="clear" w:color="000000" w:fill="FFFFFF"/>
            <w:noWrap w:val="0"/>
            <w:vAlign w:val="center"/>
          </w:tcPr>
          <w:p w14:paraId="1B786F7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项目名称：</w:t>
            </w:r>
          </w:p>
        </w:tc>
      </w:tr>
      <w:tr w14:paraId="6A1317DC">
        <w:tblPrEx>
          <w:tblCellMar>
            <w:top w:w="0" w:type="dxa"/>
            <w:left w:w="108" w:type="dxa"/>
            <w:bottom w:w="0" w:type="dxa"/>
            <w:right w:w="108" w:type="dxa"/>
          </w:tblCellMar>
        </w:tblPrEx>
        <w:trPr>
          <w:trHeight w:val="20" w:hRule="atLeast"/>
        </w:trPr>
        <w:tc>
          <w:tcPr>
            <w:tcW w:w="2350" w:type="dxa"/>
            <w:tcBorders>
              <w:top w:val="nil"/>
              <w:left w:val="single" w:color="000000" w:sz="4" w:space="0"/>
              <w:bottom w:val="single" w:color="000000" w:sz="4" w:space="0"/>
              <w:right w:val="single" w:color="000000" w:sz="4" w:space="0"/>
            </w:tcBorders>
            <w:shd w:val="clear" w:color="000000" w:fill="FFFFFF"/>
            <w:noWrap w:val="0"/>
            <w:vAlign w:val="center"/>
          </w:tcPr>
          <w:p w14:paraId="16C7C05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工程地点：</w:t>
            </w:r>
          </w:p>
        </w:tc>
        <w:tc>
          <w:tcPr>
            <w:tcW w:w="6800"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703A499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r>
      <w:tr w14:paraId="2F7D6029">
        <w:tblPrEx>
          <w:tblCellMar>
            <w:top w:w="0" w:type="dxa"/>
            <w:left w:w="108" w:type="dxa"/>
            <w:bottom w:w="0" w:type="dxa"/>
            <w:right w:w="108" w:type="dxa"/>
          </w:tblCellMar>
        </w:tblPrEx>
        <w:trPr>
          <w:trHeight w:val="20" w:hRule="atLeast"/>
        </w:trPr>
        <w:tc>
          <w:tcPr>
            <w:tcW w:w="2350" w:type="dxa"/>
            <w:tcBorders>
              <w:top w:val="nil"/>
              <w:left w:val="single" w:color="000000" w:sz="4" w:space="0"/>
              <w:bottom w:val="single" w:color="000000" w:sz="4" w:space="0"/>
              <w:right w:val="single" w:color="000000" w:sz="4" w:space="0"/>
            </w:tcBorders>
            <w:shd w:val="clear" w:color="000000" w:fill="FFFFFF"/>
            <w:noWrap w:val="0"/>
            <w:vAlign w:val="center"/>
          </w:tcPr>
          <w:p w14:paraId="2E38848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合同价</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万</w:t>
            </w:r>
            <w:r>
              <w:rPr>
                <w:rFonts w:hint="eastAsia" w:ascii="宋体" w:hAnsi="宋体" w:cs="宋体"/>
                <w:color w:val="auto"/>
                <w:kern w:val="0"/>
                <w:sz w:val="21"/>
                <w:szCs w:val="21"/>
                <w:highlight w:val="none"/>
              </w:rPr>
              <w:t>元</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w:t>
            </w:r>
          </w:p>
        </w:tc>
        <w:tc>
          <w:tcPr>
            <w:tcW w:w="2350" w:type="dxa"/>
            <w:tcBorders>
              <w:top w:val="nil"/>
              <w:left w:val="nil"/>
              <w:bottom w:val="single" w:color="000000" w:sz="4" w:space="0"/>
              <w:right w:val="single" w:color="000000" w:sz="4" w:space="0"/>
            </w:tcBorders>
            <w:shd w:val="clear" w:color="000000" w:fill="FFFFFF"/>
            <w:noWrap w:val="0"/>
            <w:vAlign w:val="center"/>
          </w:tcPr>
          <w:p w14:paraId="49CFAF5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c>
          <w:tcPr>
            <w:tcW w:w="2350" w:type="dxa"/>
            <w:tcBorders>
              <w:top w:val="nil"/>
              <w:left w:val="nil"/>
              <w:bottom w:val="single" w:color="000000" w:sz="4" w:space="0"/>
              <w:right w:val="single" w:color="000000" w:sz="4" w:space="0"/>
            </w:tcBorders>
            <w:shd w:val="clear" w:color="000000" w:fill="FFFFFF"/>
            <w:noWrap w:val="0"/>
            <w:vAlign w:val="center"/>
          </w:tcPr>
          <w:p w14:paraId="2EF9C67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合同签订时间：</w:t>
            </w:r>
          </w:p>
        </w:tc>
        <w:tc>
          <w:tcPr>
            <w:tcW w:w="2100" w:type="dxa"/>
            <w:tcBorders>
              <w:top w:val="nil"/>
              <w:left w:val="nil"/>
              <w:bottom w:val="single" w:color="000000" w:sz="4" w:space="0"/>
              <w:right w:val="single" w:color="000000" w:sz="4" w:space="0"/>
            </w:tcBorders>
            <w:shd w:val="clear" w:color="000000" w:fill="FFFFFF"/>
            <w:noWrap w:val="0"/>
            <w:vAlign w:val="center"/>
          </w:tcPr>
          <w:p w14:paraId="16FAC26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r>
      <w:tr w14:paraId="2B3283DD">
        <w:tblPrEx>
          <w:tblCellMar>
            <w:top w:w="0" w:type="dxa"/>
            <w:left w:w="108" w:type="dxa"/>
            <w:bottom w:w="0" w:type="dxa"/>
            <w:right w:w="108" w:type="dxa"/>
          </w:tblCellMar>
        </w:tblPrEx>
        <w:trPr>
          <w:trHeight w:val="20" w:hRule="atLeast"/>
        </w:trPr>
        <w:tc>
          <w:tcPr>
            <w:tcW w:w="2350" w:type="dxa"/>
            <w:tcBorders>
              <w:top w:val="nil"/>
              <w:left w:val="single" w:color="000000" w:sz="4" w:space="0"/>
              <w:bottom w:val="single" w:color="000000" w:sz="4" w:space="0"/>
              <w:right w:val="single" w:color="000000" w:sz="4" w:space="0"/>
            </w:tcBorders>
            <w:shd w:val="clear" w:color="000000" w:fill="FFFFFF"/>
            <w:noWrap w:val="0"/>
            <w:vAlign w:val="center"/>
          </w:tcPr>
          <w:p w14:paraId="10042FD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项目负责人：</w:t>
            </w:r>
          </w:p>
        </w:tc>
        <w:tc>
          <w:tcPr>
            <w:tcW w:w="6800" w:type="dxa"/>
            <w:gridSpan w:val="3"/>
            <w:tcBorders>
              <w:top w:val="single" w:color="000000" w:sz="4" w:space="0"/>
              <w:left w:val="nil"/>
              <w:bottom w:val="single" w:color="000000" w:sz="4" w:space="0"/>
              <w:right w:val="single" w:color="000000" w:sz="4" w:space="0"/>
            </w:tcBorders>
            <w:shd w:val="clear" w:color="000000" w:fill="FFFFFF"/>
            <w:noWrap w:val="0"/>
            <w:vAlign w:val="center"/>
          </w:tcPr>
          <w:p w14:paraId="33F01DF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r>
      <w:tr w14:paraId="37787630">
        <w:tblPrEx>
          <w:tblCellMar>
            <w:top w:w="0" w:type="dxa"/>
            <w:left w:w="108" w:type="dxa"/>
            <w:bottom w:w="0" w:type="dxa"/>
            <w:right w:w="108" w:type="dxa"/>
          </w:tblCellMar>
        </w:tblPrEx>
        <w:trPr>
          <w:trHeight w:val="20" w:hRule="atLeast"/>
        </w:trPr>
        <w:tc>
          <w:tcPr>
            <w:tcW w:w="2350" w:type="dxa"/>
            <w:tcBorders>
              <w:top w:val="nil"/>
              <w:left w:val="single" w:color="000000" w:sz="4" w:space="0"/>
              <w:bottom w:val="single" w:color="000000" w:sz="4" w:space="0"/>
              <w:right w:val="single" w:color="000000" w:sz="4" w:space="0"/>
            </w:tcBorders>
            <w:shd w:val="clear" w:color="000000" w:fill="FFFFFF"/>
            <w:noWrap w:val="0"/>
            <w:vAlign w:val="center"/>
          </w:tcPr>
          <w:p w14:paraId="3E6D6990">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合同开始</w:t>
            </w:r>
            <w:r>
              <w:rPr>
                <w:rFonts w:hint="eastAsia" w:ascii="宋体" w:hAnsi="宋体" w:cs="宋体"/>
                <w:color w:val="auto"/>
                <w:kern w:val="0"/>
                <w:sz w:val="21"/>
                <w:szCs w:val="21"/>
                <w:highlight w:val="none"/>
              </w:rPr>
              <w:t>时间：</w:t>
            </w:r>
          </w:p>
        </w:tc>
        <w:tc>
          <w:tcPr>
            <w:tcW w:w="2350" w:type="dxa"/>
            <w:tcBorders>
              <w:top w:val="nil"/>
              <w:left w:val="nil"/>
              <w:bottom w:val="single" w:color="000000" w:sz="4" w:space="0"/>
              <w:right w:val="single" w:color="000000" w:sz="4" w:space="0"/>
            </w:tcBorders>
            <w:shd w:val="clear" w:color="000000" w:fill="FFFFFF"/>
            <w:noWrap w:val="0"/>
            <w:vAlign w:val="center"/>
          </w:tcPr>
          <w:p w14:paraId="1D812D2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c>
          <w:tcPr>
            <w:tcW w:w="2350" w:type="dxa"/>
            <w:tcBorders>
              <w:top w:val="nil"/>
              <w:left w:val="nil"/>
              <w:bottom w:val="single" w:color="000000" w:sz="4" w:space="0"/>
              <w:right w:val="single" w:color="000000" w:sz="4" w:space="0"/>
            </w:tcBorders>
            <w:shd w:val="clear" w:color="000000" w:fill="FFFFFF"/>
            <w:noWrap w:val="0"/>
            <w:vAlign w:val="center"/>
          </w:tcPr>
          <w:p w14:paraId="0BF7611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合同完成</w:t>
            </w:r>
            <w:r>
              <w:rPr>
                <w:rFonts w:hint="eastAsia" w:ascii="宋体" w:hAnsi="宋体" w:cs="宋体"/>
                <w:color w:val="auto"/>
                <w:kern w:val="0"/>
                <w:sz w:val="21"/>
                <w:szCs w:val="21"/>
                <w:highlight w:val="none"/>
              </w:rPr>
              <w:t>时间：</w:t>
            </w:r>
          </w:p>
        </w:tc>
        <w:tc>
          <w:tcPr>
            <w:tcW w:w="2100" w:type="dxa"/>
            <w:tcBorders>
              <w:top w:val="nil"/>
              <w:left w:val="nil"/>
              <w:bottom w:val="single" w:color="000000" w:sz="4" w:space="0"/>
              <w:right w:val="single" w:color="000000" w:sz="4" w:space="0"/>
            </w:tcBorders>
            <w:shd w:val="clear" w:color="000000" w:fill="FFFFFF"/>
            <w:noWrap w:val="0"/>
            <w:vAlign w:val="center"/>
          </w:tcPr>
          <w:p w14:paraId="3F62B46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r>
      <w:tr w14:paraId="4463CF2B">
        <w:tblPrEx>
          <w:tblCellMar>
            <w:top w:w="0" w:type="dxa"/>
            <w:left w:w="108" w:type="dxa"/>
            <w:bottom w:w="0" w:type="dxa"/>
            <w:right w:w="108" w:type="dxa"/>
          </w:tblCellMar>
        </w:tblPrEx>
        <w:trPr>
          <w:trHeight w:val="900" w:hRule="atLeast"/>
        </w:trPr>
        <w:tc>
          <w:tcPr>
            <w:tcW w:w="2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868073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工程简介：</w:t>
            </w:r>
          </w:p>
        </w:tc>
        <w:tc>
          <w:tcPr>
            <w:tcW w:w="6800"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3DE0BF8A">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default"/>
                <w:color w:val="auto"/>
                <w:highlight w:val="none"/>
                <w:lang w:val="en-US" w:eastAsia="zh-CN"/>
              </w:rPr>
            </w:pPr>
          </w:p>
        </w:tc>
      </w:tr>
      <w:tr w14:paraId="4F324631">
        <w:tblPrEx>
          <w:tblCellMar>
            <w:top w:w="0" w:type="dxa"/>
            <w:left w:w="108" w:type="dxa"/>
            <w:bottom w:w="0" w:type="dxa"/>
            <w:right w:w="108" w:type="dxa"/>
          </w:tblCellMar>
        </w:tblPrEx>
        <w:trPr>
          <w:trHeight w:val="1229" w:hRule="atLeast"/>
        </w:trPr>
        <w:tc>
          <w:tcPr>
            <w:tcW w:w="235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08259F0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工作内容：</w:t>
            </w:r>
          </w:p>
        </w:tc>
        <w:tc>
          <w:tcPr>
            <w:tcW w:w="6800" w:type="dxa"/>
            <w:gridSpan w:val="3"/>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75CE75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cs="宋体"/>
                <w:color w:val="auto"/>
                <w:kern w:val="0"/>
                <w:sz w:val="21"/>
                <w:szCs w:val="21"/>
                <w:highlight w:val="none"/>
              </w:rPr>
            </w:pPr>
          </w:p>
        </w:tc>
      </w:tr>
    </w:tbl>
    <w:p w14:paraId="5E78661A">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466BFC8C">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注：</w:t>
      </w:r>
    </w:p>
    <w:p w14:paraId="1198757A">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1、格式可扩展</w:t>
      </w:r>
      <w:r>
        <w:rPr>
          <w:rFonts w:hint="eastAsia" w:ascii="宋体" w:hAnsi="宋体" w:cs="宋体"/>
          <w:b/>
          <w:color w:val="auto"/>
          <w:kern w:val="0"/>
          <w:sz w:val="21"/>
          <w:szCs w:val="21"/>
          <w:highlight w:val="none"/>
          <w:lang w:eastAsia="zh-CN"/>
        </w:rPr>
        <w:t>，</w:t>
      </w:r>
      <w:r>
        <w:rPr>
          <w:rFonts w:hint="eastAsia" w:ascii="宋体" w:hAnsi="宋体" w:cs="宋体"/>
          <w:b/>
          <w:color w:val="auto"/>
          <w:kern w:val="0"/>
          <w:sz w:val="21"/>
          <w:szCs w:val="21"/>
          <w:highlight w:val="none"/>
        </w:rPr>
        <w:t>本表后附资格</w:t>
      </w:r>
      <w:r>
        <w:rPr>
          <w:rFonts w:hint="eastAsia" w:ascii="宋体" w:hAnsi="宋体" w:cs="宋体"/>
          <w:b/>
          <w:color w:val="auto"/>
          <w:kern w:val="0"/>
          <w:sz w:val="21"/>
          <w:szCs w:val="21"/>
          <w:highlight w:val="none"/>
          <w:lang w:val="en-US" w:eastAsia="zh-CN"/>
        </w:rPr>
        <w:t>要求</w:t>
      </w:r>
      <w:r>
        <w:rPr>
          <w:rFonts w:hint="eastAsia" w:ascii="宋体" w:hAnsi="宋体" w:cs="宋体"/>
          <w:b/>
          <w:color w:val="auto"/>
          <w:kern w:val="0"/>
          <w:sz w:val="21"/>
          <w:szCs w:val="21"/>
          <w:highlight w:val="none"/>
        </w:rPr>
        <w:t>及评标办法所涉内容的证明材料</w:t>
      </w:r>
      <w:r>
        <w:rPr>
          <w:rFonts w:hint="eastAsia" w:ascii="宋体" w:hAnsi="宋体" w:cs="宋体"/>
          <w:b/>
          <w:color w:val="auto"/>
          <w:kern w:val="0"/>
          <w:sz w:val="21"/>
          <w:szCs w:val="21"/>
          <w:highlight w:val="none"/>
          <w:lang w:val="en-US" w:eastAsia="zh-CN"/>
        </w:rPr>
        <w:t>复印件或</w:t>
      </w:r>
      <w:r>
        <w:rPr>
          <w:rFonts w:hint="eastAsia" w:ascii="宋体" w:hAnsi="宋体" w:cs="宋体"/>
          <w:b/>
          <w:color w:val="auto"/>
          <w:kern w:val="0"/>
          <w:sz w:val="21"/>
          <w:szCs w:val="21"/>
          <w:highlight w:val="none"/>
        </w:rPr>
        <w:t>扫描件</w:t>
      </w:r>
      <w:r>
        <w:rPr>
          <w:rFonts w:hint="eastAsia" w:ascii="宋体" w:hAnsi="宋体" w:cs="宋体"/>
          <w:b/>
          <w:color w:val="auto"/>
          <w:kern w:val="0"/>
          <w:sz w:val="21"/>
          <w:szCs w:val="21"/>
          <w:highlight w:val="none"/>
          <w:lang w:eastAsia="zh-CN"/>
        </w:rPr>
        <w:t>（业绩合同扫描件等相关证明材料），</w:t>
      </w:r>
      <w:r>
        <w:rPr>
          <w:rFonts w:hint="eastAsia" w:ascii="宋体" w:hAnsi="宋体" w:cs="宋体"/>
          <w:b/>
          <w:color w:val="auto"/>
          <w:kern w:val="0"/>
          <w:sz w:val="21"/>
          <w:szCs w:val="21"/>
          <w:highlight w:val="none"/>
        </w:rPr>
        <w:t>并</w:t>
      </w:r>
      <w:r>
        <w:rPr>
          <w:rFonts w:hint="eastAsia" w:ascii="宋体" w:hAnsi="宋体" w:cs="宋体"/>
          <w:b/>
          <w:color w:val="auto"/>
          <w:kern w:val="0"/>
          <w:sz w:val="21"/>
          <w:szCs w:val="21"/>
          <w:highlight w:val="none"/>
          <w:u w:val="single"/>
        </w:rPr>
        <w:t>加盖单位公章</w:t>
      </w:r>
      <w:r>
        <w:rPr>
          <w:rFonts w:hint="eastAsia" w:ascii="宋体" w:hAnsi="宋体" w:cs="宋体"/>
          <w:b/>
          <w:color w:val="auto"/>
          <w:kern w:val="0"/>
          <w:sz w:val="21"/>
          <w:szCs w:val="21"/>
          <w:highlight w:val="none"/>
        </w:rPr>
        <w:t>。</w:t>
      </w:r>
    </w:p>
    <w:p w14:paraId="405FB355">
      <w:pPr>
        <w:keepNext w:val="0"/>
        <w:keepLines w:val="0"/>
        <w:pageBreakBefore w:val="0"/>
        <w:widowControl w:val="0"/>
        <w:kinsoku/>
        <w:wordWrap w:val="0"/>
        <w:overflowPunct/>
        <w:topLinePunct w:val="0"/>
        <w:autoSpaceDE/>
        <w:autoSpaceDN/>
        <w:bidi w:val="0"/>
        <w:adjustRightInd/>
        <w:snapToGrid/>
        <w:spacing w:line="360" w:lineRule="auto"/>
        <w:ind w:firstLine="422" w:firstLineChars="200"/>
        <w:jc w:val="left"/>
        <w:textAlignment w:val="auto"/>
        <w:rPr>
          <w:rFonts w:hint="eastAsia" w:ascii="宋体" w:hAnsi="宋体" w:cs="宋体"/>
          <w:b/>
          <w:color w:val="auto"/>
          <w:kern w:val="0"/>
          <w:sz w:val="21"/>
          <w:szCs w:val="21"/>
          <w:highlight w:val="none"/>
        </w:rPr>
      </w:pPr>
    </w:p>
    <w:p w14:paraId="0A4D0205">
      <w:pPr>
        <w:wordWrap w:val="0"/>
        <w:snapToGrid w:val="0"/>
        <w:spacing w:before="120" w:beforeLines="50" w:after="120" w:afterLines="50"/>
        <w:jc w:val="center"/>
        <w:rPr>
          <w:rFonts w:hint="eastAsia" w:ascii="宋体" w:hAnsi="宋体" w:cs="宋体"/>
          <w:b/>
          <w:color w:val="auto"/>
          <w:kern w:val="0"/>
          <w:sz w:val="21"/>
          <w:szCs w:val="21"/>
          <w:highlight w:val="none"/>
        </w:rPr>
      </w:pPr>
    </w:p>
    <w:p w14:paraId="6CE69DEC">
      <w:pPr>
        <w:pStyle w:val="7"/>
        <w:keepNext w:val="0"/>
        <w:keepLines w:val="0"/>
        <w:pageBreakBefore w:val="0"/>
        <w:widowControl w:val="0"/>
        <w:kinsoku/>
        <w:wordWrap/>
        <w:overflowPunct/>
        <w:topLinePunct w:val="0"/>
        <w:autoSpaceDE/>
        <w:autoSpaceDN/>
        <w:bidi w:val="0"/>
        <w:adjustRightInd/>
        <w:snapToGrid/>
        <w:spacing w:after="192" w:afterLines="50"/>
        <w:ind w:firstLine="0"/>
        <w:jc w:val="center"/>
        <w:textAlignment w:val="auto"/>
        <w:outlineLvl w:val="2"/>
        <w:rPr>
          <w:rFonts w:hint="eastAsia" w:ascii="宋体" w:hAnsi="宋体" w:cs="宋体"/>
          <w:b/>
          <w:color w:val="auto"/>
          <w:sz w:val="24"/>
          <w:szCs w:val="24"/>
          <w:highlight w:val="none"/>
        </w:rPr>
      </w:pPr>
      <w:r>
        <w:rPr>
          <w:rFonts w:hint="eastAsia" w:ascii="宋体" w:hAnsi="宋体" w:cs="宋体"/>
          <w:b/>
          <w:color w:val="auto"/>
          <w:sz w:val="21"/>
          <w:szCs w:val="21"/>
          <w:highlight w:val="none"/>
        </w:rPr>
        <w:br w:type="page"/>
      </w:r>
      <w:r>
        <w:rPr>
          <w:rFonts w:hint="eastAsia" w:ascii="宋体" w:hAnsi="宋体" w:cs="宋体"/>
          <w:b/>
          <w:color w:val="auto"/>
          <w:sz w:val="24"/>
          <w:szCs w:val="24"/>
          <w:highlight w:val="none"/>
        </w:rPr>
        <w:t>表5 申请人</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投标人</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与其他单位存在控股、管理关系</w:t>
      </w:r>
    </w:p>
    <w:tbl>
      <w:tblPr>
        <w:tblStyle w:val="3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1"/>
        <w:gridCol w:w="5315"/>
        <w:gridCol w:w="2974"/>
      </w:tblGrid>
      <w:tr w14:paraId="77703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10" w:type="pct"/>
            <w:shd w:val="clear" w:color="000000" w:fill="FFFFFF"/>
            <w:noWrap w:val="0"/>
            <w:vAlign w:val="bottom"/>
          </w:tcPr>
          <w:p w14:paraId="20A7099E">
            <w:pPr>
              <w:widowControl/>
              <w:spacing w:line="360" w:lineRule="auto"/>
              <w:jc w:val="center"/>
              <w:rPr>
                <w:rFonts w:ascii="宋体" w:hAnsi="宋体" w:cs="Arial"/>
                <w:color w:val="auto"/>
                <w:kern w:val="0"/>
                <w:sz w:val="21"/>
                <w:szCs w:val="21"/>
                <w:highlight w:val="none"/>
              </w:rPr>
            </w:pPr>
            <w:r>
              <w:rPr>
                <w:rFonts w:ascii="宋体" w:hAnsi="宋体" w:cs="Arial"/>
                <w:color w:val="auto"/>
                <w:kern w:val="0"/>
                <w:sz w:val="21"/>
                <w:szCs w:val="21"/>
                <w:highlight w:val="none"/>
              </w:rPr>
              <w:t>序号</w:t>
            </w:r>
          </w:p>
        </w:tc>
        <w:tc>
          <w:tcPr>
            <w:tcW w:w="2879" w:type="pct"/>
            <w:shd w:val="clear" w:color="000000" w:fill="FFFFFF"/>
            <w:noWrap w:val="0"/>
            <w:vAlign w:val="bottom"/>
          </w:tcPr>
          <w:p w14:paraId="1C194DCA">
            <w:pPr>
              <w:widowControl/>
              <w:spacing w:line="360" w:lineRule="auto"/>
              <w:jc w:val="center"/>
              <w:rPr>
                <w:rFonts w:ascii="宋体" w:hAnsi="宋体" w:cs="Arial"/>
                <w:color w:val="auto"/>
                <w:kern w:val="0"/>
                <w:sz w:val="21"/>
                <w:szCs w:val="21"/>
                <w:highlight w:val="none"/>
              </w:rPr>
            </w:pPr>
            <w:r>
              <w:rPr>
                <w:rFonts w:ascii="宋体" w:hAnsi="宋体" w:cs="Arial"/>
                <w:color w:val="auto"/>
                <w:kern w:val="0"/>
                <w:sz w:val="21"/>
                <w:szCs w:val="21"/>
                <w:highlight w:val="none"/>
              </w:rPr>
              <w:t>控股、管理申请人/投标人的单位名称</w:t>
            </w:r>
          </w:p>
        </w:tc>
        <w:tc>
          <w:tcPr>
            <w:tcW w:w="1611" w:type="pct"/>
            <w:shd w:val="clear" w:color="000000" w:fill="FFFFFF"/>
            <w:noWrap w:val="0"/>
            <w:vAlign w:val="bottom"/>
          </w:tcPr>
          <w:p w14:paraId="38126A05">
            <w:pPr>
              <w:widowControl/>
              <w:spacing w:line="360" w:lineRule="auto"/>
              <w:jc w:val="center"/>
              <w:rPr>
                <w:rFonts w:ascii="宋体" w:hAnsi="宋体" w:cs="Arial"/>
                <w:color w:val="auto"/>
                <w:kern w:val="0"/>
                <w:sz w:val="21"/>
                <w:szCs w:val="21"/>
                <w:highlight w:val="none"/>
              </w:rPr>
            </w:pPr>
            <w:r>
              <w:rPr>
                <w:rFonts w:ascii="宋体" w:hAnsi="宋体" w:cs="Arial"/>
                <w:color w:val="auto"/>
                <w:kern w:val="0"/>
                <w:sz w:val="21"/>
                <w:szCs w:val="21"/>
                <w:highlight w:val="none"/>
              </w:rPr>
              <w:t>控股、管理关系情况说明</w:t>
            </w:r>
          </w:p>
        </w:tc>
      </w:tr>
      <w:tr w14:paraId="09350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shd w:val="clear" w:color="000000" w:fill="FFFFFF"/>
            <w:noWrap w:val="0"/>
            <w:vAlign w:val="bottom"/>
          </w:tcPr>
          <w:p w14:paraId="7E3D944A">
            <w:pPr>
              <w:widowControl/>
              <w:spacing w:line="360" w:lineRule="auto"/>
              <w:jc w:val="center"/>
              <w:rPr>
                <w:rFonts w:ascii="宋体" w:hAnsi="宋体" w:cs="Arial"/>
                <w:color w:val="auto"/>
                <w:kern w:val="0"/>
                <w:sz w:val="21"/>
                <w:szCs w:val="21"/>
                <w:highlight w:val="none"/>
              </w:rPr>
            </w:pPr>
          </w:p>
        </w:tc>
        <w:tc>
          <w:tcPr>
            <w:tcW w:w="2879" w:type="pct"/>
            <w:shd w:val="clear" w:color="000000" w:fill="FFFFFF"/>
            <w:noWrap w:val="0"/>
            <w:vAlign w:val="bottom"/>
          </w:tcPr>
          <w:p w14:paraId="0B8B7FFE">
            <w:pPr>
              <w:widowControl/>
              <w:spacing w:line="360" w:lineRule="auto"/>
              <w:jc w:val="center"/>
              <w:rPr>
                <w:rFonts w:ascii="宋体" w:hAnsi="宋体" w:cs="Arial"/>
                <w:color w:val="auto"/>
                <w:kern w:val="0"/>
                <w:sz w:val="21"/>
                <w:szCs w:val="21"/>
                <w:highlight w:val="none"/>
              </w:rPr>
            </w:pPr>
          </w:p>
        </w:tc>
        <w:tc>
          <w:tcPr>
            <w:tcW w:w="1611" w:type="pct"/>
            <w:shd w:val="clear" w:color="000000" w:fill="FFFFFF"/>
            <w:noWrap w:val="0"/>
            <w:vAlign w:val="bottom"/>
          </w:tcPr>
          <w:p w14:paraId="44400E31">
            <w:pPr>
              <w:widowControl/>
              <w:spacing w:line="360" w:lineRule="auto"/>
              <w:jc w:val="center"/>
              <w:rPr>
                <w:rFonts w:ascii="宋体" w:hAnsi="宋体" w:cs="Arial"/>
                <w:color w:val="auto"/>
                <w:kern w:val="0"/>
                <w:sz w:val="21"/>
                <w:szCs w:val="21"/>
                <w:highlight w:val="none"/>
              </w:rPr>
            </w:pPr>
          </w:p>
        </w:tc>
      </w:tr>
      <w:tr w14:paraId="67D5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10" w:type="pct"/>
            <w:shd w:val="clear" w:color="000000" w:fill="FFFFFF"/>
            <w:noWrap w:val="0"/>
            <w:vAlign w:val="bottom"/>
          </w:tcPr>
          <w:p w14:paraId="209AE85A">
            <w:pPr>
              <w:widowControl/>
              <w:spacing w:line="360" w:lineRule="auto"/>
              <w:jc w:val="center"/>
              <w:rPr>
                <w:rFonts w:ascii="宋体" w:hAnsi="宋体" w:cs="Arial"/>
                <w:color w:val="auto"/>
                <w:kern w:val="0"/>
                <w:sz w:val="21"/>
                <w:szCs w:val="21"/>
                <w:highlight w:val="none"/>
              </w:rPr>
            </w:pPr>
            <w:r>
              <w:rPr>
                <w:rFonts w:ascii="宋体" w:hAnsi="宋体" w:cs="宋体"/>
                <w:color w:val="auto"/>
                <w:kern w:val="0"/>
                <w:sz w:val="21"/>
                <w:szCs w:val="21"/>
                <w:highlight w:val="none"/>
              </w:rPr>
              <w:t>……</w:t>
            </w:r>
          </w:p>
        </w:tc>
        <w:tc>
          <w:tcPr>
            <w:tcW w:w="2879" w:type="pct"/>
            <w:shd w:val="clear" w:color="000000" w:fill="FFFFFF"/>
            <w:noWrap w:val="0"/>
            <w:vAlign w:val="bottom"/>
          </w:tcPr>
          <w:p w14:paraId="4D372FDC">
            <w:pPr>
              <w:widowControl/>
              <w:spacing w:line="360" w:lineRule="auto"/>
              <w:jc w:val="center"/>
              <w:rPr>
                <w:rFonts w:ascii="宋体" w:hAnsi="宋体" w:cs="Arial"/>
                <w:color w:val="auto"/>
                <w:kern w:val="0"/>
                <w:sz w:val="21"/>
                <w:szCs w:val="21"/>
                <w:highlight w:val="none"/>
              </w:rPr>
            </w:pPr>
          </w:p>
        </w:tc>
        <w:tc>
          <w:tcPr>
            <w:tcW w:w="1611" w:type="pct"/>
            <w:shd w:val="clear" w:color="000000" w:fill="FFFFFF"/>
            <w:noWrap w:val="0"/>
            <w:vAlign w:val="bottom"/>
          </w:tcPr>
          <w:p w14:paraId="6D7A7C8E">
            <w:pPr>
              <w:widowControl/>
              <w:spacing w:line="360" w:lineRule="auto"/>
              <w:jc w:val="center"/>
              <w:rPr>
                <w:rFonts w:ascii="宋体" w:hAnsi="宋体" w:cs="Arial"/>
                <w:color w:val="auto"/>
                <w:kern w:val="0"/>
                <w:sz w:val="21"/>
                <w:szCs w:val="21"/>
                <w:highlight w:val="none"/>
              </w:rPr>
            </w:pPr>
          </w:p>
        </w:tc>
      </w:tr>
    </w:tbl>
    <w:p w14:paraId="50B3C1D6">
      <w:pPr>
        <w:pStyle w:val="78"/>
        <w:spacing w:line="360" w:lineRule="auto"/>
        <w:ind w:left="213" w:leftChars="58" w:right="238" w:rightChars="85" w:hanging="51" w:hangingChars="24"/>
        <w:rPr>
          <w:rFonts w:hint="eastAsia" w:ascii="宋体" w:hAnsi="宋体" w:cs="宋体"/>
          <w:b/>
          <w:bCs/>
          <w:color w:val="auto"/>
          <w:sz w:val="21"/>
          <w:szCs w:val="21"/>
          <w:highlight w:val="none"/>
        </w:rPr>
      </w:pPr>
    </w:p>
    <w:p w14:paraId="2152CCEE">
      <w:pPr>
        <w:pStyle w:val="78"/>
        <w:ind w:left="-28" w:leftChars="-28" w:hanging="50" w:hangingChars="2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w:t>
      </w:r>
    </w:p>
    <w:p w14:paraId="1D2F376D">
      <w:pPr>
        <w:pStyle w:val="7"/>
        <w:ind w:firstLine="980" w:firstLineChars="350"/>
        <w:rPr>
          <w:color w:val="auto"/>
          <w:highlight w:val="none"/>
        </w:rPr>
        <w:sectPr>
          <w:pgSz w:w="11906" w:h="16838"/>
          <w:pgMar w:top="1361" w:right="1361" w:bottom="1361" w:left="1361" w:header="850" w:footer="964" w:gutter="170"/>
          <w:pgNumType w:fmt="decimal"/>
          <w:cols w:space="720" w:num="1"/>
          <w:docGrid w:linePitch="381" w:charSpace="0"/>
        </w:sectPr>
      </w:pPr>
    </w:p>
    <w:bookmarkEnd w:id="165"/>
    <w:p w14:paraId="0A8C3A9F">
      <w:pPr>
        <w:spacing w:line="360" w:lineRule="auto"/>
        <w:jc w:val="center"/>
        <w:outlineLvl w:val="1"/>
        <w:rPr>
          <w:rFonts w:ascii="宋体" w:hAnsi="宋体" w:cs="宋体"/>
          <w:b/>
          <w:bCs/>
          <w:color w:val="auto"/>
          <w:kern w:val="0"/>
          <w:szCs w:val="28"/>
          <w:highlight w:val="none"/>
        </w:rPr>
      </w:pPr>
      <w:bookmarkStart w:id="166" w:name="_Toc33625870"/>
      <w:r>
        <w:rPr>
          <w:rFonts w:hint="eastAsia" w:ascii="宋体" w:hAnsi="宋体" w:cs="宋体"/>
          <w:b/>
          <w:bCs/>
          <w:color w:val="auto"/>
          <w:kern w:val="0"/>
          <w:szCs w:val="28"/>
          <w:highlight w:val="none"/>
        </w:rPr>
        <w:t>四、承诺书</w:t>
      </w:r>
    </w:p>
    <w:p w14:paraId="72BA9FCA">
      <w:pPr>
        <w:spacing w:line="360" w:lineRule="auto"/>
        <w:jc w:val="center"/>
        <w:rPr>
          <w:rFonts w:hint="eastAsia" w:ascii="宋体" w:hAnsi="宋体" w:cs="宋体"/>
          <w:b/>
          <w:bCs/>
          <w:color w:val="auto"/>
          <w:kern w:val="0"/>
          <w:sz w:val="24"/>
          <w:highlight w:val="none"/>
        </w:rPr>
      </w:pPr>
    </w:p>
    <w:p w14:paraId="04393636">
      <w:pPr>
        <w:spacing w:line="360" w:lineRule="auto"/>
        <w:jc w:val="center"/>
        <w:outlineLvl w:val="2"/>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（一）投标人资料真实性承诺书</w:t>
      </w:r>
    </w:p>
    <w:p w14:paraId="77307684">
      <w:pPr>
        <w:autoSpaceDE w:val="0"/>
        <w:autoSpaceDN w:val="0"/>
        <w:spacing w:line="360" w:lineRule="auto"/>
        <w:rPr>
          <w:rFonts w:hint="eastAsia" w:ascii="宋体" w:hAnsi="宋体" w:cs="宋体"/>
          <w:color w:val="auto"/>
          <w:kern w:val="0"/>
          <w:sz w:val="24"/>
          <w:highlight w:val="none"/>
          <w:u w:val="single"/>
        </w:rPr>
      </w:pPr>
    </w:p>
    <w:p w14:paraId="218538E1">
      <w:pPr>
        <w:autoSpaceDE w:val="0"/>
        <w:autoSpaceDN w:val="0"/>
        <w:spacing w:line="360" w:lineRule="auto"/>
        <w:rPr>
          <w:rFonts w:hint="eastAsia" w:ascii="宋体" w:hAnsi="宋体" w:eastAsia="宋体" w:cs="宋体"/>
          <w:color w:val="auto"/>
          <w:kern w:val="0"/>
          <w:sz w:val="21"/>
          <w:szCs w:val="21"/>
          <w:highlight w:val="none"/>
          <w:u w:val="single"/>
          <w:lang w:eastAsia="zh-CN"/>
        </w:rPr>
      </w:pPr>
      <w:r>
        <w:rPr>
          <w:rFonts w:hint="eastAsia" w:ascii="宋体" w:hAnsi="宋体" w:cs="宋体"/>
          <w:color w:val="auto"/>
          <w:kern w:val="0"/>
          <w:sz w:val="21"/>
          <w:szCs w:val="21"/>
          <w:highlight w:val="none"/>
          <w:u w:val="single"/>
        </w:rPr>
        <w:t>致：</w:t>
      </w:r>
      <w:r>
        <w:rPr>
          <w:rFonts w:hint="eastAsia" w:ascii="宋体" w:hAnsi="宋体" w:cs="宋体"/>
          <w:color w:val="auto"/>
          <w:kern w:val="0"/>
          <w:sz w:val="21"/>
          <w:szCs w:val="21"/>
          <w:highlight w:val="none"/>
          <w:u w:val="single"/>
          <w:lang w:eastAsia="zh-CN"/>
        </w:rPr>
        <w:t>南通市江海河联运项目建设指挥部</w:t>
      </w:r>
    </w:p>
    <w:p w14:paraId="57CC1C37">
      <w:pPr>
        <w:autoSpaceDE w:val="0"/>
        <w:autoSpaceDN w:val="0"/>
        <w:spacing w:line="360" w:lineRule="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    本人</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以</w:t>
      </w:r>
      <w:r>
        <w:rPr>
          <w:rFonts w:hint="eastAsia" w:ascii="宋体" w:hAnsi="宋体" w:cs="宋体"/>
          <w:color w:val="auto"/>
          <w:kern w:val="0"/>
          <w:sz w:val="21"/>
          <w:szCs w:val="21"/>
          <w:highlight w:val="none"/>
          <w:u w:val="single"/>
        </w:rPr>
        <w:t xml:space="preserve">       （投标人全称）    </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法定代表人的资格</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郑重承诺：</w:t>
      </w:r>
    </w:p>
    <w:p w14:paraId="219C2D83">
      <w:pPr>
        <w:autoSpaceDE w:val="0"/>
        <w:autoSpaceDN w:val="0"/>
        <w:spacing w:line="360" w:lineRule="auto"/>
        <w:ind w:firstLine="48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本企业此次参加</w:t>
      </w:r>
      <w:r>
        <w:rPr>
          <w:rFonts w:hint="eastAsia" w:ascii="宋体" w:hAnsi="宋体" w:cs="宋体"/>
          <w:color w:val="auto"/>
          <w:kern w:val="0"/>
          <w:sz w:val="21"/>
          <w:szCs w:val="21"/>
          <w:highlight w:val="none"/>
          <w:u w:val="single"/>
          <w:lang w:eastAsia="zh-CN"/>
        </w:rPr>
        <w:t>“水运江苏”建设跨江竞技劳动技能竞赛服务项目SYJS-JNJS标段</w:t>
      </w:r>
      <w:r>
        <w:rPr>
          <w:rFonts w:hint="eastAsia" w:ascii="宋体" w:hAnsi="宋体" w:cs="宋体"/>
          <w:color w:val="auto"/>
          <w:kern w:val="0"/>
          <w:sz w:val="21"/>
          <w:szCs w:val="21"/>
          <w:highlight w:val="none"/>
        </w:rPr>
        <w:t>投标所提交的所有资料都是真实的。如有虚假</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本企业愿意接受招标人做出的取消投标、中标资格的决定</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同时愿意接受交通行政主管部门依法做出的其它处罚决定。</w:t>
      </w:r>
    </w:p>
    <w:p w14:paraId="3BEF3DE5">
      <w:pPr>
        <w:autoSpaceDE w:val="0"/>
        <w:autoSpaceDN w:val="0"/>
        <w:spacing w:line="360" w:lineRule="auto"/>
        <w:rPr>
          <w:rFonts w:hint="eastAsia" w:ascii="宋体" w:hAnsi="宋体" w:cs="宋体"/>
          <w:color w:val="auto"/>
          <w:kern w:val="0"/>
          <w:sz w:val="21"/>
          <w:szCs w:val="21"/>
          <w:highlight w:val="none"/>
        </w:rPr>
      </w:pPr>
    </w:p>
    <w:p w14:paraId="4CEC99E2">
      <w:pPr>
        <w:autoSpaceDE w:val="0"/>
        <w:autoSpaceDN w:val="0"/>
        <w:spacing w:line="360" w:lineRule="auto"/>
        <w:rPr>
          <w:rFonts w:hint="eastAsia" w:ascii="宋体" w:hAnsi="宋体" w:cs="宋体"/>
          <w:color w:val="auto"/>
          <w:kern w:val="0"/>
          <w:sz w:val="21"/>
          <w:szCs w:val="21"/>
          <w:highlight w:val="none"/>
        </w:rPr>
      </w:pPr>
    </w:p>
    <w:p w14:paraId="4FE6BE00">
      <w:pPr>
        <w:autoSpaceDE w:val="0"/>
        <w:autoSpaceDN w:val="0"/>
        <w:spacing w:line="360" w:lineRule="auto"/>
        <w:rPr>
          <w:rFonts w:hint="eastAsia" w:ascii="宋体" w:hAnsi="宋体" w:cs="宋体"/>
          <w:color w:val="auto"/>
          <w:kern w:val="0"/>
          <w:sz w:val="21"/>
          <w:szCs w:val="21"/>
          <w:highlight w:val="none"/>
        </w:rPr>
      </w:pPr>
    </w:p>
    <w:p w14:paraId="05AD2A52">
      <w:pPr>
        <w:autoSpaceDE w:val="0"/>
        <w:autoSpaceDN w:val="0"/>
        <w:spacing w:line="360" w:lineRule="auto"/>
        <w:rPr>
          <w:rFonts w:hint="eastAsia" w:ascii="宋体" w:hAnsi="宋体" w:cs="宋体"/>
          <w:color w:val="auto"/>
          <w:kern w:val="0"/>
          <w:sz w:val="21"/>
          <w:szCs w:val="21"/>
          <w:highlight w:val="none"/>
        </w:rPr>
      </w:pPr>
    </w:p>
    <w:p w14:paraId="3340FA7C">
      <w:pPr>
        <w:autoSpaceDE w:val="0"/>
        <w:autoSpaceDN w:val="0"/>
        <w:spacing w:line="360" w:lineRule="auto"/>
        <w:ind w:firstLine="3255" w:firstLineChars="1550"/>
        <w:rPr>
          <w:rFonts w:hint="eastAsia" w:ascii="宋体" w:hAnsi="宋体" w:cs="宋体"/>
          <w:color w:val="auto"/>
          <w:kern w:val="0"/>
          <w:sz w:val="21"/>
          <w:szCs w:val="21"/>
          <w:highlight w:val="none"/>
          <w:u w:val="single"/>
        </w:rPr>
      </w:pPr>
      <w:r>
        <w:rPr>
          <w:rFonts w:hint="eastAsia" w:ascii="宋体" w:hAnsi="宋体" w:cs="宋体"/>
          <w:color w:val="auto"/>
          <w:kern w:val="0"/>
          <w:sz w:val="21"/>
          <w:szCs w:val="21"/>
          <w:highlight w:val="none"/>
        </w:rPr>
        <w:t>投标人（盖单位章）：</w:t>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rPr>
        <w:tab/>
      </w:r>
    </w:p>
    <w:p w14:paraId="2734A1CA">
      <w:pPr>
        <w:autoSpaceDE w:val="0"/>
        <w:autoSpaceDN w:val="0"/>
        <w:spacing w:line="360" w:lineRule="auto"/>
        <w:ind w:firstLine="3255" w:firstLineChars="1550"/>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法定代表人</w:t>
      </w:r>
    </w:p>
    <w:p w14:paraId="1C18AFD9">
      <w:pPr>
        <w:autoSpaceDE w:val="0"/>
        <w:autoSpaceDN w:val="0"/>
        <w:spacing w:line="360" w:lineRule="auto"/>
        <w:ind w:firstLine="3255" w:firstLineChars="1550"/>
        <w:rPr>
          <w:rFonts w:hint="eastAsia" w:ascii="宋体" w:hAnsi="宋体" w:cs="宋体"/>
          <w:color w:val="auto"/>
          <w:kern w:val="0"/>
          <w:sz w:val="21"/>
          <w:szCs w:val="21"/>
          <w:highlight w:val="none"/>
          <w:u w:val="single"/>
        </w:rPr>
      </w:pPr>
      <w:r>
        <w:rPr>
          <w:rFonts w:hint="eastAsia" w:ascii="宋体" w:hAnsi="宋体" w:cs="宋体"/>
          <w:color w:val="auto"/>
          <w:kern w:val="0"/>
          <w:sz w:val="21"/>
          <w:szCs w:val="21"/>
          <w:highlight w:val="none"/>
        </w:rPr>
        <w:t>或其委托代理人（签字）：</w:t>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p>
    <w:p w14:paraId="1C581955">
      <w:pPr>
        <w:autoSpaceDE w:val="0"/>
        <w:autoSpaceDN w:val="0"/>
        <w:spacing w:line="360" w:lineRule="auto"/>
        <w:ind w:firstLine="4560"/>
        <w:rPr>
          <w:rFonts w:hint="eastAsia" w:ascii="宋体" w:hAnsi="宋体" w:cs="宋体"/>
          <w:color w:val="auto"/>
          <w:kern w:val="0"/>
          <w:sz w:val="21"/>
          <w:szCs w:val="21"/>
          <w:highlight w:val="none"/>
          <w:u w:val="single"/>
        </w:rPr>
      </w:pPr>
    </w:p>
    <w:p w14:paraId="7661CC18">
      <w:pPr>
        <w:autoSpaceDE w:val="0"/>
        <w:autoSpaceDN w:val="0"/>
        <w:spacing w:line="360" w:lineRule="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                                          </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日</w:t>
      </w:r>
    </w:p>
    <w:p w14:paraId="452C672E">
      <w:pPr>
        <w:pStyle w:val="4"/>
        <w:ind w:firstLine="477" w:firstLineChars="198"/>
        <w:jc w:val="center"/>
        <w:rPr>
          <w:rFonts w:hint="eastAsia" w:ascii="宋体" w:hAnsi="宋体"/>
          <w:color w:val="auto"/>
          <w:w w:val="99"/>
          <w:sz w:val="28"/>
          <w:szCs w:val="28"/>
          <w:highlight w:val="none"/>
        </w:rPr>
      </w:pPr>
      <w:r>
        <w:rPr>
          <w:rFonts w:ascii="宋体" w:hAnsi="宋体" w:cs="宋体"/>
          <w:color w:val="auto"/>
          <w:sz w:val="24"/>
          <w:highlight w:val="none"/>
        </w:rPr>
        <w:br w:type="page"/>
      </w:r>
      <w:bookmarkStart w:id="167" w:name="_Toc29915"/>
      <w:r>
        <w:rPr>
          <w:rFonts w:hint="eastAsia" w:ascii="宋体" w:hAnsi="宋体" w:cs="宋体"/>
          <w:color w:val="auto"/>
          <w:sz w:val="24"/>
          <w:szCs w:val="24"/>
          <w:highlight w:val="none"/>
        </w:rPr>
        <w:t>（二）江苏省公路水运建设项目投标人信用承诺书</w:t>
      </w:r>
      <w:bookmarkEnd w:id="167"/>
    </w:p>
    <w:p w14:paraId="058479A2">
      <w:pPr>
        <w:spacing w:line="360" w:lineRule="auto"/>
        <w:rPr>
          <w:rFonts w:hint="eastAsia" w:ascii="宋体" w:hAnsi="宋体" w:eastAsia="宋体"/>
          <w:color w:val="auto"/>
          <w:kern w:val="0"/>
          <w:sz w:val="21"/>
          <w:szCs w:val="21"/>
          <w:highlight w:val="none"/>
          <w:u w:val="single"/>
          <w:lang w:eastAsia="zh-CN"/>
        </w:rPr>
      </w:pPr>
      <w:r>
        <w:rPr>
          <w:rFonts w:hint="eastAsia" w:ascii="宋体" w:hAnsi="宋体"/>
          <w:color w:val="auto"/>
          <w:kern w:val="0"/>
          <w:sz w:val="21"/>
          <w:szCs w:val="21"/>
          <w:highlight w:val="none"/>
        </w:rPr>
        <w:t>致：</w:t>
      </w:r>
      <w:r>
        <w:rPr>
          <w:rFonts w:hint="eastAsia" w:ascii="宋体" w:hAnsi="宋体"/>
          <w:color w:val="auto"/>
          <w:kern w:val="0"/>
          <w:sz w:val="21"/>
          <w:szCs w:val="21"/>
          <w:highlight w:val="none"/>
          <w:u w:val="single"/>
          <w:lang w:eastAsia="zh-CN"/>
        </w:rPr>
        <w:t>南通市江海河联运项目建设指挥部</w:t>
      </w:r>
    </w:p>
    <w:p w14:paraId="04A2CF99">
      <w:pPr>
        <w:spacing w:line="360" w:lineRule="auto"/>
        <w:ind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我单位自愿参加</w:t>
      </w:r>
      <w:r>
        <w:rPr>
          <w:rFonts w:hint="eastAsia" w:ascii="宋体" w:hAnsi="宋体"/>
          <w:color w:val="auto"/>
          <w:kern w:val="0"/>
          <w:sz w:val="21"/>
          <w:szCs w:val="21"/>
          <w:highlight w:val="none"/>
          <w:u w:val="single"/>
          <w:lang w:eastAsia="zh-CN"/>
        </w:rPr>
        <w:t>“水运江苏”建设跨江竞技劳动技能竞赛服务项目SYJS-JNJS标段</w:t>
      </w:r>
      <w:r>
        <w:rPr>
          <w:rFonts w:hint="eastAsia" w:ascii="宋体" w:hAnsi="宋体"/>
          <w:color w:val="auto"/>
          <w:kern w:val="0"/>
          <w:sz w:val="21"/>
          <w:szCs w:val="21"/>
          <w:highlight w:val="none"/>
        </w:rPr>
        <w:t>的投标活动</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并郑重承诺：</w:t>
      </w:r>
    </w:p>
    <w:p w14:paraId="74CD1A03">
      <w:pPr>
        <w:numPr>
          <w:ilvl w:val="0"/>
          <w:numId w:val="3"/>
          <w:numberingChange w:id="0" w:author="苏州市航道管理处" w:date="2023-10-17T10:08:00Z" w:original="%1:1:0:."/>
        </w:numPr>
        <w:spacing w:line="360" w:lineRule="auto"/>
        <w:ind w:left="0"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在本项目的投标活动中遵守国家法律法规和交通运输行业有关规定</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遵循公开、公平、公正和诚信原则。</w:t>
      </w:r>
    </w:p>
    <w:p w14:paraId="5895D62B">
      <w:pPr>
        <w:numPr>
          <w:ilvl w:val="0"/>
          <w:numId w:val="3"/>
          <w:numberingChange w:id="1" w:author="苏州市航道管理处" w:date="2023-10-17T10:08:00Z" w:original="%1:2:0:."/>
        </w:numPr>
        <w:spacing w:line="360" w:lineRule="auto"/>
        <w:ind w:left="0"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投标文件中所有内容均为我单位真实意愿表达</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相关信息真实有效。</w:t>
      </w:r>
    </w:p>
    <w:p w14:paraId="3D839914">
      <w:pPr>
        <w:numPr>
          <w:ilvl w:val="0"/>
          <w:numId w:val="3"/>
          <w:numberingChange w:id="2" w:author="苏州市航道管理处" w:date="2023-10-17T10:08:00Z" w:original="%1:3:0:."/>
        </w:numPr>
        <w:spacing w:line="360" w:lineRule="auto"/>
        <w:ind w:left="0"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无弄虚作假</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无围标串标行为。</w:t>
      </w:r>
    </w:p>
    <w:p w14:paraId="653377CA">
      <w:pPr>
        <w:numPr>
          <w:ilvl w:val="0"/>
          <w:numId w:val="3"/>
          <w:numberingChange w:id="3" w:author="苏州市航道管理处" w:date="2023-10-17T10:08:00Z" w:original="%1:4:0:."/>
        </w:numPr>
        <w:spacing w:line="360" w:lineRule="auto"/>
        <w:ind w:left="0"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若我方中标</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在合同履行过程中严格执行有关法律、法规、规章和规范性文件的规定</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不转包和违法分包。</w:t>
      </w:r>
    </w:p>
    <w:p w14:paraId="536D2BC3">
      <w:pPr>
        <w:numPr>
          <w:ilvl w:val="0"/>
          <w:numId w:val="3"/>
          <w:numberingChange w:id="4" w:author="苏州市航道管理处" w:date="2023-10-17T10:08:00Z" w:original="%1:5:0:."/>
        </w:numPr>
        <w:spacing w:line="360" w:lineRule="auto"/>
        <w:ind w:left="0" w:firstLine="420" w:firstLineChars="200"/>
        <w:rPr>
          <w:rFonts w:hint="eastAsia" w:ascii="宋体" w:hAnsi="宋体"/>
          <w:color w:val="auto"/>
          <w:kern w:val="0"/>
          <w:sz w:val="21"/>
          <w:szCs w:val="21"/>
          <w:highlight w:val="none"/>
        </w:rPr>
      </w:pPr>
      <w:r>
        <w:rPr>
          <w:rFonts w:hint="eastAsia" w:ascii="宋体" w:hAnsi="宋体"/>
          <w:color w:val="auto"/>
          <w:kern w:val="0"/>
          <w:sz w:val="21"/>
          <w:szCs w:val="21"/>
          <w:highlight w:val="none"/>
        </w:rPr>
        <w:t>我方如有违背承诺</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愿意接受国家和交通运输主管部门依法进行的处罚</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以及按照信用管理规定记入相关责任主体和责任人信用档案</w:t>
      </w:r>
      <w:r>
        <w:rPr>
          <w:rFonts w:hint="eastAsia" w:ascii="宋体" w:hAnsi="宋体"/>
          <w:color w:val="auto"/>
          <w:kern w:val="0"/>
          <w:sz w:val="21"/>
          <w:szCs w:val="21"/>
          <w:highlight w:val="none"/>
          <w:lang w:eastAsia="zh-CN"/>
        </w:rPr>
        <w:t>，</w:t>
      </w:r>
      <w:r>
        <w:rPr>
          <w:rFonts w:hint="eastAsia" w:ascii="宋体" w:hAnsi="宋体"/>
          <w:color w:val="auto"/>
          <w:kern w:val="0"/>
          <w:sz w:val="21"/>
          <w:szCs w:val="21"/>
          <w:highlight w:val="none"/>
        </w:rPr>
        <w:t>同时在交通运输行业和政府相关信用网站公开。</w:t>
      </w:r>
    </w:p>
    <w:p w14:paraId="62B79EF7">
      <w:pPr>
        <w:spacing w:line="400" w:lineRule="exact"/>
        <w:ind w:firstLine="3800" w:firstLineChars="1900"/>
        <w:rPr>
          <w:rFonts w:hint="eastAsia" w:ascii="宋体" w:hAnsi="宋体"/>
          <w:color w:val="auto"/>
          <w:spacing w:val="-5"/>
          <w:sz w:val="21"/>
          <w:szCs w:val="21"/>
          <w:highlight w:val="none"/>
        </w:rPr>
      </w:pPr>
    </w:p>
    <w:p w14:paraId="1683C85F">
      <w:pPr>
        <w:spacing w:line="400" w:lineRule="exact"/>
        <w:ind w:firstLine="3800" w:firstLineChars="1900"/>
        <w:rPr>
          <w:rFonts w:hint="eastAsia" w:ascii="宋体" w:hAnsi="宋体"/>
          <w:color w:val="auto"/>
          <w:spacing w:val="-5"/>
          <w:sz w:val="21"/>
          <w:szCs w:val="21"/>
          <w:highlight w:val="none"/>
        </w:rPr>
      </w:pPr>
    </w:p>
    <w:p w14:paraId="1EA0CD21">
      <w:pPr>
        <w:autoSpaceDE w:val="0"/>
        <w:autoSpaceDN w:val="0"/>
        <w:adjustRightInd w:val="0"/>
        <w:spacing w:line="360" w:lineRule="auto"/>
        <w:ind w:firstLine="3255" w:firstLineChars="1550"/>
        <w:rPr>
          <w:rFonts w:hint="eastAsia" w:ascii="宋体" w:hAnsi="宋体" w:cs="宋体"/>
          <w:color w:val="auto"/>
          <w:kern w:val="0"/>
          <w:sz w:val="21"/>
          <w:szCs w:val="21"/>
          <w:highlight w:val="none"/>
          <w:u w:val="single"/>
        </w:rPr>
      </w:pPr>
      <w:r>
        <w:rPr>
          <w:rFonts w:hint="eastAsia" w:ascii="宋体" w:hAnsi="宋体" w:cs="宋体"/>
          <w:color w:val="auto"/>
          <w:kern w:val="0"/>
          <w:sz w:val="21"/>
          <w:szCs w:val="21"/>
          <w:highlight w:val="none"/>
        </w:rPr>
        <w:t>投标人（盖单位章）：</w:t>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rPr>
        <w:tab/>
      </w:r>
    </w:p>
    <w:p w14:paraId="34EFF9D6">
      <w:pPr>
        <w:autoSpaceDE w:val="0"/>
        <w:autoSpaceDN w:val="0"/>
        <w:adjustRightInd w:val="0"/>
        <w:spacing w:line="360" w:lineRule="auto"/>
        <w:ind w:firstLine="3268" w:firstLineChars="1550"/>
        <w:rPr>
          <w:rFonts w:hint="eastAsia" w:ascii="宋体" w:hAnsi="宋体" w:cs="宋体"/>
          <w:b/>
          <w:color w:val="auto"/>
          <w:kern w:val="0"/>
          <w:sz w:val="21"/>
          <w:szCs w:val="21"/>
          <w:highlight w:val="none"/>
          <w:u w:val="single"/>
        </w:rPr>
      </w:pPr>
      <w:r>
        <w:rPr>
          <w:rFonts w:hint="eastAsia" w:ascii="宋体" w:hAnsi="宋体" w:cs="宋体"/>
          <w:b/>
          <w:color w:val="auto"/>
          <w:kern w:val="0"/>
          <w:sz w:val="21"/>
          <w:szCs w:val="21"/>
          <w:highlight w:val="none"/>
        </w:rPr>
        <w:t>承诺人法定代表人（签字或签章）：</w:t>
      </w:r>
      <w:r>
        <w:rPr>
          <w:rFonts w:hint="eastAsia" w:ascii="宋体" w:hAnsi="宋体" w:cs="宋体"/>
          <w:b/>
          <w:color w:val="auto"/>
          <w:kern w:val="0"/>
          <w:sz w:val="21"/>
          <w:szCs w:val="21"/>
          <w:highlight w:val="none"/>
          <w:u w:val="single"/>
        </w:rPr>
        <w:tab/>
      </w:r>
      <w:r>
        <w:rPr>
          <w:rFonts w:hint="eastAsia" w:ascii="宋体" w:hAnsi="宋体" w:cs="宋体"/>
          <w:b/>
          <w:color w:val="auto"/>
          <w:kern w:val="0"/>
          <w:sz w:val="21"/>
          <w:szCs w:val="21"/>
          <w:highlight w:val="none"/>
          <w:u w:val="single"/>
        </w:rPr>
        <w:tab/>
      </w:r>
      <w:r>
        <w:rPr>
          <w:rFonts w:hint="eastAsia" w:ascii="宋体" w:hAnsi="宋体" w:cs="宋体"/>
          <w:b/>
          <w:color w:val="auto"/>
          <w:kern w:val="0"/>
          <w:sz w:val="21"/>
          <w:szCs w:val="21"/>
          <w:highlight w:val="none"/>
          <w:u w:val="single"/>
        </w:rPr>
        <w:tab/>
      </w:r>
    </w:p>
    <w:p w14:paraId="28CD9D41">
      <w:pPr>
        <w:autoSpaceDE w:val="0"/>
        <w:autoSpaceDN w:val="0"/>
        <w:adjustRightInd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 xml:space="preserve">                                          </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u w:val="single"/>
        </w:rPr>
        <w:tab/>
      </w:r>
      <w:r>
        <w:rPr>
          <w:rFonts w:hint="eastAsia" w:ascii="宋体" w:hAnsi="宋体" w:cs="宋体"/>
          <w:color w:val="auto"/>
          <w:kern w:val="0"/>
          <w:sz w:val="21"/>
          <w:szCs w:val="21"/>
          <w:highlight w:val="none"/>
          <w:u w:val="single"/>
        </w:rPr>
        <w:t>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 xml:space="preserve">月 </w:t>
      </w:r>
      <w:r>
        <w:rPr>
          <w:rFonts w:hint="eastAsia" w:ascii="宋体" w:hAnsi="宋体" w:cs="宋体"/>
          <w:color w:val="auto"/>
          <w:kern w:val="0"/>
          <w:sz w:val="21"/>
          <w:szCs w:val="21"/>
          <w:highlight w:val="none"/>
          <w:u w:val="single"/>
        </w:rPr>
        <w:t xml:space="preserve">     </w:t>
      </w:r>
      <w:r>
        <w:rPr>
          <w:rFonts w:hint="eastAsia" w:ascii="宋体" w:hAnsi="宋体" w:cs="宋体"/>
          <w:color w:val="auto"/>
          <w:kern w:val="0"/>
          <w:sz w:val="21"/>
          <w:szCs w:val="21"/>
          <w:highlight w:val="none"/>
        </w:rPr>
        <w:t>日</w:t>
      </w:r>
    </w:p>
    <w:p w14:paraId="7C272CDA">
      <w:pPr>
        <w:spacing w:before="120" w:beforeLines="50" w:line="400" w:lineRule="exact"/>
        <w:jc w:val="center"/>
        <w:outlineLvl w:val="2"/>
        <w:rPr>
          <w:rFonts w:ascii="宋体" w:hAnsi="宋体"/>
          <w:b/>
          <w:bCs/>
          <w:color w:val="auto"/>
          <w:spacing w:val="-5"/>
          <w:sz w:val="24"/>
          <w:highlight w:val="none"/>
        </w:rPr>
      </w:pPr>
      <w:r>
        <w:rPr>
          <w:rFonts w:ascii="宋体" w:hAnsi="宋体" w:cs="宋体"/>
          <w:color w:val="auto"/>
          <w:kern w:val="0"/>
          <w:sz w:val="24"/>
          <w:highlight w:val="none"/>
        </w:rPr>
        <w:br w:type="page"/>
      </w:r>
      <w:r>
        <w:rPr>
          <w:rFonts w:hint="eastAsia" w:ascii="宋体" w:hAnsi="宋体" w:cs="宋体"/>
          <w:b/>
          <w:bCs/>
          <w:color w:val="auto"/>
          <w:kern w:val="0"/>
          <w:sz w:val="24"/>
          <w:highlight w:val="none"/>
        </w:rPr>
        <w:t>（三）</w:t>
      </w:r>
      <w:r>
        <w:rPr>
          <w:rFonts w:ascii="宋体" w:hAnsi="宋体" w:cs="宋体"/>
          <w:b/>
          <w:bCs/>
          <w:color w:val="auto"/>
          <w:sz w:val="24"/>
          <w:highlight w:val="none"/>
        </w:rPr>
        <w:t>江苏公路水运建设市场主要从业人员信用承诺书</w:t>
      </w:r>
    </w:p>
    <w:p w14:paraId="2B902168">
      <w:pPr>
        <w:spacing w:before="120" w:beforeLines="50" w:line="360" w:lineRule="auto"/>
        <w:ind w:firstLine="540" w:firstLineChars="200"/>
        <w:rPr>
          <w:rFonts w:hint="eastAsia" w:ascii="宋体" w:hAnsi="宋体"/>
          <w:color w:val="auto"/>
          <w:spacing w:val="-5"/>
          <w:szCs w:val="21"/>
          <w:highlight w:val="none"/>
        </w:rPr>
      </w:pPr>
    </w:p>
    <w:p w14:paraId="2B58FEA6">
      <w:pPr>
        <w:spacing w:before="120" w:beforeLines="50" w:line="360" w:lineRule="auto"/>
        <w:ind w:firstLine="400" w:firstLineChars="200"/>
        <w:rPr>
          <w:rFonts w:ascii="宋体" w:hAnsi="宋体"/>
          <w:color w:val="auto"/>
          <w:spacing w:val="-5"/>
          <w:kern w:val="0"/>
          <w:sz w:val="21"/>
          <w:szCs w:val="21"/>
          <w:highlight w:val="none"/>
        </w:rPr>
      </w:pPr>
      <w:r>
        <w:rPr>
          <w:rFonts w:hint="eastAsia" w:ascii="宋体" w:hAnsi="宋体"/>
          <w:color w:val="auto"/>
          <w:spacing w:val="-5"/>
          <w:kern w:val="0"/>
          <w:sz w:val="21"/>
          <w:szCs w:val="21"/>
          <w:highlight w:val="none"/>
        </w:rPr>
        <w:t>本人自愿申请参加江苏省公路水运工程主要从业人员信用评价</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在此郑重承诺：</w:t>
      </w:r>
    </w:p>
    <w:p w14:paraId="0540E9CB">
      <w:pPr>
        <w:numPr>
          <w:ilvl w:val="0"/>
          <w:numId w:val="4"/>
          <w:numberingChange w:id="5" w:author="苏州市航道管理处" w:date="2023-10-17T10:08:00Z" w:original="%1:1:0:."/>
        </w:numPr>
        <w:spacing w:line="360" w:lineRule="auto"/>
        <w:ind w:left="0" w:firstLine="400" w:firstLineChars="200"/>
        <w:rPr>
          <w:rFonts w:ascii="宋体" w:hAnsi="宋体"/>
          <w:color w:val="auto"/>
          <w:spacing w:val="-5"/>
          <w:kern w:val="0"/>
          <w:sz w:val="21"/>
          <w:szCs w:val="21"/>
          <w:highlight w:val="none"/>
        </w:rPr>
      </w:pPr>
      <w:r>
        <w:rPr>
          <w:rFonts w:hint="eastAsia" w:ascii="宋体" w:hAnsi="宋体"/>
          <w:color w:val="auto"/>
          <w:spacing w:val="-5"/>
          <w:kern w:val="0"/>
          <w:sz w:val="21"/>
          <w:szCs w:val="21"/>
          <w:highlight w:val="none"/>
        </w:rPr>
        <w:t>在厅</w:t>
      </w:r>
      <w:r>
        <w:rPr>
          <w:rFonts w:ascii="宋体" w:hAnsi="宋体"/>
          <w:color w:val="auto"/>
          <w:spacing w:val="-5"/>
          <w:kern w:val="0"/>
          <w:sz w:val="21"/>
          <w:szCs w:val="21"/>
          <w:highlight w:val="none"/>
        </w:rPr>
        <w:t>建设市场信用系统</w:t>
      </w:r>
      <w:r>
        <w:rPr>
          <w:rFonts w:hint="eastAsia" w:ascii="宋体" w:hAnsi="宋体"/>
          <w:color w:val="auto"/>
          <w:spacing w:val="-5"/>
          <w:kern w:val="0"/>
          <w:sz w:val="21"/>
          <w:szCs w:val="21"/>
          <w:highlight w:val="none"/>
        </w:rPr>
        <w:t>中录入的</w:t>
      </w:r>
      <w:r>
        <w:rPr>
          <w:rFonts w:ascii="宋体" w:hAnsi="宋体"/>
          <w:color w:val="auto"/>
          <w:spacing w:val="-5"/>
          <w:kern w:val="0"/>
          <w:sz w:val="21"/>
          <w:szCs w:val="21"/>
          <w:highlight w:val="none"/>
        </w:rPr>
        <w:t>有关</w:t>
      </w:r>
      <w:r>
        <w:rPr>
          <w:rFonts w:hint="eastAsia" w:ascii="宋体" w:hAnsi="宋体"/>
          <w:color w:val="auto"/>
          <w:spacing w:val="-5"/>
          <w:kern w:val="0"/>
          <w:sz w:val="21"/>
          <w:szCs w:val="21"/>
          <w:highlight w:val="none"/>
        </w:rPr>
        <w:t>本人信用</w:t>
      </w:r>
      <w:r>
        <w:rPr>
          <w:rFonts w:ascii="宋体" w:hAnsi="宋体"/>
          <w:color w:val="auto"/>
          <w:spacing w:val="-5"/>
          <w:kern w:val="0"/>
          <w:sz w:val="21"/>
          <w:szCs w:val="21"/>
          <w:highlight w:val="none"/>
        </w:rPr>
        <w:t>信息</w:t>
      </w:r>
      <w:r>
        <w:rPr>
          <w:rFonts w:hint="eastAsia" w:ascii="宋体" w:hAnsi="宋体"/>
          <w:color w:val="auto"/>
          <w:spacing w:val="-5"/>
          <w:kern w:val="0"/>
          <w:sz w:val="21"/>
          <w:szCs w:val="21"/>
          <w:highlight w:val="none"/>
        </w:rPr>
        <w:t>均由本人亲自确认</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所有信息都是真实、准确的。</w:t>
      </w:r>
    </w:p>
    <w:p w14:paraId="7BFFF0A3">
      <w:pPr>
        <w:numPr>
          <w:ilvl w:val="0"/>
          <w:numId w:val="4"/>
          <w:numberingChange w:id="6" w:author="苏州市航道管理处" w:date="2023-10-17T10:08:00Z" w:original="%1:2:0:."/>
        </w:numPr>
        <w:spacing w:line="360" w:lineRule="auto"/>
        <w:ind w:left="0" w:firstLine="400" w:firstLineChars="200"/>
        <w:rPr>
          <w:rFonts w:ascii="宋体" w:hAnsi="宋体"/>
          <w:color w:val="auto"/>
          <w:spacing w:val="-5"/>
          <w:kern w:val="0"/>
          <w:sz w:val="21"/>
          <w:szCs w:val="21"/>
          <w:highlight w:val="none"/>
        </w:rPr>
      </w:pPr>
      <w:r>
        <w:rPr>
          <w:rFonts w:ascii="宋体" w:hAnsi="宋体"/>
          <w:color w:val="auto"/>
          <w:spacing w:val="-5"/>
          <w:kern w:val="0"/>
          <w:sz w:val="21"/>
          <w:szCs w:val="21"/>
          <w:highlight w:val="none"/>
        </w:rPr>
        <w:t>按照国家和省交通运输主管部门有关规定要求</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及时更新和完善信用信息系统中相关信息。</w:t>
      </w:r>
    </w:p>
    <w:p w14:paraId="3E0C3653">
      <w:pPr>
        <w:numPr>
          <w:ilvl w:val="0"/>
          <w:numId w:val="4"/>
          <w:numberingChange w:id="7" w:author="苏州市航道管理处" w:date="2023-10-17T10:08:00Z" w:original="%1:3:0:."/>
        </w:numPr>
        <w:spacing w:line="360" w:lineRule="auto"/>
        <w:ind w:left="0" w:firstLine="400" w:firstLineChars="200"/>
        <w:rPr>
          <w:rFonts w:ascii="宋体" w:hAnsi="宋体"/>
          <w:color w:val="auto"/>
          <w:spacing w:val="-5"/>
          <w:kern w:val="0"/>
          <w:sz w:val="21"/>
          <w:szCs w:val="21"/>
          <w:highlight w:val="none"/>
        </w:rPr>
      </w:pPr>
      <w:r>
        <w:rPr>
          <w:rFonts w:hint="eastAsia" w:ascii="宋体" w:hAnsi="宋体"/>
          <w:color w:val="auto"/>
          <w:spacing w:val="-5"/>
          <w:kern w:val="0"/>
          <w:sz w:val="21"/>
          <w:szCs w:val="21"/>
          <w:highlight w:val="none"/>
        </w:rPr>
        <w:t>同意依法在省交通运输主管部门网站和信用交通江苏网站公示、公布相关信用信息</w:t>
      </w:r>
      <w:r>
        <w:rPr>
          <w:rFonts w:hint="eastAsia" w:ascii="宋体" w:hAnsi="宋体"/>
          <w:color w:val="auto"/>
          <w:spacing w:val="-5"/>
          <w:kern w:val="0"/>
          <w:sz w:val="21"/>
          <w:szCs w:val="21"/>
          <w:highlight w:val="none"/>
          <w:lang w:eastAsia="zh-CN"/>
        </w:rPr>
        <w:t>，</w:t>
      </w:r>
      <w:r>
        <w:rPr>
          <w:rFonts w:hint="eastAsia" w:ascii="宋体" w:hAnsi="宋体"/>
          <w:color w:val="auto"/>
          <w:spacing w:val="-5"/>
          <w:kern w:val="0"/>
          <w:sz w:val="21"/>
          <w:szCs w:val="21"/>
          <w:highlight w:val="none"/>
        </w:rPr>
        <w:t>接受社会监督。</w:t>
      </w:r>
    </w:p>
    <w:p w14:paraId="60D95477">
      <w:pPr>
        <w:numPr>
          <w:ilvl w:val="0"/>
          <w:numId w:val="4"/>
          <w:numberingChange w:id="8" w:author="苏州市航道管理处" w:date="2023-10-17T10:08:00Z" w:original="%1:4:0:."/>
        </w:numPr>
        <w:spacing w:line="360" w:lineRule="auto"/>
        <w:ind w:left="0" w:firstLine="400" w:firstLineChars="200"/>
        <w:rPr>
          <w:rFonts w:ascii="宋体" w:hAnsi="宋体"/>
          <w:color w:val="auto"/>
          <w:spacing w:val="-5"/>
          <w:kern w:val="0"/>
          <w:sz w:val="21"/>
          <w:szCs w:val="21"/>
          <w:highlight w:val="none"/>
        </w:rPr>
      </w:pPr>
      <w:r>
        <w:rPr>
          <w:rFonts w:hint="eastAsia" w:ascii="宋体" w:hAnsi="宋体"/>
          <w:color w:val="auto"/>
          <w:spacing w:val="-5"/>
          <w:kern w:val="0"/>
          <w:sz w:val="21"/>
          <w:szCs w:val="21"/>
          <w:highlight w:val="none"/>
        </w:rPr>
        <w:t>同意政府相关行政主管部门、招标人及工程建设管理工作有关单位因工作需要</w:t>
      </w:r>
      <w:r>
        <w:rPr>
          <w:rFonts w:hint="eastAsia" w:ascii="宋体" w:hAnsi="宋体"/>
          <w:color w:val="auto"/>
          <w:spacing w:val="-5"/>
          <w:kern w:val="0"/>
          <w:sz w:val="21"/>
          <w:szCs w:val="21"/>
          <w:highlight w:val="none"/>
          <w:lang w:eastAsia="zh-CN"/>
        </w:rPr>
        <w:t>，</w:t>
      </w:r>
      <w:r>
        <w:rPr>
          <w:rFonts w:hint="eastAsia" w:ascii="宋体" w:hAnsi="宋体"/>
          <w:color w:val="auto"/>
          <w:spacing w:val="-5"/>
          <w:kern w:val="0"/>
          <w:sz w:val="21"/>
          <w:szCs w:val="21"/>
          <w:highlight w:val="none"/>
        </w:rPr>
        <w:t>依法对本人信用信息进行查询。</w:t>
      </w:r>
    </w:p>
    <w:p w14:paraId="5B5BED93">
      <w:pPr>
        <w:numPr>
          <w:ilvl w:val="0"/>
          <w:numId w:val="4"/>
          <w:numberingChange w:id="9" w:author="苏州市航道管理处" w:date="2023-10-17T10:08:00Z" w:original="%1:5:0:."/>
        </w:numPr>
        <w:spacing w:line="360" w:lineRule="auto"/>
        <w:ind w:left="0" w:firstLine="400" w:firstLineChars="200"/>
        <w:rPr>
          <w:rFonts w:ascii="宋体" w:hAnsi="宋体"/>
          <w:color w:val="auto"/>
          <w:spacing w:val="-5"/>
          <w:kern w:val="0"/>
          <w:sz w:val="21"/>
          <w:szCs w:val="21"/>
          <w:highlight w:val="none"/>
        </w:rPr>
      </w:pPr>
      <w:r>
        <w:rPr>
          <w:rFonts w:ascii="宋体" w:hAnsi="宋体"/>
          <w:color w:val="auto"/>
          <w:spacing w:val="-5"/>
          <w:kern w:val="0"/>
          <w:sz w:val="21"/>
          <w:szCs w:val="21"/>
          <w:highlight w:val="none"/>
        </w:rPr>
        <w:t>如有违背承诺</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愿意接受国家和交通</w:t>
      </w:r>
      <w:r>
        <w:rPr>
          <w:rFonts w:hint="eastAsia" w:ascii="宋体" w:hAnsi="宋体"/>
          <w:color w:val="auto"/>
          <w:spacing w:val="-5"/>
          <w:kern w:val="0"/>
          <w:sz w:val="21"/>
          <w:szCs w:val="21"/>
          <w:highlight w:val="none"/>
        </w:rPr>
        <w:t>运输</w:t>
      </w:r>
      <w:r>
        <w:rPr>
          <w:rFonts w:ascii="宋体" w:hAnsi="宋体"/>
          <w:color w:val="auto"/>
          <w:spacing w:val="-5"/>
          <w:kern w:val="0"/>
          <w:sz w:val="21"/>
          <w:szCs w:val="21"/>
          <w:highlight w:val="none"/>
        </w:rPr>
        <w:t>主管部门依法进行的处罚</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以及按照信用管理规定记入本人信用档案</w:t>
      </w:r>
      <w:r>
        <w:rPr>
          <w:rFonts w:hint="eastAsia" w:ascii="宋体" w:hAnsi="宋体"/>
          <w:color w:val="auto"/>
          <w:spacing w:val="-5"/>
          <w:kern w:val="0"/>
          <w:sz w:val="21"/>
          <w:szCs w:val="21"/>
          <w:highlight w:val="none"/>
          <w:lang w:eastAsia="zh-CN"/>
        </w:rPr>
        <w:t>，</w:t>
      </w:r>
      <w:r>
        <w:rPr>
          <w:rFonts w:ascii="宋体" w:hAnsi="宋体"/>
          <w:color w:val="auto"/>
          <w:spacing w:val="-5"/>
          <w:kern w:val="0"/>
          <w:sz w:val="21"/>
          <w:szCs w:val="21"/>
          <w:highlight w:val="none"/>
        </w:rPr>
        <w:t>同时在</w:t>
      </w:r>
      <w:r>
        <w:rPr>
          <w:rFonts w:hint="eastAsia" w:ascii="宋体" w:hAnsi="宋体"/>
          <w:color w:val="auto"/>
          <w:spacing w:val="-5"/>
          <w:kern w:val="0"/>
          <w:sz w:val="21"/>
          <w:szCs w:val="21"/>
          <w:highlight w:val="none"/>
        </w:rPr>
        <w:t>交通运输行业</w:t>
      </w:r>
      <w:r>
        <w:rPr>
          <w:rFonts w:ascii="宋体" w:hAnsi="宋体"/>
          <w:color w:val="auto"/>
          <w:spacing w:val="-5"/>
          <w:kern w:val="0"/>
          <w:sz w:val="21"/>
          <w:szCs w:val="21"/>
          <w:highlight w:val="none"/>
        </w:rPr>
        <w:t>和</w:t>
      </w:r>
      <w:r>
        <w:rPr>
          <w:rFonts w:hint="eastAsia" w:ascii="宋体" w:hAnsi="宋体"/>
          <w:color w:val="auto"/>
          <w:spacing w:val="-5"/>
          <w:kern w:val="0"/>
          <w:sz w:val="21"/>
          <w:szCs w:val="21"/>
          <w:highlight w:val="none"/>
        </w:rPr>
        <w:t>政府</w:t>
      </w:r>
      <w:r>
        <w:rPr>
          <w:rFonts w:ascii="宋体" w:hAnsi="宋体"/>
          <w:color w:val="auto"/>
          <w:spacing w:val="-5"/>
          <w:kern w:val="0"/>
          <w:sz w:val="21"/>
          <w:szCs w:val="21"/>
          <w:highlight w:val="none"/>
        </w:rPr>
        <w:t>相关</w:t>
      </w:r>
      <w:r>
        <w:rPr>
          <w:rFonts w:hint="eastAsia" w:ascii="宋体" w:hAnsi="宋体"/>
          <w:color w:val="auto"/>
          <w:spacing w:val="-5"/>
          <w:kern w:val="0"/>
          <w:sz w:val="21"/>
          <w:szCs w:val="21"/>
          <w:highlight w:val="none"/>
        </w:rPr>
        <w:t>信用</w:t>
      </w:r>
      <w:r>
        <w:rPr>
          <w:rFonts w:ascii="宋体" w:hAnsi="宋体"/>
          <w:color w:val="auto"/>
          <w:spacing w:val="-5"/>
          <w:kern w:val="0"/>
          <w:sz w:val="21"/>
          <w:szCs w:val="21"/>
          <w:highlight w:val="none"/>
        </w:rPr>
        <w:t>网站</w:t>
      </w:r>
      <w:r>
        <w:rPr>
          <w:rFonts w:hint="eastAsia" w:ascii="宋体" w:hAnsi="宋体"/>
          <w:color w:val="auto"/>
          <w:spacing w:val="-5"/>
          <w:kern w:val="0"/>
          <w:sz w:val="21"/>
          <w:szCs w:val="21"/>
          <w:highlight w:val="none"/>
        </w:rPr>
        <w:t>公开</w:t>
      </w:r>
      <w:r>
        <w:rPr>
          <w:rFonts w:ascii="宋体" w:hAnsi="宋体"/>
          <w:color w:val="auto"/>
          <w:spacing w:val="-5"/>
          <w:kern w:val="0"/>
          <w:sz w:val="21"/>
          <w:szCs w:val="21"/>
          <w:highlight w:val="none"/>
        </w:rPr>
        <w:t>。</w:t>
      </w:r>
    </w:p>
    <w:p w14:paraId="3A3D19B8">
      <w:pPr>
        <w:spacing w:line="400" w:lineRule="exact"/>
        <w:ind w:firstLine="400" w:firstLineChars="200"/>
        <w:rPr>
          <w:rFonts w:ascii="宋体" w:hAnsi="宋体"/>
          <w:color w:val="auto"/>
          <w:spacing w:val="-5"/>
          <w:sz w:val="21"/>
          <w:szCs w:val="21"/>
          <w:highlight w:val="none"/>
        </w:rPr>
      </w:pPr>
    </w:p>
    <w:p w14:paraId="11CE7310">
      <w:pPr>
        <w:spacing w:line="400" w:lineRule="exact"/>
        <w:ind w:firstLine="1900" w:firstLineChars="950"/>
        <w:jc w:val="center"/>
        <w:rPr>
          <w:rFonts w:ascii="宋体" w:hAnsi="宋体"/>
          <w:color w:val="auto"/>
          <w:spacing w:val="-5"/>
          <w:sz w:val="21"/>
          <w:szCs w:val="21"/>
          <w:highlight w:val="none"/>
        </w:rPr>
      </w:pPr>
      <w:r>
        <w:rPr>
          <w:rFonts w:hint="eastAsia" w:ascii="宋体" w:hAnsi="宋体"/>
          <w:color w:val="auto"/>
          <w:spacing w:val="-5"/>
          <w:sz w:val="21"/>
          <w:szCs w:val="21"/>
          <w:highlight w:val="none"/>
        </w:rPr>
        <w:t xml:space="preserve">                  </w:t>
      </w:r>
      <w:r>
        <w:rPr>
          <w:rFonts w:ascii="宋体" w:hAnsi="宋体"/>
          <w:color w:val="auto"/>
          <w:spacing w:val="-5"/>
          <w:sz w:val="21"/>
          <w:szCs w:val="21"/>
          <w:highlight w:val="none"/>
        </w:rPr>
        <w:t>承诺人</w:t>
      </w:r>
      <w:r>
        <w:rPr>
          <w:rFonts w:hint="eastAsia" w:ascii="宋体" w:hAnsi="宋体"/>
          <w:b/>
          <w:color w:val="auto"/>
          <w:spacing w:val="-5"/>
          <w:sz w:val="21"/>
          <w:szCs w:val="21"/>
          <w:highlight w:val="none"/>
        </w:rPr>
        <w:t>（项目负责人签字）</w:t>
      </w:r>
      <w:r>
        <w:rPr>
          <w:rFonts w:ascii="宋体" w:hAnsi="宋体"/>
          <w:color w:val="auto"/>
          <w:spacing w:val="-5"/>
          <w:sz w:val="21"/>
          <w:szCs w:val="21"/>
          <w:highlight w:val="none"/>
        </w:rPr>
        <w:t>：</w:t>
      </w:r>
      <w:r>
        <w:rPr>
          <w:rFonts w:hint="eastAsia" w:ascii="宋体" w:hAnsi="宋体"/>
          <w:color w:val="auto"/>
          <w:spacing w:val="-5"/>
          <w:sz w:val="21"/>
          <w:szCs w:val="21"/>
          <w:highlight w:val="none"/>
          <w:u w:val="single"/>
        </w:rPr>
        <w:t xml:space="preserve">    </w:t>
      </w:r>
      <w:r>
        <w:rPr>
          <w:rFonts w:hint="eastAsia" w:ascii="宋体" w:hAnsi="宋体"/>
          <w:color w:val="auto"/>
          <w:sz w:val="21"/>
          <w:szCs w:val="21"/>
          <w:highlight w:val="none"/>
          <w:u w:val="single"/>
        </w:rPr>
        <w:t xml:space="preserve">   </w:t>
      </w:r>
    </w:p>
    <w:p w14:paraId="16169C3E">
      <w:pPr>
        <w:pStyle w:val="95"/>
        <w:adjustRightInd w:val="0"/>
        <w:snapToGrid w:val="0"/>
        <w:spacing w:before="120" w:beforeLines="50" w:after="120" w:afterLines="50" w:line="360" w:lineRule="auto"/>
        <w:ind w:left="561" w:hanging="561"/>
        <w:jc w:val="right"/>
        <w:outlineLvl w:val="9"/>
        <w:rPr>
          <w:rFonts w:hint="eastAsia" w:ascii="宋体" w:hAnsi="宋体"/>
          <w:b w:val="0"/>
          <w:bCs w:val="0"/>
          <w:color w:val="auto"/>
          <w:sz w:val="21"/>
          <w:szCs w:val="21"/>
          <w:highlight w:val="none"/>
        </w:rPr>
      </w:pPr>
      <w:r>
        <w:rPr>
          <w:rFonts w:hint="eastAsia" w:ascii="宋体" w:hAnsi="宋体"/>
          <w:b w:val="0"/>
          <w:bCs w:val="0"/>
          <w:color w:val="auto"/>
          <w:sz w:val="21"/>
          <w:szCs w:val="21"/>
          <w:highlight w:val="none"/>
          <w:u w:val="single"/>
        </w:rPr>
        <w:t xml:space="preserve">     </w:t>
      </w:r>
      <w:r>
        <w:rPr>
          <w:rFonts w:hint="eastAsia" w:ascii="宋体" w:hAnsi="宋体"/>
          <w:b w:val="0"/>
          <w:bCs w:val="0"/>
          <w:color w:val="auto"/>
          <w:sz w:val="21"/>
          <w:szCs w:val="21"/>
          <w:highlight w:val="none"/>
        </w:rPr>
        <w:t>年</w:t>
      </w:r>
      <w:r>
        <w:rPr>
          <w:rFonts w:hint="eastAsia" w:ascii="宋体" w:hAnsi="宋体"/>
          <w:b w:val="0"/>
          <w:bCs w:val="0"/>
          <w:color w:val="auto"/>
          <w:sz w:val="21"/>
          <w:szCs w:val="21"/>
          <w:highlight w:val="none"/>
          <w:u w:val="single"/>
        </w:rPr>
        <w:t xml:space="preserve">    </w:t>
      </w:r>
      <w:r>
        <w:rPr>
          <w:rFonts w:hint="eastAsia" w:ascii="宋体" w:hAnsi="宋体"/>
          <w:b w:val="0"/>
          <w:bCs w:val="0"/>
          <w:color w:val="auto"/>
          <w:sz w:val="21"/>
          <w:szCs w:val="21"/>
          <w:highlight w:val="none"/>
        </w:rPr>
        <w:t>月</w:t>
      </w:r>
      <w:r>
        <w:rPr>
          <w:rFonts w:hint="eastAsia" w:ascii="宋体" w:hAnsi="宋体"/>
          <w:b w:val="0"/>
          <w:bCs w:val="0"/>
          <w:color w:val="auto"/>
          <w:sz w:val="21"/>
          <w:szCs w:val="21"/>
          <w:highlight w:val="none"/>
          <w:u w:val="single"/>
        </w:rPr>
        <w:t xml:space="preserve">    </w:t>
      </w:r>
      <w:r>
        <w:rPr>
          <w:rFonts w:hint="eastAsia" w:ascii="宋体" w:hAnsi="宋体"/>
          <w:b w:val="0"/>
          <w:bCs w:val="0"/>
          <w:color w:val="auto"/>
          <w:sz w:val="21"/>
          <w:szCs w:val="21"/>
          <w:highlight w:val="none"/>
        </w:rPr>
        <w:t>日</w:t>
      </w:r>
    </w:p>
    <w:p w14:paraId="032CEC3C">
      <w:pPr>
        <w:pStyle w:val="95"/>
        <w:adjustRightInd w:val="0"/>
        <w:snapToGrid w:val="0"/>
        <w:spacing w:before="120" w:beforeLines="50" w:after="120" w:afterLines="50" w:line="360" w:lineRule="auto"/>
        <w:ind w:left="561" w:hanging="561"/>
        <w:rPr>
          <w:rFonts w:hint="eastAsia"/>
          <w:color w:val="auto"/>
          <w:highlight w:val="none"/>
        </w:rPr>
      </w:pPr>
      <w:r>
        <w:rPr>
          <w:rFonts w:hint="eastAsia"/>
          <w:color w:val="auto"/>
          <w:highlight w:val="none"/>
        </w:rPr>
        <w:br w:type="page"/>
      </w:r>
      <w:r>
        <w:rPr>
          <w:rFonts w:hint="eastAsia"/>
          <w:color w:val="auto"/>
          <w:highlight w:val="none"/>
          <w:lang w:val="en-US" w:eastAsia="zh-CN"/>
        </w:rPr>
        <w:t>四</w:t>
      </w:r>
      <w:r>
        <w:rPr>
          <w:rFonts w:hint="eastAsia"/>
          <w:color w:val="auto"/>
          <w:highlight w:val="none"/>
        </w:rPr>
        <w:t>、工作大纲</w:t>
      </w:r>
    </w:p>
    <w:p w14:paraId="618A74D5">
      <w:pPr>
        <w:pStyle w:val="95"/>
        <w:keepNext/>
        <w:keepLines/>
        <w:pageBreakBefore w:val="0"/>
        <w:widowControl w:val="0"/>
        <w:kinsoku/>
        <w:wordWrap/>
        <w:overflowPunct/>
        <w:topLinePunct w:val="0"/>
        <w:autoSpaceDE/>
        <w:autoSpaceDN/>
        <w:bidi w:val="0"/>
        <w:adjustRightInd w:val="0"/>
        <w:snapToGrid w:val="0"/>
        <w:spacing w:before="120" w:beforeLines="50" w:after="120" w:afterLines="50" w:line="360" w:lineRule="auto"/>
        <w:ind w:left="0" w:firstLine="561"/>
        <w:jc w:val="left"/>
        <w:textAlignment w:val="auto"/>
        <w:rPr>
          <w:rFonts w:hint="eastAsia"/>
          <w:b w:val="0"/>
          <w:bCs w:val="0"/>
          <w:color w:val="auto"/>
          <w:sz w:val="24"/>
          <w:szCs w:val="24"/>
          <w:highlight w:val="none"/>
          <w:lang w:val="en-US" w:eastAsia="zh-CN"/>
        </w:rPr>
      </w:pPr>
      <w:r>
        <w:rPr>
          <w:rFonts w:hint="eastAsia"/>
          <w:b w:val="0"/>
          <w:bCs w:val="0"/>
          <w:color w:val="auto"/>
          <w:sz w:val="24"/>
          <w:szCs w:val="24"/>
          <w:highlight w:val="none"/>
          <w:lang w:val="en-US" w:eastAsia="zh-CN"/>
        </w:rPr>
        <w:t>包括但不限于：</w:t>
      </w:r>
    </w:p>
    <w:p w14:paraId="64A08C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s="宋体"/>
          <w:b w:val="0"/>
          <w:bCs w:val="0"/>
          <w:color w:val="auto"/>
          <w:sz w:val="24"/>
          <w:szCs w:val="20"/>
          <w:highlight w:val="none"/>
          <w:lang w:val="en-US" w:eastAsia="zh-CN"/>
        </w:rPr>
      </w:pPr>
      <w:r>
        <w:rPr>
          <w:rFonts w:hint="eastAsia" w:ascii="宋体" w:hAnsi="宋体" w:eastAsia="宋体" w:cs="宋体"/>
          <w:b w:val="0"/>
          <w:bCs w:val="0"/>
          <w:color w:val="auto"/>
          <w:sz w:val="24"/>
          <w:szCs w:val="20"/>
          <w:highlight w:val="none"/>
          <w:lang w:val="en-US" w:eastAsia="zh-CN"/>
        </w:rPr>
        <w:t>（一）对招标项目的理解</w:t>
      </w:r>
    </w:p>
    <w:p w14:paraId="7E26C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s="宋体"/>
          <w:b w:val="0"/>
          <w:bCs w:val="0"/>
          <w:color w:val="auto"/>
          <w:sz w:val="24"/>
          <w:szCs w:val="20"/>
          <w:highlight w:val="none"/>
          <w:lang w:val="en-US" w:eastAsia="zh-CN"/>
        </w:rPr>
      </w:pPr>
      <w:r>
        <w:rPr>
          <w:rFonts w:hint="eastAsia" w:ascii="宋体" w:hAnsi="宋体" w:eastAsia="宋体" w:cs="宋体"/>
          <w:b w:val="0"/>
          <w:bCs w:val="0"/>
          <w:color w:val="auto"/>
          <w:sz w:val="24"/>
          <w:szCs w:val="20"/>
          <w:highlight w:val="none"/>
          <w:lang w:val="en-US" w:eastAsia="zh-CN"/>
        </w:rPr>
        <w:t>（二）对本项目的特点和难点的认识，拟解决的关键问题</w:t>
      </w:r>
    </w:p>
    <w:p w14:paraId="63A1AC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default" w:ascii="宋体" w:hAnsi="宋体" w:eastAsia="宋体" w:cs="宋体"/>
          <w:b w:val="0"/>
          <w:bCs w:val="0"/>
          <w:color w:val="auto"/>
          <w:sz w:val="24"/>
          <w:szCs w:val="20"/>
          <w:highlight w:val="none"/>
          <w:lang w:val="en-US" w:eastAsia="zh-CN"/>
        </w:rPr>
      </w:pPr>
      <w:r>
        <w:rPr>
          <w:rFonts w:hint="eastAsia" w:ascii="宋体" w:hAnsi="宋体" w:eastAsia="宋体" w:cs="宋体"/>
          <w:b w:val="0"/>
          <w:bCs w:val="0"/>
          <w:color w:val="auto"/>
          <w:sz w:val="24"/>
          <w:szCs w:val="20"/>
          <w:highlight w:val="none"/>
          <w:lang w:val="en-US" w:eastAsia="zh-CN"/>
        </w:rPr>
        <w:t>（三）</w:t>
      </w:r>
      <w:r>
        <w:rPr>
          <w:rFonts w:hint="eastAsia" w:ascii="宋体" w:hAnsi="宋体" w:cs="宋体"/>
          <w:b w:val="0"/>
          <w:bCs w:val="0"/>
          <w:color w:val="auto"/>
          <w:sz w:val="24"/>
          <w:szCs w:val="20"/>
          <w:highlight w:val="none"/>
          <w:lang w:val="en-US" w:eastAsia="zh-CN"/>
        </w:rPr>
        <w:t>活动策划安排</w:t>
      </w:r>
    </w:p>
    <w:p w14:paraId="09325D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s="宋体"/>
          <w:b w:val="0"/>
          <w:bCs w:val="0"/>
          <w:color w:val="auto"/>
          <w:sz w:val="24"/>
          <w:szCs w:val="20"/>
          <w:highlight w:val="none"/>
          <w:lang w:val="en-US" w:eastAsia="zh-CN"/>
        </w:rPr>
      </w:pPr>
      <w:r>
        <w:rPr>
          <w:rFonts w:hint="eastAsia" w:ascii="宋体" w:hAnsi="宋体" w:cs="宋体"/>
          <w:b w:val="0"/>
          <w:bCs w:val="0"/>
          <w:color w:val="auto"/>
          <w:sz w:val="24"/>
          <w:szCs w:val="20"/>
          <w:highlight w:val="none"/>
          <w:lang w:val="en-US" w:eastAsia="zh-CN"/>
        </w:rPr>
        <w:t>（四）</w:t>
      </w:r>
      <w:r>
        <w:rPr>
          <w:rFonts w:hint="eastAsia" w:ascii="宋体" w:hAnsi="宋体" w:eastAsia="宋体" w:cs="宋体"/>
          <w:b w:val="0"/>
          <w:bCs w:val="0"/>
          <w:color w:val="auto"/>
          <w:sz w:val="24"/>
          <w:szCs w:val="20"/>
          <w:highlight w:val="none"/>
          <w:lang w:val="en-US" w:eastAsia="zh-CN"/>
        </w:rPr>
        <w:t>工作进度安排、进度及质量保证措施</w:t>
      </w:r>
    </w:p>
    <w:p w14:paraId="2083FB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s="宋体"/>
          <w:b w:val="0"/>
          <w:bCs w:val="0"/>
          <w:color w:val="auto"/>
          <w:sz w:val="24"/>
          <w:szCs w:val="20"/>
          <w:highlight w:val="none"/>
          <w:lang w:val="en-US" w:eastAsia="zh-CN"/>
        </w:rPr>
      </w:pPr>
      <w:r>
        <w:rPr>
          <w:rFonts w:hint="eastAsia" w:ascii="宋体" w:hAnsi="宋体" w:eastAsia="宋体" w:cs="宋体"/>
          <w:b w:val="0"/>
          <w:bCs w:val="0"/>
          <w:color w:val="auto"/>
          <w:sz w:val="24"/>
          <w:szCs w:val="20"/>
          <w:highlight w:val="none"/>
          <w:lang w:val="en-US" w:eastAsia="zh-CN"/>
        </w:rPr>
        <w:t>（</w:t>
      </w:r>
      <w:r>
        <w:rPr>
          <w:rFonts w:hint="eastAsia" w:ascii="宋体" w:hAnsi="宋体" w:cs="宋体"/>
          <w:b w:val="0"/>
          <w:bCs w:val="0"/>
          <w:color w:val="auto"/>
          <w:sz w:val="24"/>
          <w:szCs w:val="20"/>
          <w:highlight w:val="none"/>
          <w:lang w:val="en-US" w:eastAsia="zh-CN"/>
        </w:rPr>
        <w:t>五</w:t>
      </w:r>
      <w:r>
        <w:rPr>
          <w:rFonts w:hint="eastAsia" w:ascii="宋体" w:hAnsi="宋体" w:eastAsia="宋体" w:cs="宋体"/>
          <w:b w:val="0"/>
          <w:bCs w:val="0"/>
          <w:color w:val="auto"/>
          <w:sz w:val="24"/>
          <w:szCs w:val="20"/>
          <w:highlight w:val="none"/>
          <w:lang w:val="en-US" w:eastAsia="zh-CN"/>
        </w:rPr>
        <w:t>）服务承诺及合理化建议</w:t>
      </w:r>
    </w:p>
    <w:p w14:paraId="2EE56E92">
      <w:pPr>
        <w:rPr>
          <w:rFonts w:hint="eastAsia"/>
          <w:color w:val="auto"/>
          <w:highlight w:val="none"/>
        </w:rPr>
      </w:pPr>
      <w:r>
        <w:rPr>
          <w:rFonts w:hint="eastAsia"/>
          <w:color w:val="auto"/>
          <w:highlight w:val="none"/>
        </w:rPr>
        <w:br w:type="page"/>
      </w:r>
    </w:p>
    <w:p w14:paraId="2519415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b/>
          <w:bCs/>
          <w:color w:val="auto"/>
          <w:highlight w:val="none"/>
        </w:rPr>
      </w:pPr>
      <w:r>
        <w:rPr>
          <w:rFonts w:hint="eastAsia"/>
          <w:b/>
          <w:bCs/>
          <w:color w:val="auto"/>
          <w:highlight w:val="none"/>
          <w:lang w:val="en-US" w:eastAsia="zh-CN"/>
        </w:rPr>
        <w:t>五</w:t>
      </w:r>
      <w:r>
        <w:rPr>
          <w:rFonts w:hint="eastAsia"/>
          <w:b/>
          <w:bCs/>
          <w:color w:val="auto"/>
          <w:highlight w:val="none"/>
        </w:rPr>
        <w:t>、</w:t>
      </w:r>
      <w:bookmarkEnd w:id="166"/>
      <w:bookmarkStart w:id="168" w:name="_Toc372633037"/>
      <w:bookmarkStart w:id="169" w:name="_Toc436730376"/>
      <w:bookmarkStart w:id="170" w:name="_Toc33625871"/>
      <w:r>
        <w:rPr>
          <w:rFonts w:hint="eastAsia"/>
          <w:b/>
          <w:bCs/>
          <w:color w:val="auto"/>
          <w:highlight w:val="none"/>
        </w:rPr>
        <w:t>其他材料</w:t>
      </w:r>
      <w:bookmarkEnd w:id="168"/>
      <w:bookmarkEnd w:id="169"/>
      <w:bookmarkEnd w:id="170"/>
    </w:p>
    <w:p w14:paraId="6D1F173B">
      <w:pPr>
        <w:spacing w:line="360" w:lineRule="auto"/>
        <w:jc w:val="center"/>
        <w:rPr>
          <w:rFonts w:ascii="宋体" w:hAnsi="宋体"/>
          <w:color w:val="auto"/>
          <w:sz w:val="24"/>
          <w:highlight w:val="none"/>
        </w:rPr>
      </w:pPr>
      <w:r>
        <w:rPr>
          <w:rFonts w:hint="eastAsia" w:ascii="宋体" w:hAnsi="宋体"/>
          <w:color w:val="auto"/>
          <w:sz w:val="24"/>
          <w:highlight w:val="none"/>
        </w:rPr>
        <w:t>（投标人认为有必要提供给评标委员会的）</w:t>
      </w:r>
    </w:p>
    <w:p w14:paraId="1DAFC7C1">
      <w:pPr>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eastAsia" w:ascii="宋体" w:hAnsi="宋体" w:eastAsia="宋体" w:cs="宋体"/>
          <w:color w:val="auto"/>
          <w:sz w:val="21"/>
          <w:szCs w:val="21"/>
          <w:highlight w:val="none"/>
          <w:lang w:val="en-US" w:eastAsia="zh-CN"/>
        </w:rPr>
      </w:pPr>
      <w:bookmarkStart w:id="171" w:name="_Hlk49425672"/>
    </w:p>
    <w:p w14:paraId="408967C0">
      <w:pPr>
        <w:keepNext w:val="0"/>
        <w:keepLines w:val="0"/>
        <w:pageBreakBefore w:val="0"/>
        <w:widowControl w:val="0"/>
        <w:kinsoku/>
        <w:wordWrap/>
        <w:overflowPunct/>
        <w:topLinePunct w:val="0"/>
        <w:autoSpaceDE/>
        <w:autoSpaceDN/>
        <w:bidi w:val="0"/>
        <w:adjustRightInd/>
        <w:snapToGrid/>
        <w:spacing w:line="360" w:lineRule="auto"/>
        <w:ind w:left="0" w:leftChars="0"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①截止递交</w:t>
      </w:r>
      <w:r>
        <w:rPr>
          <w:rFonts w:hint="eastAsia" w:ascii="宋体" w:hAnsi="宋体" w:eastAsia="宋体" w:cs="宋体"/>
          <w:bCs/>
          <w:color w:val="auto"/>
          <w:sz w:val="22"/>
          <w:szCs w:val="22"/>
          <w:highlight w:val="none"/>
        </w:rPr>
        <w:t>投标</w:t>
      </w:r>
      <w:r>
        <w:rPr>
          <w:rFonts w:hint="eastAsia" w:ascii="宋体" w:hAnsi="宋体" w:eastAsia="宋体" w:cs="宋体"/>
          <w:color w:val="auto"/>
          <w:sz w:val="22"/>
          <w:szCs w:val="22"/>
          <w:highlight w:val="none"/>
        </w:rPr>
        <w:t>文件当日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未在“信用中国”网站（http</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//www.creditchina.gov.cn/）中被列为失信被执行人；</w:t>
      </w:r>
    </w:p>
    <w:p w14:paraId="216760F4">
      <w:pPr>
        <w:keepNext w:val="0"/>
        <w:keepLines w:val="0"/>
        <w:pageBreakBefore w:val="0"/>
        <w:widowControl w:val="0"/>
        <w:kinsoku/>
        <w:wordWrap w:val="0"/>
        <w:overflowPunct/>
        <w:topLinePunct w:val="0"/>
        <w:autoSpaceDE/>
        <w:autoSpaceDN/>
        <w:bidi w:val="0"/>
        <w:adjustRightInd/>
        <w:snapToGrid/>
        <w:spacing w:line="360" w:lineRule="auto"/>
        <w:ind w:firstLine="440" w:firstLineChars="200"/>
        <w:jc w:val="both"/>
        <w:textAlignment w:val="auto"/>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②截止递交</w:t>
      </w:r>
      <w:r>
        <w:rPr>
          <w:rFonts w:hint="eastAsia" w:ascii="宋体" w:hAnsi="宋体" w:eastAsia="宋体" w:cs="宋体"/>
          <w:bCs/>
          <w:color w:val="auto"/>
          <w:sz w:val="22"/>
          <w:szCs w:val="22"/>
          <w:highlight w:val="none"/>
        </w:rPr>
        <w:t>投标</w:t>
      </w:r>
      <w:r>
        <w:rPr>
          <w:rFonts w:hint="eastAsia" w:ascii="宋体" w:hAnsi="宋体" w:eastAsia="宋体" w:cs="宋体"/>
          <w:color w:val="auto"/>
          <w:sz w:val="22"/>
          <w:szCs w:val="22"/>
          <w:highlight w:val="none"/>
        </w:rPr>
        <w:t>文件当日</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未在国家企业信用信息公示系统（http</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//www.gsxt.gov.cn/）中被列入严重违法失信企业名单</w:t>
      </w:r>
      <w:r>
        <w:rPr>
          <w:rFonts w:hint="eastAsia" w:ascii="宋体" w:hAnsi="宋体" w:cs="宋体"/>
          <w:color w:val="auto"/>
          <w:sz w:val="22"/>
          <w:szCs w:val="22"/>
          <w:highlight w:val="none"/>
          <w:lang w:eastAsia="zh-CN"/>
        </w:rPr>
        <w:t>；</w:t>
      </w:r>
    </w:p>
    <w:p w14:paraId="72F207D7">
      <w:pPr>
        <w:keepNext w:val="0"/>
        <w:keepLines w:val="0"/>
        <w:pageBreakBefore w:val="0"/>
        <w:widowControl w:val="0"/>
        <w:kinsoku/>
        <w:overflowPunct/>
        <w:topLinePunct w:val="0"/>
        <w:autoSpaceDE/>
        <w:autoSpaceDN/>
        <w:bidi w:val="0"/>
        <w:adjustRightInd/>
        <w:snapToGrid/>
        <w:spacing w:line="360" w:lineRule="auto"/>
        <w:ind w:firstLine="442" w:firstLineChars="200"/>
        <w:textAlignment w:val="auto"/>
        <w:rPr>
          <w:rFonts w:hint="eastAsia" w:ascii="宋体" w:hAnsi="宋体" w:eastAsia="宋体" w:cs="宋体"/>
          <w:b/>
          <w:color w:val="auto"/>
          <w:sz w:val="22"/>
          <w:szCs w:val="22"/>
          <w:highlight w:val="none"/>
          <w:lang w:eastAsia="zh-CN"/>
        </w:rPr>
      </w:pPr>
      <w:r>
        <w:rPr>
          <w:rFonts w:hint="eastAsia" w:ascii="宋体" w:hAnsi="宋体" w:cs="宋体"/>
          <w:b/>
          <w:color w:val="auto"/>
          <w:sz w:val="22"/>
          <w:szCs w:val="22"/>
          <w:highlight w:val="none"/>
          <w:lang w:eastAsia="zh-CN"/>
        </w:rPr>
        <w:t>（</w:t>
      </w:r>
      <w:r>
        <w:rPr>
          <w:rFonts w:hint="eastAsia" w:ascii="宋体" w:hAnsi="宋体" w:cs="宋体"/>
          <w:b/>
          <w:color w:val="auto"/>
          <w:sz w:val="22"/>
          <w:szCs w:val="22"/>
          <w:highlight w:val="none"/>
          <w:lang w:val="en-US" w:eastAsia="zh-CN"/>
        </w:rPr>
        <w:t>提供网页截图</w:t>
      </w:r>
      <w:r>
        <w:rPr>
          <w:rFonts w:hint="eastAsia" w:ascii="宋体" w:hAnsi="宋体" w:cs="宋体"/>
          <w:b/>
          <w:color w:val="auto"/>
          <w:sz w:val="22"/>
          <w:szCs w:val="22"/>
          <w:highlight w:val="none"/>
          <w:lang w:eastAsia="zh-CN"/>
        </w:rPr>
        <w:t>）</w:t>
      </w:r>
    </w:p>
    <w:p w14:paraId="3D4ED32D">
      <w:pPr>
        <w:spacing w:line="560" w:lineRule="exact"/>
        <w:rPr>
          <w:rFonts w:ascii="宋体" w:hAnsi="宋体" w:cs="宋体"/>
          <w:color w:val="auto"/>
          <w:szCs w:val="21"/>
          <w:highlight w:val="none"/>
        </w:rPr>
        <w:sectPr>
          <w:pgSz w:w="11907" w:h="16840"/>
          <w:pgMar w:top="1395" w:right="1395" w:bottom="1395" w:left="1395" w:header="851" w:footer="964" w:gutter="0"/>
          <w:pgNumType w:fmt="decimal"/>
          <w:cols w:space="720" w:num="1"/>
          <w:docGrid w:linePitch="312" w:charSpace="0"/>
        </w:sectPr>
      </w:pPr>
    </w:p>
    <w:bookmarkEnd w:id="171"/>
    <w:tbl>
      <w:tblPr>
        <w:tblStyle w:val="30"/>
        <w:tblW w:w="0" w:type="auto"/>
        <w:jc w:val="center"/>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766"/>
      </w:tblGrid>
      <w:tr w14:paraId="6B8C230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169" w:hRule="atLeast"/>
          <w:jc w:val="center"/>
        </w:trPr>
        <w:tc>
          <w:tcPr>
            <w:tcW w:w="8766" w:type="dxa"/>
            <w:noWrap w:val="0"/>
            <w:vAlign w:val="top"/>
          </w:tcPr>
          <w:p w14:paraId="4BD030D8">
            <w:pPr>
              <w:jc w:val="right"/>
              <w:rPr>
                <w:rFonts w:ascii="宋体" w:hAnsi="宋体"/>
                <w:b/>
                <w:color w:val="auto"/>
                <w:spacing w:val="30"/>
                <w:sz w:val="32"/>
                <w:highlight w:val="none"/>
              </w:rPr>
            </w:pPr>
            <w:r>
              <w:rPr>
                <w:rFonts w:hint="eastAsia" w:ascii="宋体" w:hAnsi="宋体"/>
                <w:b/>
                <w:color w:val="auto"/>
                <w:spacing w:val="30"/>
                <w:sz w:val="32"/>
                <w:highlight w:val="none"/>
              </w:rPr>
              <w:t xml:space="preserve">　　　　　　　　　　　　　　 </w:t>
            </w:r>
          </w:p>
          <w:p w14:paraId="1666C6AE">
            <w:pPr>
              <w:jc w:val="center"/>
              <w:rPr>
                <w:rFonts w:hint="eastAsia" w:ascii="宋体" w:hAnsi="宋体" w:eastAsia="宋体" w:cs="宋体"/>
                <w:b/>
                <w:color w:val="auto"/>
                <w:spacing w:val="30"/>
                <w:sz w:val="36"/>
                <w:szCs w:val="36"/>
                <w:highlight w:val="none"/>
                <w:lang w:eastAsia="zh-CN"/>
              </w:rPr>
            </w:pPr>
            <w:r>
              <w:rPr>
                <w:rFonts w:hint="eastAsia" w:ascii="宋体" w:hAnsi="宋体" w:cs="宋体"/>
                <w:b/>
                <w:color w:val="auto"/>
                <w:sz w:val="36"/>
                <w:szCs w:val="36"/>
                <w:highlight w:val="none"/>
                <w:lang w:eastAsia="zh-CN"/>
              </w:rPr>
              <w:t>“水运江苏”建设跨江竞技劳动技能竞赛服务项目SYJS-JNJS标段</w:t>
            </w:r>
          </w:p>
          <w:p w14:paraId="241D7E02">
            <w:pPr>
              <w:jc w:val="center"/>
              <w:rPr>
                <w:rFonts w:ascii="宋体" w:hAnsi="宋体"/>
                <w:b/>
                <w:color w:val="auto"/>
                <w:spacing w:val="30"/>
                <w:sz w:val="36"/>
                <w:highlight w:val="none"/>
              </w:rPr>
            </w:pPr>
          </w:p>
          <w:p w14:paraId="1BCC952B">
            <w:pPr>
              <w:jc w:val="center"/>
              <w:rPr>
                <w:rFonts w:ascii="宋体" w:hAnsi="宋体"/>
                <w:b/>
                <w:color w:val="auto"/>
                <w:spacing w:val="30"/>
                <w:sz w:val="36"/>
                <w:highlight w:val="none"/>
              </w:rPr>
            </w:pPr>
          </w:p>
          <w:p w14:paraId="74DA0207">
            <w:pPr>
              <w:jc w:val="center"/>
              <w:rPr>
                <w:rFonts w:ascii="宋体" w:hAnsi="宋体"/>
                <w:b/>
                <w:color w:val="auto"/>
                <w:spacing w:val="30"/>
                <w:sz w:val="36"/>
                <w:highlight w:val="none"/>
              </w:rPr>
            </w:pPr>
          </w:p>
          <w:p w14:paraId="195502B2">
            <w:pPr>
              <w:jc w:val="center"/>
              <w:rPr>
                <w:rFonts w:ascii="宋体" w:hAnsi="宋体"/>
                <w:b/>
                <w:color w:val="auto"/>
                <w:spacing w:val="30"/>
                <w:sz w:val="36"/>
                <w:highlight w:val="none"/>
              </w:rPr>
            </w:pPr>
          </w:p>
          <w:p w14:paraId="7F7D3493">
            <w:pPr>
              <w:jc w:val="center"/>
              <w:rPr>
                <w:rFonts w:ascii="宋体" w:hAnsi="宋体"/>
                <w:b/>
                <w:color w:val="auto"/>
                <w:spacing w:val="30"/>
                <w:sz w:val="36"/>
                <w:highlight w:val="none"/>
              </w:rPr>
            </w:pPr>
          </w:p>
          <w:p w14:paraId="089BFE56">
            <w:pPr>
              <w:jc w:val="center"/>
              <w:rPr>
                <w:rFonts w:ascii="宋体" w:hAnsi="宋体"/>
                <w:b/>
                <w:color w:val="auto"/>
                <w:spacing w:val="30"/>
                <w:sz w:val="36"/>
                <w:highlight w:val="none"/>
              </w:rPr>
            </w:pPr>
          </w:p>
          <w:p w14:paraId="2660107F">
            <w:pPr>
              <w:spacing w:line="240" w:lineRule="auto"/>
              <w:jc w:val="center"/>
              <w:rPr>
                <w:rFonts w:hint="eastAsia" w:ascii="宋体" w:hAnsi="宋体" w:cs="宋体"/>
                <w:b/>
                <w:color w:val="auto"/>
                <w:sz w:val="72"/>
                <w:highlight w:val="none"/>
              </w:rPr>
            </w:pPr>
            <w:r>
              <w:rPr>
                <w:rFonts w:hint="eastAsia" w:ascii="宋体" w:hAnsi="宋体" w:cs="宋体"/>
                <w:b/>
                <w:color w:val="auto"/>
                <w:sz w:val="72"/>
                <w:highlight w:val="none"/>
              </w:rPr>
              <w:t>投  标  文  件</w:t>
            </w:r>
          </w:p>
          <w:p w14:paraId="37122D77">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第二个信封  报价文件</w:t>
            </w:r>
          </w:p>
          <w:p w14:paraId="41E97E59">
            <w:pPr>
              <w:rPr>
                <w:rFonts w:hint="eastAsia" w:ascii="宋体" w:hAnsi="宋体" w:cs="宋体"/>
                <w:color w:val="auto"/>
                <w:highlight w:val="none"/>
              </w:rPr>
            </w:pPr>
          </w:p>
          <w:p w14:paraId="1618FDA5">
            <w:pPr>
              <w:rPr>
                <w:rFonts w:hint="eastAsia" w:ascii="宋体" w:hAnsi="宋体" w:cs="宋体"/>
                <w:color w:val="auto"/>
                <w:highlight w:val="none"/>
              </w:rPr>
            </w:pPr>
          </w:p>
          <w:p w14:paraId="19506430">
            <w:pPr>
              <w:rPr>
                <w:rFonts w:hint="eastAsia" w:ascii="宋体" w:hAnsi="宋体" w:cs="宋体"/>
                <w:color w:val="auto"/>
                <w:highlight w:val="none"/>
              </w:rPr>
            </w:pPr>
          </w:p>
          <w:p w14:paraId="3331245F">
            <w:pPr>
              <w:rPr>
                <w:rFonts w:hint="eastAsia" w:ascii="宋体" w:hAnsi="宋体" w:cs="宋体"/>
                <w:color w:val="auto"/>
                <w:highlight w:val="none"/>
              </w:rPr>
            </w:pPr>
          </w:p>
          <w:p w14:paraId="70217EEB">
            <w:pPr>
              <w:rPr>
                <w:rFonts w:hint="eastAsia" w:ascii="宋体" w:hAnsi="宋体" w:cs="宋体"/>
                <w:color w:val="auto"/>
                <w:sz w:val="36"/>
                <w:highlight w:val="none"/>
              </w:rPr>
            </w:pPr>
          </w:p>
          <w:p w14:paraId="17047EB8">
            <w:pPr>
              <w:spacing w:line="360" w:lineRule="auto"/>
              <w:ind w:firstLine="2160" w:firstLineChars="600"/>
              <w:rPr>
                <w:rFonts w:hint="eastAsia" w:ascii="宋体" w:hAnsi="宋体" w:cs="宋体"/>
                <w:color w:val="auto"/>
                <w:sz w:val="36"/>
                <w:highlight w:val="none"/>
                <w:u w:val="single"/>
              </w:rPr>
            </w:pPr>
            <w:r>
              <w:rPr>
                <w:rFonts w:hint="eastAsia" w:ascii="宋体" w:hAnsi="宋体" w:cs="宋体"/>
                <w:color w:val="auto"/>
                <w:sz w:val="36"/>
                <w:highlight w:val="none"/>
              </w:rPr>
              <w:t>投 标 人：</w:t>
            </w:r>
            <w:r>
              <w:rPr>
                <w:rFonts w:hint="eastAsia" w:ascii="宋体" w:hAnsi="宋体" w:cs="宋体"/>
                <w:color w:val="auto"/>
                <w:sz w:val="36"/>
                <w:highlight w:val="none"/>
                <w:u w:val="single"/>
              </w:rPr>
              <w:t xml:space="preserve">   （盖单位章）   </w:t>
            </w:r>
          </w:p>
          <w:p w14:paraId="44A07283">
            <w:pPr>
              <w:spacing w:line="360" w:lineRule="auto"/>
              <w:jc w:val="center"/>
              <w:rPr>
                <w:rFonts w:hint="eastAsia" w:ascii="宋体" w:hAnsi="宋体" w:cs="宋体"/>
                <w:b/>
                <w:color w:val="auto"/>
                <w:sz w:val="30"/>
                <w:highlight w:val="none"/>
              </w:rPr>
            </w:pPr>
            <w:r>
              <w:rPr>
                <w:rFonts w:hint="eastAsia" w:ascii="宋体" w:hAnsi="宋体" w:cs="宋体"/>
                <w:color w:val="auto"/>
                <w:sz w:val="36"/>
                <w:highlight w:val="none"/>
              </w:rPr>
              <w:t xml:space="preserve">  </w:t>
            </w:r>
            <w:r>
              <w:rPr>
                <w:rFonts w:hint="eastAsia" w:ascii="宋体" w:hAnsi="宋体" w:cs="宋体"/>
                <w:color w:val="auto"/>
                <w:sz w:val="36"/>
                <w:highlight w:val="none"/>
                <w:u w:val="single"/>
              </w:rPr>
              <w:t xml:space="preserve">     </w:t>
            </w:r>
            <w:r>
              <w:rPr>
                <w:rFonts w:hint="eastAsia" w:ascii="宋体" w:hAnsi="宋体" w:cs="宋体"/>
                <w:color w:val="auto"/>
                <w:sz w:val="36"/>
                <w:highlight w:val="none"/>
              </w:rPr>
              <w:t>年</w:t>
            </w:r>
            <w:r>
              <w:rPr>
                <w:rFonts w:hint="eastAsia" w:ascii="宋体" w:hAnsi="宋体" w:cs="宋体"/>
                <w:color w:val="auto"/>
                <w:sz w:val="36"/>
                <w:highlight w:val="none"/>
                <w:u w:val="single"/>
              </w:rPr>
              <w:t xml:space="preserve">     </w:t>
            </w:r>
            <w:r>
              <w:rPr>
                <w:rFonts w:hint="eastAsia" w:ascii="宋体" w:hAnsi="宋体" w:cs="宋体"/>
                <w:color w:val="auto"/>
                <w:sz w:val="36"/>
                <w:highlight w:val="none"/>
              </w:rPr>
              <w:t>月</w:t>
            </w:r>
          </w:p>
          <w:p w14:paraId="532757CE">
            <w:pPr>
              <w:ind w:firstLine="1686" w:firstLineChars="400"/>
              <w:rPr>
                <w:rFonts w:ascii="宋体" w:hAnsi="宋体"/>
                <w:b/>
                <w:color w:val="auto"/>
                <w:spacing w:val="30"/>
                <w:sz w:val="36"/>
                <w:highlight w:val="none"/>
              </w:rPr>
            </w:pPr>
          </w:p>
        </w:tc>
      </w:tr>
    </w:tbl>
    <w:p w14:paraId="6993BDD2">
      <w:pPr>
        <w:pStyle w:val="13"/>
        <w:spacing w:line="400" w:lineRule="exact"/>
        <w:ind w:firstLine="472" w:firstLineChars="196"/>
        <w:rPr>
          <w:rFonts w:ascii="宋体" w:hAnsi="宋体" w:eastAsia="宋体"/>
          <w:b/>
          <w:bCs/>
          <w:color w:val="auto"/>
          <w:sz w:val="24"/>
          <w:szCs w:val="24"/>
          <w:highlight w:val="none"/>
        </w:rPr>
      </w:pPr>
    </w:p>
    <w:p w14:paraId="7D902A66">
      <w:pPr>
        <w:spacing w:line="400" w:lineRule="exact"/>
        <w:jc w:val="center"/>
        <w:rPr>
          <w:rFonts w:hint="eastAsia" w:ascii="宋体" w:hAnsi="宋体" w:cs="宋体"/>
          <w:b/>
          <w:color w:val="auto"/>
          <w:szCs w:val="28"/>
          <w:highlight w:val="none"/>
        </w:rPr>
      </w:pPr>
      <w:r>
        <w:rPr>
          <w:color w:val="auto"/>
          <w:highlight w:val="none"/>
        </w:rPr>
        <w:br w:type="page"/>
      </w:r>
      <w:r>
        <w:rPr>
          <w:rFonts w:hint="eastAsia"/>
          <w:color w:val="auto"/>
          <w:highlight w:val="none"/>
        </w:rPr>
        <w:t>一、</w:t>
      </w:r>
      <w:r>
        <w:rPr>
          <w:rFonts w:hint="eastAsia" w:ascii="宋体" w:hAnsi="宋体" w:cs="宋体"/>
          <w:b/>
          <w:bCs/>
          <w:color w:val="auto"/>
          <w:szCs w:val="28"/>
          <w:highlight w:val="none"/>
        </w:rPr>
        <w:t>投标函</w:t>
      </w:r>
    </w:p>
    <w:p w14:paraId="3E70E6A7">
      <w:pPr>
        <w:spacing w:line="360" w:lineRule="auto"/>
        <w:rPr>
          <w:rFonts w:hint="eastAsia" w:ascii="宋体" w:hAnsi="宋体" w:cs="宋体"/>
          <w:bCs/>
          <w:color w:val="auto"/>
          <w:sz w:val="21"/>
          <w:szCs w:val="21"/>
          <w:highlight w:val="none"/>
        </w:rPr>
      </w:pPr>
    </w:p>
    <w:p w14:paraId="7B34DAC9">
      <w:pPr>
        <w:spacing w:line="360" w:lineRule="auto"/>
        <w:rPr>
          <w:rFonts w:hint="eastAsia" w:ascii="宋体" w:hAnsi="宋体" w:eastAsia="宋体" w:cs="宋体"/>
          <w:snapToGrid w:val="0"/>
          <w:color w:val="auto"/>
          <w:kern w:val="0"/>
          <w:sz w:val="21"/>
          <w:szCs w:val="21"/>
          <w:highlight w:val="none"/>
          <w:u w:val="single"/>
          <w:lang w:eastAsia="zh-CN"/>
        </w:rPr>
      </w:pPr>
      <w:r>
        <w:rPr>
          <w:rFonts w:hint="eastAsia" w:ascii="宋体" w:hAnsi="宋体" w:cs="宋体"/>
          <w:snapToGrid w:val="0"/>
          <w:color w:val="auto"/>
          <w:kern w:val="0"/>
          <w:sz w:val="21"/>
          <w:szCs w:val="21"/>
          <w:highlight w:val="none"/>
        </w:rPr>
        <w:t>致：</w:t>
      </w:r>
      <w:r>
        <w:rPr>
          <w:rFonts w:hint="eastAsia" w:ascii="宋体" w:hAnsi="宋体" w:cs="宋体"/>
          <w:snapToGrid w:val="0"/>
          <w:color w:val="auto"/>
          <w:kern w:val="0"/>
          <w:sz w:val="21"/>
          <w:szCs w:val="21"/>
          <w:highlight w:val="none"/>
          <w:u w:val="single"/>
          <w:lang w:eastAsia="zh-CN"/>
        </w:rPr>
        <w:t>南通市江海河联运项目建设指挥部</w:t>
      </w:r>
    </w:p>
    <w:p w14:paraId="74C8BAF6">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1.在研究了</w:t>
      </w:r>
      <w:r>
        <w:rPr>
          <w:rFonts w:hint="eastAsia" w:ascii="宋体" w:hAnsi="宋体" w:cs="宋体"/>
          <w:color w:val="auto"/>
          <w:sz w:val="21"/>
          <w:szCs w:val="21"/>
          <w:highlight w:val="none"/>
          <w:u w:val="single"/>
          <w:lang w:eastAsia="zh-CN"/>
        </w:rPr>
        <w:t>“水运江苏”建设跨江竞技劳动技能竞赛服务项目SYJS-JNJS标段</w:t>
      </w:r>
      <w:r>
        <w:rPr>
          <w:rFonts w:hint="eastAsia" w:ascii="宋体" w:hAnsi="宋体" w:cs="宋体"/>
          <w:color w:val="auto"/>
          <w:sz w:val="21"/>
          <w:szCs w:val="21"/>
          <w:highlight w:val="none"/>
        </w:rPr>
        <w:t>招标文件的全部内容</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（含补遗书第</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号至第</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号）</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愿意以人民币</w:t>
      </w:r>
      <w:r>
        <w:rPr>
          <w:rFonts w:hint="eastAsia" w:ascii="宋体" w:hAnsi="宋体" w:cs="宋体"/>
          <w:b/>
          <w:bCs/>
          <w:color w:val="auto"/>
          <w:sz w:val="21"/>
          <w:szCs w:val="21"/>
          <w:highlight w:val="none"/>
        </w:rPr>
        <w:t>（大写）</w:t>
      </w:r>
      <w:r>
        <w:rPr>
          <w:rFonts w:hint="eastAsia"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rPr>
        <w:t>元（￥</w:t>
      </w:r>
      <w:r>
        <w:rPr>
          <w:rFonts w:hint="eastAsia" w:ascii="宋体" w:hAnsi="宋体" w:cs="宋体"/>
          <w:b/>
          <w:bCs/>
          <w:color w:val="auto"/>
          <w:sz w:val="21"/>
          <w:szCs w:val="21"/>
          <w:highlight w:val="none"/>
          <w:u w:val="single"/>
        </w:rPr>
        <w:t xml:space="preserve">      </w:t>
      </w:r>
      <w:r>
        <w:rPr>
          <w:rFonts w:hint="eastAsia" w:ascii="宋体" w:hAnsi="宋体" w:cs="宋体"/>
          <w:b/>
          <w:bCs/>
          <w:color w:val="auto"/>
          <w:sz w:val="21"/>
          <w:szCs w:val="21"/>
          <w:highlight w:val="none"/>
        </w:rPr>
        <w:t>）</w:t>
      </w:r>
      <w:r>
        <w:rPr>
          <w:rFonts w:hint="eastAsia" w:ascii="宋体" w:hAnsi="宋体" w:cs="宋体"/>
          <w:color w:val="auto"/>
          <w:sz w:val="21"/>
          <w:szCs w:val="21"/>
          <w:highlight w:val="none"/>
        </w:rPr>
        <w:t>的投标总报价</w:t>
      </w:r>
      <w:r>
        <w:rPr>
          <w:rFonts w:hint="eastAsia" w:ascii="宋体" w:hAnsi="宋体" w:cs="宋体"/>
          <w:color w:val="auto"/>
          <w:sz w:val="21"/>
          <w:szCs w:val="21"/>
          <w:highlight w:val="none"/>
          <w:lang w:eastAsia="zh-CN"/>
        </w:rPr>
        <w:t>，服务周期</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按招标文件要求</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按合同约定完成工作。</w:t>
      </w:r>
    </w:p>
    <w:p w14:paraId="22E30F1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2.我方的投标文件包括下列内容。</w:t>
      </w:r>
    </w:p>
    <w:p w14:paraId="06AC189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（1）投标函及投标函附录；</w:t>
      </w:r>
    </w:p>
    <w:p w14:paraId="01F5AE6F">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（2）法定代表人身份证明或授权委托书；</w:t>
      </w:r>
    </w:p>
    <w:p w14:paraId="3D8F6085">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3</w:t>
      </w:r>
      <w:r>
        <w:rPr>
          <w:rFonts w:hint="eastAsia" w:ascii="宋体" w:hAnsi="宋体" w:cs="宋体"/>
          <w:color w:val="auto"/>
          <w:sz w:val="21"/>
          <w:szCs w:val="21"/>
          <w:highlight w:val="none"/>
        </w:rPr>
        <w:t>）投标保证金（如有）；</w:t>
      </w:r>
    </w:p>
    <w:p w14:paraId="67343F01">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）报价清单；</w:t>
      </w:r>
    </w:p>
    <w:p w14:paraId="5A32944A">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）资格审查资料；</w:t>
      </w:r>
    </w:p>
    <w:p w14:paraId="03C937D6">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rPr>
        <w:t>）工作大纲；</w:t>
      </w:r>
    </w:p>
    <w:p w14:paraId="208884D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w:t>
      </w:r>
    </w:p>
    <w:p w14:paraId="5EAADA0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投标文件的上述组成部分如存在内容不一致的</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以投标函为准。</w:t>
      </w:r>
    </w:p>
    <w:p w14:paraId="47F017EF">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3．我方承诺在招标文件规定的投标有效期内不撤销投标文件。</w:t>
      </w:r>
    </w:p>
    <w:p w14:paraId="52102C66">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4．如我方中标</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我方承诺：</w:t>
      </w:r>
    </w:p>
    <w:p w14:paraId="79FEC45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（1）在收到中标通知书后</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在中标通知书规定的期限内与你方签订合同；</w:t>
      </w:r>
    </w:p>
    <w:p w14:paraId="20627C39">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（2）在签订合同时不向你方提出附加条件；</w:t>
      </w:r>
    </w:p>
    <w:p w14:paraId="044D5E3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（3）按照招标文件要求提交履约保证金；</w:t>
      </w:r>
    </w:p>
    <w:p w14:paraId="25CDABD1">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（4）在合同约定的期限内完成合同规定的全部义务。</w:t>
      </w:r>
    </w:p>
    <w:p w14:paraId="5AB7CD66">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5. </w:t>
      </w:r>
      <w:r>
        <w:rPr>
          <w:rFonts w:hint="eastAsia" w:ascii="宋体" w:hAnsi="宋体" w:cs="宋体"/>
          <w:bCs/>
          <w:color w:val="auto"/>
          <w:sz w:val="21"/>
          <w:szCs w:val="21"/>
          <w:highlight w:val="none"/>
        </w:rPr>
        <w:t>____________</w:t>
      </w:r>
      <w:r>
        <w:rPr>
          <w:rFonts w:hint="eastAsia" w:ascii="宋体" w:hAnsi="宋体" w:cs="宋体"/>
          <w:color w:val="auto"/>
          <w:sz w:val="21"/>
          <w:szCs w:val="21"/>
          <w:highlight w:val="none"/>
        </w:rPr>
        <w:t>（其他补充说明）。</w:t>
      </w:r>
    </w:p>
    <w:p w14:paraId="67A935D8">
      <w:pPr>
        <w:wordWrap w:val="0"/>
        <w:spacing w:line="360" w:lineRule="auto"/>
        <w:jc w:val="right"/>
        <w:rPr>
          <w:rFonts w:hint="eastAsia" w:ascii="宋体" w:hAnsi="宋体" w:cs="宋体"/>
          <w:color w:val="auto"/>
          <w:sz w:val="21"/>
          <w:szCs w:val="21"/>
          <w:highlight w:val="none"/>
        </w:rPr>
      </w:pPr>
    </w:p>
    <w:p w14:paraId="297D57D7">
      <w:pPr>
        <w:spacing w:line="360" w:lineRule="auto"/>
        <w:ind w:firstLine="420" w:firstLineChars="200"/>
        <w:jc w:val="right"/>
        <w:rPr>
          <w:rFonts w:hint="eastAsia" w:ascii="宋体" w:hAnsi="宋体" w:cs="宋体"/>
          <w:color w:val="auto"/>
          <w:sz w:val="21"/>
          <w:szCs w:val="21"/>
          <w:highlight w:val="none"/>
          <w:u w:val="single"/>
        </w:rPr>
      </w:pPr>
      <w:r>
        <w:rPr>
          <w:rFonts w:hint="eastAsia" w:ascii="宋体" w:hAnsi="宋体" w:cs="宋体"/>
          <w:color w:val="auto"/>
          <w:sz w:val="21"/>
          <w:szCs w:val="21"/>
          <w:highlight w:val="none"/>
        </w:rPr>
        <w:t>投标人名称：</w:t>
      </w:r>
      <w:r>
        <w:rPr>
          <w:rFonts w:hint="eastAsia" w:ascii="宋体" w:hAnsi="宋体" w:cs="宋体"/>
          <w:color w:val="auto"/>
          <w:sz w:val="21"/>
          <w:szCs w:val="21"/>
          <w:highlight w:val="none"/>
          <w:u w:val="single"/>
        </w:rPr>
        <w:t xml:space="preserve">    （全称）（盖章）    </w:t>
      </w:r>
    </w:p>
    <w:p w14:paraId="77DBDBFF">
      <w:pPr>
        <w:spacing w:line="360" w:lineRule="auto"/>
        <w:ind w:firstLine="420" w:firstLineChars="2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法定代表人或其授权代理人：</w:t>
      </w:r>
      <w:r>
        <w:rPr>
          <w:rFonts w:hint="eastAsia" w:ascii="宋体" w:hAnsi="宋体" w:cs="宋体"/>
          <w:color w:val="auto"/>
          <w:sz w:val="21"/>
          <w:szCs w:val="21"/>
          <w:highlight w:val="none"/>
          <w:u w:val="single"/>
        </w:rPr>
        <w:t xml:space="preserve">   （签字） </w:t>
      </w:r>
    </w:p>
    <w:p w14:paraId="1D5FCB80">
      <w:pPr>
        <w:spacing w:line="360" w:lineRule="auto"/>
        <w:ind w:firstLine="420" w:firstLineChars="200"/>
        <w:jc w:val="right"/>
        <w:rPr>
          <w:rFonts w:hint="eastAsia" w:ascii="宋体" w:hAnsi="宋体" w:cs="宋体"/>
          <w:color w:val="auto"/>
          <w:sz w:val="21"/>
          <w:szCs w:val="21"/>
          <w:highlight w:val="none"/>
        </w:rPr>
        <w:sectPr>
          <w:pgSz w:w="11906" w:h="16838"/>
          <w:pgMar w:top="1361" w:right="1361" w:bottom="1361" w:left="1361" w:header="850" w:footer="964" w:gutter="170"/>
          <w:pgNumType w:fmt="decimal"/>
          <w:cols w:space="720" w:num="1"/>
          <w:docGrid w:linePitch="381" w:charSpace="0"/>
        </w:sectPr>
      </w:pPr>
      <w:r>
        <w:rPr>
          <w:rFonts w:hint="eastAsia" w:ascii="宋体" w:hAnsi="宋体" w:cs="宋体"/>
          <w:color w:val="auto"/>
          <w:sz w:val="21"/>
          <w:szCs w:val="21"/>
          <w:highlight w:val="none"/>
        </w:rPr>
        <w:t>日期：_____年___月___日</w:t>
      </w:r>
    </w:p>
    <w:p w14:paraId="5A4EFE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color w:val="auto"/>
          <w:highlight w:val="none"/>
        </w:rPr>
      </w:pPr>
      <w:bookmarkStart w:id="172" w:name="_Toc398650416"/>
      <w:bookmarkStart w:id="173" w:name="_Toc392687717"/>
      <w:bookmarkStart w:id="174" w:name="_Toc370327504"/>
      <w:r>
        <w:rPr>
          <w:rFonts w:hint="eastAsia"/>
          <w:b/>
          <w:bCs/>
          <w:color w:val="auto"/>
          <w:highlight w:val="none"/>
        </w:rPr>
        <w:t>二、报价清单</w:t>
      </w:r>
      <w:bookmarkEnd w:id="172"/>
      <w:bookmarkEnd w:id="173"/>
      <w:bookmarkEnd w:id="174"/>
    </w:p>
    <w:tbl>
      <w:tblPr>
        <w:tblStyle w:val="3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2"/>
        <w:gridCol w:w="1995"/>
        <w:gridCol w:w="1272"/>
        <w:gridCol w:w="1159"/>
        <w:gridCol w:w="875"/>
        <w:gridCol w:w="1469"/>
        <w:gridCol w:w="1794"/>
      </w:tblGrid>
      <w:tr w14:paraId="747B6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966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2A5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E7DF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单项名称</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CF5C3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单位</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51A33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数量</w:t>
            </w: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47DF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单价（元）</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2F7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总价</w:t>
            </w:r>
          </w:p>
          <w:p w14:paraId="630860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（元）</w:t>
            </w:r>
          </w:p>
        </w:tc>
      </w:tr>
      <w:tr w14:paraId="338D1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11BE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一</w:t>
            </w:r>
          </w:p>
        </w:tc>
        <w:tc>
          <w:tcPr>
            <w:tcW w:w="36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D655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竞赛策划与组织服务</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8EC1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
                <w:bCs/>
                <w:i w:val="0"/>
                <w:iCs w:val="0"/>
                <w:color w:val="000000"/>
                <w:sz w:val="24"/>
                <w:szCs w:val="24"/>
                <w:highlight w:val="none"/>
                <w:u w:val="none"/>
              </w:rPr>
            </w:pPr>
          </w:p>
        </w:tc>
      </w:tr>
      <w:tr w14:paraId="429FA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436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9BC6B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活动策划</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5D0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8072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70D6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9FE7AF">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186E9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22752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4F8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场地租赁费</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F541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6257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A57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DB4B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1D2FA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4758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二</w:t>
            </w:r>
          </w:p>
        </w:tc>
        <w:tc>
          <w:tcPr>
            <w:tcW w:w="36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35923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赛前组织培训及培训考核</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DF20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
                <w:bCs/>
                <w:i w:val="0"/>
                <w:iCs w:val="0"/>
                <w:color w:val="000000"/>
                <w:sz w:val="24"/>
                <w:szCs w:val="24"/>
                <w:highlight w:val="none"/>
                <w:u w:val="none"/>
              </w:rPr>
            </w:pPr>
          </w:p>
        </w:tc>
      </w:tr>
      <w:tr w14:paraId="3EC72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1AC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01A28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试题，赛前组织培训及培训结束后，组织考核</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441D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F9DE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9D00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FE29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536BE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CA3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三</w:t>
            </w:r>
          </w:p>
        </w:tc>
        <w:tc>
          <w:tcPr>
            <w:tcW w:w="36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490709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竞赛设备与物资供应</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FD92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
                <w:bCs/>
                <w:i w:val="0"/>
                <w:iCs w:val="0"/>
                <w:color w:val="000000"/>
                <w:sz w:val="24"/>
                <w:szCs w:val="24"/>
                <w:highlight w:val="none"/>
                <w:u w:val="none"/>
              </w:rPr>
            </w:pPr>
          </w:p>
        </w:tc>
      </w:tr>
      <w:tr w14:paraId="6E65E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E4B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D12EC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竞赛采购设备与租赁</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DE1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E67C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CB4FD">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9C7D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7AA9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2D37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73AA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音响租赁服务</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7B78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43CB1">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047A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CE70D">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00F08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C80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77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808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租赁桌椅</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FDF6A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张</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53E7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42DAD">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C297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3B943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853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77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2A50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8BEC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把</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3C263">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CFA0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59C7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0E6AA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D28B8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1A4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签到处</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113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12A8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8267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E607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02BB4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71D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E331A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检录处</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04B4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FCD1D">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F1B420">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84F5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42A29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939D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4AC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指示牌</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201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13C5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EF8E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D06E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1DCA8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9F0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B5B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证件</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D16E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张</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08A22">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0783BD">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B4518">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7AFFD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BEB8A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09B7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会务手册</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FFD7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3A6B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A4BCF">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73B9E">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4F9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B018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300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竞赛指南</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2A27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本</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6280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5634E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47C06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17B91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8552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D15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手卡</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0707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ABED9">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FFA1A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2EA5E">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49AA7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43AE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0818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候场区</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3D0F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顶</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4890E">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22AB6">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5E458">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7573E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F17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D69F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手提</w:t>
            </w:r>
            <w:r>
              <w:rPr>
                <w:rFonts w:hint="eastAsia" w:ascii="宋体" w:hAnsi="宋体" w:cs="宋体"/>
                <w:i w:val="0"/>
                <w:iCs w:val="0"/>
                <w:color w:val="000000"/>
                <w:kern w:val="0"/>
                <w:sz w:val="24"/>
                <w:szCs w:val="24"/>
                <w:highlight w:val="none"/>
                <w:u w:val="none"/>
                <w:lang w:val="en-US" w:eastAsia="zh-CN" w:bidi="ar"/>
              </w:rPr>
              <w:t>袋</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8FC5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D4EE8">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98F8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C05E1">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47866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11B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14</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49DF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物料制作</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8A41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2E35E0">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1685E2">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5EA8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5FA09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BF93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7F2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奖牌证书费</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E17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BE0D0">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29905">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43BE31">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3A08D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366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7B125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活动用品采购</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F05A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6A782">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7DA4F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09D81">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60155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BB72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四</w:t>
            </w:r>
          </w:p>
        </w:tc>
        <w:tc>
          <w:tcPr>
            <w:tcW w:w="36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B894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竞赛评委与专家服务</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A7E6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
                <w:bCs/>
                <w:i w:val="0"/>
                <w:iCs w:val="0"/>
                <w:color w:val="000000"/>
                <w:sz w:val="24"/>
                <w:szCs w:val="24"/>
                <w:highlight w:val="none"/>
                <w:u w:val="none"/>
              </w:rPr>
            </w:pPr>
          </w:p>
        </w:tc>
      </w:tr>
      <w:tr w14:paraId="7716C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8CFE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39E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竞赛评委与专家服务</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5B92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2FEAF">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13FF9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73DC8">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3CF6C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B564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五</w:t>
            </w:r>
          </w:p>
        </w:tc>
        <w:tc>
          <w:tcPr>
            <w:tcW w:w="366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D2ACB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后勤保障服务</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6327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
                <w:bCs/>
                <w:i w:val="0"/>
                <w:iCs w:val="0"/>
                <w:color w:val="000000"/>
                <w:sz w:val="24"/>
                <w:szCs w:val="24"/>
                <w:highlight w:val="none"/>
                <w:u w:val="none"/>
              </w:rPr>
            </w:pPr>
          </w:p>
        </w:tc>
      </w:tr>
      <w:tr w14:paraId="52343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7E28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0373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仪器设备搬运</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C4955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人工及材料运输</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D18A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EE8B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129B2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670FF">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04E2C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A18A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10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27B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培训+活动</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03054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接驳车辆租赁</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604B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天</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7E3B70">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8F6E3">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D170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35181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1DB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90C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餐饮</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7988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E1780">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7E96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B7587">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68DD5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F669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5800D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安全费用</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311B3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1211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544BC">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486EE">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60887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3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DB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177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28D4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暂列金</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1AE2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7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9C40F">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7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CAF7B4">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0595B">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4"/>
                <w:szCs w:val="24"/>
                <w:highlight w:val="none"/>
                <w:u w:val="none"/>
              </w:rPr>
            </w:pPr>
          </w:p>
        </w:tc>
      </w:tr>
      <w:tr w14:paraId="692F6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trPr>
        <w:tc>
          <w:tcPr>
            <w:tcW w:w="402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42690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小计</w:t>
            </w:r>
          </w:p>
        </w:tc>
        <w:tc>
          <w:tcPr>
            <w:tcW w:w="9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C2E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 xml:space="preserve">0 </w:t>
            </w:r>
          </w:p>
        </w:tc>
      </w:tr>
    </w:tbl>
    <w:p w14:paraId="33596853">
      <w:pPr>
        <w:pStyle w:val="3"/>
        <w:keepNext/>
        <w:keepLines/>
        <w:pageBreakBefore w:val="0"/>
        <w:widowControl w:val="0"/>
        <w:kinsoku/>
        <w:wordWrap/>
        <w:overflowPunct/>
        <w:topLinePunct w:val="0"/>
        <w:autoSpaceDE/>
        <w:autoSpaceDN/>
        <w:bidi w:val="0"/>
        <w:adjustRightInd/>
        <w:snapToGrid/>
        <w:spacing w:before="157" w:beforeLines="50" w:after="0" w:line="360" w:lineRule="auto"/>
        <w:jc w:val="left"/>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rPr>
        <w:t>注：</w:t>
      </w:r>
      <w:r>
        <w:rPr>
          <w:rFonts w:hint="eastAsia" w:ascii="宋体" w:hAnsi="宋体" w:cs="宋体"/>
          <w:b/>
          <w:bCs/>
          <w:color w:val="auto"/>
          <w:sz w:val="24"/>
          <w:szCs w:val="24"/>
          <w:highlight w:val="none"/>
          <w:lang w:eastAsia="zh-CN"/>
        </w:rPr>
        <w:t>1.本表“投标总价”转入投标函中。</w:t>
      </w:r>
    </w:p>
    <w:p w14:paraId="58807ADE">
      <w:pPr>
        <w:pStyle w:val="3"/>
        <w:keepNext/>
        <w:keepLines/>
        <w:pageBreakBefore w:val="0"/>
        <w:widowControl w:val="0"/>
        <w:kinsoku/>
        <w:wordWrap/>
        <w:overflowPunct/>
        <w:topLinePunct w:val="0"/>
        <w:autoSpaceDE/>
        <w:autoSpaceDN/>
        <w:bidi w:val="0"/>
        <w:adjustRightInd/>
        <w:snapToGrid/>
        <w:spacing w:before="157" w:beforeLines="50" w:after="0" w:line="360" w:lineRule="auto"/>
        <w:jc w:val="left"/>
        <w:textAlignment w:val="auto"/>
        <w:rPr>
          <w:rFonts w:hint="eastAsia" w:ascii="宋体" w:hAnsi="宋体" w:cs="宋体"/>
          <w:bCs w:val="0"/>
          <w:color w:val="auto"/>
          <w:sz w:val="24"/>
          <w:szCs w:val="24"/>
          <w:highlight w:val="none"/>
        </w:rPr>
      </w:pPr>
      <w:r>
        <w:rPr>
          <w:rFonts w:hint="eastAsia" w:ascii="宋体" w:hAnsi="宋体" w:cs="宋体"/>
          <w:b/>
          <w:bCs/>
          <w:color w:val="auto"/>
          <w:sz w:val="24"/>
          <w:szCs w:val="24"/>
          <w:highlight w:val="none"/>
          <w:lang w:eastAsia="zh-CN"/>
        </w:rPr>
        <w:t>2.详细费用计算清单及说明的格式由投标人自列。</w:t>
      </w:r>
      <w:r>
        <w:rPr>
          <w:rFonts w:hint="eastAsia" w:ascii="宋体" w:hAnsi="宋体" w:cs="宋体"/>
          <w:bCs w:val="0"/>
          <w:color w:val="auto"/>
          <w:sz w:val="24"/>
          <w:szCs w:val="24"/>
          <w:highlight w:val="none"/>
        </w:rPr>
        <w:t xml:space="preserve">                                             </w:t>
      </w:r>
    </w:p>
    <w:p w14:paraId="118B9EDC">
      <w:pPr>
        <w:pStyle w:val="3"/>
        <w:jc w:val="right"/>
        <w:rPr>
          <w:rFonts w:hint="eastAsia" w:ascii="宋体" w:hAnsi="宋体" w:cs="宋体"/>
          <w:bCs w:val="0"/>
          <w:color w:val="auto"/>
          <w:sz w:val="22"/>
          <w:szCs w:val="22"/>
          <w:highlight w:val="none"/>
        </w:rPr>
      </w:pPr>
      <w:r>
        <w:rPr>
          <w:rFonts w:hint="eastAsia" w:ascii="宋体" w:hAnsi="宋体" w:cs="宋体"/>
          <w:bCs w:val="0"/>
          <w:color w:val="auto"/>
          <w:sz w:val="22"/>
          <w:szCs w:val="22"/>
          <w:highlight w:val="none"/>
          <w:lang w:val="en-US" w:eastAsia="zh-CN"/>
        </w:rPr>
        <w:t>投标人</w:t>
      </w:r>
      <w:r>
        <w:rPr>
          <w:rFonts w:hint="eastAsia" w:ascii="宋体" w:hAnsi="宋体" w:cs="宋体"/>
          <w:bCs w:val="0"/>
          <w:color w:val="auto"/>
          <w:sz w:val="22"/>
          <w:szCs w:val="22"/>
          <w:highlight w:val="none"/>
        </w:rPr>
        <w:t>：</w:t>
      </w:r>
      <w:r>
        <w:rPr>
          <w:rFonts w:hint="eastAsia" w:ascii="宋体" w:hAnsi="宋体" w:cs="宋体"/>
          <w:bCs w:val="0"/>
          <w:color w:val="auto"/>
          <w:sz w:val="22"/>
          <w:szCs w:val="22"/>
          <w:highlight w:val="none"/>
          <w:u w:val="single"/>
          <w:lang w:val="en-US" w:eastAsia="zh-CN"/>
        </w:rPr>
        <w:t xml:space="preserve">          </w:t>
      </w:r>
      <w:r>
        <w:rPr>
          <w:rFonts w:hint="eastAsia" w:ascii="宋体" w:hAnsi="宋体" w:cs="宋体"/>
          <w:bCs w:val="0"/>
          <w:color w:val="auto"/>
          <w:sz w:val="22"/>
          <w:szCs w:val="22"/>
          <w:highlight w:val="none"/>
        </w:rPr>
        <w:t>（公章）</w:t>
      </w:r>
    </w:p>
    <w:p w14:paraId="18BA2F10">
      <w:pPr>
        <w:pStyle w:val="3"/>
        <w:jc w:val="right"/>
        <w:rPr>
          <w:rFonts w:hint="default" w:ascii="宋体" w:hAnsi="宋体" w:eastAsia="宋体" w:cs="宋体"/>
          <w:bCs w:val="0"/>
          <w:color w:val="auto"/>
          <w:sz w:val="22"/>
          <w:szCs w:val="22"/>
          <w:highlight w:val="none"/>
          <w:lang w:val="en-US" w:eastAsia="zh-CN"/>
        </w:rPr>
      </w:pPr>
      <w:r>
        <w:rPr>
          <w:rFonts w:hint="eastAsia" w:ascii="宋体" w:hAnsi="宋体" w:cs="宋体"/>
          <w:bCs w:val="0"/>
          <w:color w:val="auto"/>
          <w:sz w:val="22"/>
          <w:szCs w:val="22"/>
          <w:highlight w:val="none"/>
          <w:lang w:val="en-US" w:eastAsia="zh-CN"/>
        </w:rPr>
        <w:t xml:space="preserve">                                                         </w:t>
      </w:r>
      <w:r>
        <w:rPr>
          <w:rFonts w:hint="eastAsia" w:ascii="宋体" w:hAnsi="宋体" w:cs="宋体"/>
          <w:bCs w:val="0"/>
          <w:color w:val="auto"/>
          <w:sz w:val="22"/>
          <w:szCs w:val="22"/>
          <w:highlight w:val="none"/>
          <w:u w:val="single"/>
          <w:lang w:val="en-US" w:eastAsia="zh-CN"/>
        </w:rPr>
        <w:t xml:space="preserve">     </w:t>
      </w:r>
      <w:r>
        <w:rPr>
          <w:rFonts w:hint="eastAsia" w:ascii="宋体" w:hAnsi="宋体" w:cs="宋体"/>
          <w:bCs w:val="0"/>
          <w:color w:val="auto"/>
          <w:sz w:val="22"/>
          <w:szCs w:val="22"/>
          <w:highlight w:val="none"/>
          <w:lang w:val="en-US" w:eastAsia="zh-CN"/>
        </w:rPr>
        <w:t>年</w:t>
      </w:r>
      <w:r>
        <w:rPr>
          <w:rFonts w:hint="eastAsia" w:ascii="宋体" w:hAnsi="宋体" w:cs="宋体"/>
          <w:bCs w:val="0"/>
          <w:color w:val="auto"/>
          <w:sz w:val="22"/>
          <w:szCs w:val="22"/>
          <w:highlight w:val="none"/>
          <w:u w:val="single"/>
          <w:lang w:val="en-US" w:eastAsia="zh-CN"/>
        </w:rPr>
        <w:t xml:space="preserve">     </w:t>
      </w:r>
      <w:r>
        <w:rPr>
          <w:rFonts w:hint="eastAsia" w:ascii="宋体" w:hAnsi="宋体" w:cs="宋体"/>
          <w:bCs w:val="0"/>
          <w:color w:val="auto"/>
          <w:sz w:val="22"/>
          <w:szCs w:val="22"/>
          <w:highlight w:val="none"/>
          <w:lang w:val="en-US" w:eastAsia="zh-CN"/>
        </w:rPr>
        <w:t>月</w:t>
      </w:r>
      <w:r>
        <w:rPr>
          <w:rFonts w:hint="eastAsia" w:ascii="宋体" w:hAnsi="宋体" w:cs="宋体"/>
          <w:bCs w:val="0"/>
          <w:color w:val="auto"/>
          <w:sz w:val="22"/>
          <w:szCs w:val="22"/>
          <w:highlight w:val="none"/>
          <w:u w:val="single"/>
          <w:lang w:val="en-US" w:eastAsia="zh-CN"/>
        </w:rPr>
        <w:t xml:space="preserve">     </w:t>
      </w:r>
      <w:r>
        <w:rPr>
          <w:rFonts w:hint="eastAsia" w:ascii="宋体" w:hAnsi="宋体" w:cs="宋体"/>
          <w:bCs w:val="0"/>
          <w:color w:val="auto"/>
          <w:sz w:val="22"/>
          <w:szCs w:val="22"/>
          <w:highlight w:val="none"/>
          <w:lang w:val="en-US" w:eastAsia="zh-CN"/>
        </w:rPr>
        <w:t>日</w:t>
      </w:r>
    </w:p>
    <w:p w14:paraId="3A766852">
      <w:pPr>
        <w:pStyle w:val="7"/>
        <w:rPr>
          <w:rFonts w:hint="eastAsia"/>
          <w:color w:val="auto"/>
          <w:highlight w:val="none"/>
        </w:rPr>
      </w:pPr>
    </w:p>
    <w:p w14:paraId="256DE5FA">
      <w:pPr>
        <w:pStyle w:val="7"/>
        <w:rPr>
          <w:rFonts w:hint="eastAsia"/>
          <w:color w:val="auto"/>
          <w:highlight w:val="none"/>
        </w:rPr>
      </w:pPr>
    </w:p>
    <w:p w14:paraId="723691D0">
      <w:pPr>
        <w:pStyle w:val="7"/>
        <w:rPr>
          <w:rFonts w:hint="eastAsia"/>
          <w:color w:val="auto"/>
          <w:highlight w:val="none"/>
        </w:rPr>
      </w:pPr>
    </w:p>
    <w:p w14:paraId="36657345">
      <w:pPr>
        <w:pStyle w:val="7"/>
        <w:rPr>
          <w:rFonts w:hint="eastAsia"/>
          <w:color w:val="auto"/>
          <w:highlight w:val="none"/>
        </w:rPr>
      </w:pPr>
    </w:p>
    <w:p w14:paraId="113781A6">
      <w:pPr>
        <w:pStyle w:val="7"/>
        <w:rPr>
          <w:rFonts w:hint="eastAsia"/>
          <w:color w:val="auto"/>
          <w:highlight w:val="none"/>
        </w:rPr>
      </w:pPr>
    </w:p>
    <w:p w14:paraId="7571A993">
      <w:pPr>
        <w:pStyle w:val="7"/>
        <w:rPr>
          <w:rFonts w:hint="eastAsia"/>
          <w:color w:val="auto"/>
          <w:highlight w:val="none"/>
        </w:rPr>
      </w:pPr>
    </w:p>
    <w:p w14:paraId="401A5897">
      <w:pPr>
        <w:spacing w:line="360" w:lineRule="auto"/>
        <w:rPr>
          <w:rFonts w:hint="eastAsia" w:ascii="宋体" w:hAnsi="宋体" w:cs="宋体"/>
          <w:b/>
          <w:color w:val="auto"/>
          <w:sz w:val="24"/>
          <w:highlight w:val="none"/>
        </w:rPr>
      </w:pPr>
    </w:p>
    <w:p w14:paraId="7BA45773">
      <w:pPr>
        <w:spacing w:line="400" w:lineRule="exact"/>
        <w:rPr>
          <w:color w:val="auto"/>
          <w:highlight w:val="none"/>
        </w:rPr>
      </w:pPr>
    </w:p>
    <w:sectPr>
      <w:pgSz w:w="11906" w:h="16838"/>
      <w:pgMar w:top="1361" w:right="1361" w:bottom="1361" w:left="1361" w:header="850" w:footer="964" w:gutter="170"/>
      <w:pgNumType w:fmt="decimal"/>
      <w:cols w:space="720"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F5A66">
    <w:pPr>
      <w:pStyle w:val="20"/>
      <w:adjustRightInd w:val="0"/>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71121">
    <w:pPr>
      <w:pStyle w:val="20"/>
      <w:adjustRightInd w:val="0"/>
      <w:spacing w:line="240" w:lineRule="auto"/>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C5B7A5">
                          <w:pPr>
                            <w:pStyle w:val="20"/>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22C5B7A5">
                    <w:pPr>
                      <w:pStyle w:val="2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87235">
    <w:pPr>
      <w:pStyle w:val="20"/>
      <w:adjustRightInd w:val="0"/>
      <w:spacing w:line="240" w:lineRule="auto"/>
      <w:jc w:val="center"/>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DACE2A">
                          <w:pPr>
                            <w:pStyle w:val="20"/>
                            <w:adjustRightInd w:val="0"/>
                            <w:spacing w:line="240" w:lineRule="auto"/>
                            <w:jc w:val="center"/>
                          </w:pPr>
                          <w:r>
                            <w:fldChar w:fldCharType="begin"/>
                          </w:r>
                          <w:r>
                            <w:instrText xml:space="preserve">PAGE   \* MERGEFORMAT</w:instrText>
                          </w:r>
                          <w:r>
                            <w:fldChar w:fldCharType="separate"/>
                          </w:r>
                          <w:r>
                            <w:rPr>
                              <w:lang w:val="zh-CN"/>
                            </w:rPr>
                            <w:t>2</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14:paraId="3DDACE2A">
                    <w:pPr>
                      <w:pStyle w:val="20"/>
                      <w:adjustRightInd w:val="0"/>
                      <w:spacing w:line="240" w:lineRule="auto"/>
                      <w:jc w:val="center"/>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4D65E">
    <w:pPr>
      <w:pBdr>
        <w:bottom w:val="none" w:color="auto" w:sz="0" w:space="1"/>
      </w:pBdr>
      <w:snapToGrid w:val="0"/>
      <w:jc w:val="center"/>
      <w:rPr>
        <w:rFonts w:hint="eastAsia"/>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C4765">
    <w:pPr>
      <w:pBdr>
        <w:bottom w:val="none" w:color="auto" w:sz="0" w:space="1"/>
      </w:pBdr>
      <w:snapToGrid w:val="0"/>
      <w:jc w:val="center"/>
      <w:rPr>
        <w:rFonts w:hint="eastAsia"/>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DEBF64"/>
    <w:multiLevelType w:val="singleLevel"/>
    <w:tmpl w:val="98DEBF64"/>
    <w:lvl w:ilvl="0" w:tentative="0">
      <w:start w:val="1"/>
      <w:numFmt w:val="chineseCounting"/>
      <w:suff w:val="space"/>
      <w:lvlText w:val="%1、"/>
      <w:lvlJc w:val="left"/>
      <w:rPr>
        <w:rFonts w:hint="eastAsia"/>
      </w:rPr>
    </w:lvl>
  </w:abstractNum>
  <w:abstractNum w:abstractNumId="1">
    <w:nsid w:val="B87B0FC8"/>
    <w:multiLevelType w:val="singleLevel"/>
    <w:tmpl w:val="B87B0FC8"/>
    <w:lvl w:ilvl="0" w:tentative="0">
      <w:start w:val="1"/>
      <w:numFmt w:val="decimal"/>
      <w:suff w:val="nothing"/>
      <w:lvlText w:val="%1、"/>
      <w:lvlJc w:val="left"/>
    </w:lvl>
  </w:abstractNum>
  <w:abstractNum w:abstractNumId="2">
    <w:nsid w:val="2472CD72"/>
    <w:multiLevelType w:val="singleLevel"/>
    <w:tmpl w:val="2472CD72"/>
    <w:lvl w:ilvl="0" w:tentative="0">
      <w:start w:val="1"/>
      <w:numFmt w:val="decimal"/>
      <w:lvlText w:val="%1."/>
      <w:lvlJc w:val="left"/>
      <w:pPr>
        <w:ind w:left="425" w:hanging="425"/>
      </w:pPr>
    </w:lvl>
  </w:abstractNum>
  <w:abstractNum w:abstractNumId="3">
    <w:nsid w:val="4BA68184"/>
    <w:multiLevelType w:val="singleLevel"/>
    <w:tmpl w:val="4BA68184"/>
    <w:lvl w:ilvl="0" w:tentative="0">
      <w:start w:val="1"/>
      <w:numFmt w:val="decimal"/>
      <w:lvlText w:val="%1."/>
      <w:lvlJc w:val="left"/>
      <w:pPr>
        <w:ind w:left="425" w:hanging="425"/>
      </w:pPr>
      <w:rPr>
        <w:rFonts w:hint="default"/>
      </w:rPr>
    </w:lvl>
  </w:abstractNum>
  <w:num w:numId="1">
    <w:abstractNumId w:val="0"/>
  </w:num>
  <w:num w:numId="2">
    <w:abstractNumId w:val="1"/>
  </w:num>
  <w:num w:numId="3">
    <w:abstractNumId w:val="2"/>
    <w:lvlOverride w:ilvl="0">
      <w:startOverride w:val="1"/>
    </w:lvlOverride>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苏州市航道管理处">
    <w15:presenceInfo w15:providerId="None" w15:userId="苏州市航道管理处"/>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M2ZmZDk0OWIyODI3OGMwNzlmZDYyOWQ3MGVjNjgifQ=="/>
  </w:docVars>
  <w:rsids>
    <w:rsidRoot w:val="00797667"/>
    <w:rsid w:val="00001CF7"/>
    <w:rsid w:val="00006925"/>
    <w:rsid w:val="00006932"/>
    <w:rsid w:val="00011781"/>
    <w:rsid w:val="00013CB3"/>
    <w:rsid w:val="0001429D"/>
    <w:rsid w:val="00014434"/>
    <w:rsid w:val="00015B88"/>
    <w:rsid w:val="0002318D"/>
    <w:rsid w:val="000265C4"/>
    <w:rsid w:val="000363DB"/>
    <w:rsid w:val="00036685"/>
    <w:rsid w:val="000406EC"/>
    <w:rsid w:val="00052A18"/>
    <w:rsid w:val="000646F5"/>
    <w:rsid w:val="00072C34"/>
    <w:rsid w:val="00080299"/>
    <w:rsid w:val="0008058B"/>
    <w:rsid w:val="00084887"/>
    <w:rsid w:val="00084897"/>
    <w:rsid w:val="0008596D"/>
    <w:rsid w:val="00086CDC"/>
    <w:rsid w:val="000924A5"/>
    <w:rsid w:val="0009426D"/>
    <w:rsid w:val="000A0517"/>
    <w:rsid w:val="000A0691"/>
    <w:rsid w:val="000B2853"/>
    <w:rsid w:val="000B28C0"/>
    <w:rsid w:val="000B3FA1"/>
    <w:rsid w:val="000B5B2E"/>
    <w:rsid w:val="000C066F"/>
    <w:rsid w:val="000C2FA0"/>
    <w:rsid w:val="000C45FB"/>
    <w:rsid w:val="000C469B"/>
    <w:rsid w:val="000C6D02"/>
    <w:rsid w:val="000D429E"/>
    <w:rsid w:val="000D4927"/>
    <w:rsid w:val="000D5AC7"/>
    <w:rsid w:val="000E11D0"/>
    <w:rsid w:val="000E486A"/>
    <w:rsid w:val="000F01D3"/>
    <w:rsid w:val="000F2B26"/>
    <w:rsid w:val="000F7FC1"/>
    <w:rsid w:val="001033DF"/>
    <w:rsid w:val="00106D19"/>
    <w:rsid w:val="001143C4"/>
    <w:rsid w:val="00121957"/>
    <w:rsid w:val="001222AD"/>
    <w:rsid w:val="00126260"/>
    <w:rsid w:val="001267FD"/>
    <w:rsid w:val="00130BE0"/>
    <w:rsid w:val="001351CD"/>
    <w:rsid w:val="00135D9F"/>
    <w:rsid w:val="0014163D"/>
    <w:rsid w:val="00146644"/>
    <w:rsid w:val="00153800"/>
    <w:rsid w:val="001542FC"/>
    <w:rsid w:val="00154A93"/>
    <w:rsid w:val="00156665"/>
    <w:rsid w:val="00175A6D"/>
    <w:rsid w:val="001810D4"/>
    <w:rsid w:val="00184F53"/>
    <w:rsid w:val="001873C0"/>
    <w:rsid w:val="001A06E6"/>
    <w:rsid w:val="001A18CA"/>
    <w:rsid w:val="001A655A"/>
    <w:rsid w:val="001C519E"/>
    <w:rsid w:val="001C6B78"/>
    <w:rsid w:val="001E7433"/>
    <w:rsid w:val="001F1F12"/>
    <w:rsid w:val="00210931"/>
    <w:rsid w:val="00214AD6"/>
    <w:rsid w:val="00215328"/>
    <w:rsid w:val="00223C7A"/>
    <w:rsid w:val="00226FAF"/>
    <w:rsid w:val="0026236A"/>
    <w:rsid w:val="0026434C"/>
    <w:rsid w:val="002710BD"/>
    <w:rsid w:val="00274F17"/>
    <w:rsid w:val="00294959"/>
    <w:rsid w:val="002A0F26"/>
    <w:rsid w:val="002A5683"/>
    <w:rsid w:val="002A7D3F"/>
    <w:rsid w:val="002A7DF7"/>
    <w:rsid w:val="002B1902"/>
    <w:rsid w:val="002C5758"/>
    <w:rsid w:val="002D2283"/>
    <w:rsid w:val="002E031E"/>
    <w:rsid w:val="002E4661"/>
    <w:rsid w:val="002F0674"/>
    <w:rsid w:val="002F2DDA"/>
    <w:rsid w:val="0030417C"/>
    <w:rsid w:val="00305EFD"/>
    <w:rsid w:val="00312581"/>
    <w:rsid w:val="0032193C"/>
    <w:rsid w:val="003308FF"/>
    <w:rsid w:val="003352AF"/>
    <w:rsid w:val="00342384"/>
    <w:rsid w:val="003435BD"/>
    <w:rsid w:val="003447D0"/>
    <w:rsid w:val="00345316"/>
    <w:rsid w:val="003554CE"/>
    <w:rsid w:val="00360361"/>
    <w:rsid w:val="00372DC3"/>
    <w:rsid w:val="003752C8"/>
    <w:rsid w:val="0037791D"/>
    <w:rsid w:val="00383032"/>
    <w:rsid w:val="00383E9F"/>
    <w:rsid w:val="003939AA"/>
    <w:rsid w:val="00394F9A"/>
    <w:rsid w:val="003A1EBB"/>
    <w:rsid w:val="003A70B7"/>
    <w:rsid w:val="003A7DCA"/>
    <w:rsid w:val="003B6A35"/>
    <w:rsid w:val="003C0DC8"/>
    <w:rsid w:val="003C7E91"/>
    <w:rsid w:val="003D26EE"/>
    <w:rsid w:val="003D533C"/>
    <w:rsid w:val="003D6A71"/>
    <w:rsid w:val="003D6BD5"/>
    <w:rsid w:val="003E0BAA"/>
    <w:rsid w:val="003E270B"/>
    <w:rsid w:val="003E6B3F"/>
    <w:rsid w:val="003F28C3"/>
    <w:rsid w:val="003F31FB"/>
    <w:rsid w:val="003F622A"/>
    <w:rsid w:val="003F68E0"/>
    <w:rsid w:val="00400597"/>
    <w:rsid w:val="00405178"/>
    <w:rsid w:val="00405A96"/>
    <w:rsid w:val="00406760"/>
    <w:rsid w:val="00413893"/>
    <w:rsid w:val="0041390D"/>
    <w:rsid w:val="00413E40"/>
    <w:rsid w:val="00417D5C"/>
    <w:rsid w:val="004453EE"/>
    <w:rsid w:val="0044782C"/>
    <w:rsid w:val="00450BAE"/>
    <w:rsid w:val="004510D0"/>
    <w:rsid w:val="00457010"/>
    <w:rsid w:val="0045713A"/>
    <w:rsid w:val="004612AD"/>
    <w:rsid w:val="004640AE"/>
    <w:rsid w:val="00470CF3"/>
    <w:rsid w:val="00470F51"/>
    <w:rsid w:val="004728A7"/>
    <w:rsid w:val="0047422E"/>
    <w:rsid w:val="0048490B"/>
    <w:rsid w:val="004864AF"/>
    <w:rsid w:val="00490291"/>
    <w:rsid w:val="00492597"/>
    <w:rsid w:val="004926AD"/>
    <w:rsid w:val="00493060"/>
    <w:rsid w:val="004A151F"/>
    <w:rsid w:val="004A43EF"/>
    <w:rsid w:val="004B53B0"/>
    <w:rsid w:val="004B66F3"/>
    <w:rsid w:val="004B6B9A"/>
    <w:rsid w:val="004C2242"/>
    <w:rsid w:val="004D23BC"/>
    <w:rsid w:val="004D6741"/>
    <w:rsid w:val="004D6FB5"/>
    <w:rsid w:val="004E490E"/>
    <w:rsid w:val="004F0B6C"/>
    <w:rsid w:val="004F12DC"/>
    <w:rsid w:val="004F6DEA"/>
    <w:rsid w:val="00504B20"/>
    <w:rsid w:val="00515699"/>
    <w:rsid w:val="00515D58"/>
    <w:rsid w:val="005172CC"/>
    <w:rsid w:val="00522819"/>
    <w:rsid w:val="00525D5F"/>
    <w:rsid w:val="00532978"/>
    <w:rsid w:val="00534153"/>
    <w:rsid w:val="005350F4"/>
    <w:rsid w:val="005421B6"/>
    <w:rsid w:val="00545CB2"/>
    <w:rsid w:val="005539A0"/>
    <w:rsid w:val="00555C31"/>
    <w:rsid w:val="00557276"/>
    <w:rsid w:val="00557752"/>
    <w:rsid w:val="00572FB0"/>
    <w:rsid w:val="00574FA8"/>
    <w:rsid w:val="00575F6B"/>
    <w:rsid w:val="00577718"/>
    <w:rsid w:val="00580A52"/>
    <w:rsid w:val="00581674"/>
    <w:rsid w:val="00586541"/>
    <w:rsid w:val="00594DF0"/>
    <w:rsid w:val="005A0FB6"/>
    <w:rsid w:val="005A70E1"/>
    <w:rsid w:val="005B2286"/>
    <w:rsid w:val="005B3849"/>
    <w:rsid w:val="005B599A"/>
    <w:rsid w:val="005B7942"/>
    <w:rsid w:val="005C00E1"/>
    <w:rsid w:val="005C60DA"/>
    <w:rsid w:val="005D1410"/>
    <w:rsid w:val="005D284F"/>
    <w:rsid w:val="005D32B3"/>
    <w:rsid w:val="005D60D1"/>
    <w:rsid w:val="005E1A5B"/>
    <w:rsid w:val="005E2A34"/>
    <w:rsid w:val="005E5113"/>
    <w:rsid w:val="005F1754"/>
    <w:rsid w:val="00600CF5"/>
    <w:rsid w:val="00601277"/>
    <w:rsid w:val="0060387F"/>
    <w:rsid w:val="00604505"/>
    <w:rsid w:val="0060754C"/>
    <w:rsid w:val="00610296"/>
    <w:rsid w:val="00621764"/>
    <w:rsid w:val="00625903"/>
    <w:rsid w:val="0065113A"/>
    <w:rsid w:val="00652D66"/>
    <w:rsid w:val="00656544"/>
    <w:rsid w:val="006738CA"/>
    <w:rsid w:val="00685B95"/>
    <w:rsid w:val="0069766B"/>
    <w:rsid w:val="006A00BD"/>
    <w:rsid w:val="006A4090"/>
    <w:rsid w:val="006A7102"/>
    <w:rsid w:val="006B598A"/>
    <w:rsid w:val="006B5C33"/>
    <w:rsid w:val="006C0842"/>
    <w:rsid w:val="006D3F44"/>
    <w:rsid w:val="006E67D2"/>
    <w:rsid w:val="006F2C5C"/>
    <w:rsid w:val="00700096"/>
    <w:rsid w:val="007008AC"/>
    <w:rsid w:val="00705653"/>
    <w:rsid w:val="007103E7"/>
    <w:rsid w:val="0071370F"/>
    <w:rsid w:val="00720304"/>
    <w:rsid w:val="00755AF5"/>
    <w:rsid w:val="00755F1D"/>
    <w:rsid w:val="00766139"/>
    <w:rsid w:val="007661DF"/>
    <w:rsid w:val="00770C16"/>
    <w:rsid w:val="00771F9D"/>
    <w:rsid w:val="00773F58"/>
    <w:rsid w:val="00775D50"/>
    <w:rsid w:val="007771C4"/>
    <w:rsid w:val="00780F3C"/>
    <w:rsid w:val="00781108"/>
    <w:rsid w:val="00787996"/>
    <w:rsid w:val="007921DA"/>
    <w:rsid w:val="00793B50"/>
    <w:rsid w:val="00794D8D"/>
    <w:rsid w:val="00797667"/>
    <w:rsid w:val="007A6DA5"/>
    <w:rsid w:val="007B0F0C"/>
    <w:rsid w:val="007B3D4E"/>
    <w:rsid w:val="007B5604"/>
    <w:rsid w:val="007B5CE0"/>
    <w:rsid w:val="007D042C"/>
    <w:rsid w:val="007D0CB4"/>
    <w:rsid w:val="007D5553"/>
    <w:rsid w:val="007D6FFE"/>
    <w:rsid w:val="007E0568"/>
    <w:rsid w:val="00800063"/>
    <w:rsid w:val="0081268A"/>
    <w:rsid w:val="00816059"/>
    <w:rsid w:val="00821CF7"/>
    <w:rsid w:val="00823C68"/>
    <w:rsid w:val="008275AD"/>
    <w:rsid w:val="0083254A"/>
    <w:rsid w:val="00832F10"/>
    <w:rsid w:val="00835097"/>
    <w:rsid w:val="008377A7"/>
    <w:rsid w:val="00844A0E"/>
    <w:rsid w:val="008469EB"/>
    <w:rsid w:val="00852C91"/>
    <w:rsid w:val="00864363"/>
    <w:rsid w:val="0086436C"/>
    <w:rsid w:val="008700FF"/>
    <w:rsid w:val="00870494"/>
    <w:rsid w:val="008734D0"/>
    <w:rsid w:val="00874277"/>
    <w:rsid w:val="0087797B"/>
    <w:rsid w:val="00880390"/>
    <w:rsid w:val="0088316C"/>
    <w:rsid w:val="008852CF"/>
    <w:rsid w:val="00886755"/>
    <w:rsid w:val="00886E1B"/>
    <w:rsid w:val="00890DA4"/>
    <w:rsid w:val="00896A57"/>
    <w:rsid w:val="00897F53"/>
    <w:rsid w:val="008A0739"/>
    <w:rsid w:val="008A28FC"/>
    <w:rsid w:val="008B00A4"/>
    <w:rsid w:val="008B3E4F"/>
    <w:rsid w:val="008C1668"/>
    <w:rsid w:val="008C449E"/>
    <w:rsid w:val="008C5D62"/>
    <w:rsid w:val="008C7538"/>
    <w:rsid w:val="008D0DF1"/>
    <w:rsid w:val="008D3A06"/>
    <w:rsid w:val="008D767F"/>
    <w:rsid w:val="008E1319"/>
    <w:rsid w:val="008E53EE"/>
    <w:rsid w:val="008F18CD"/>
    <w:rsid w:val="008F4C20"/>
    <w:rsid w:val="009034D5"/>
    <w:rsid w:val="009054CA"/>
    <w:rsid w:val="0091223F"/>
    <w:rsid w:val="0091246B"/>
    <w:rsid w:val="00916284"/>
    <w:rsid w:val="00924ECB"/>
    <w:rsid w:val="00932F4A"/>
    <w:rsid w:val="00935224"/>
    <w:rsid w:val="00935C36"/>
    <w:rsid w:val="0093686F"/>
    <w:rsid w:val="00936D4D"/>
    <w:rsid w:val="009409AD"/>
    <w:rsid w:val="009444C8"/>
    <w:rsid w:val="00951A35"/>
    <w:rsid w:val="00951FEE"/>
    <w:rsid w:val="00954D10"/>
    <w:rsid w:val="00954F8A"/>
    <w:rsid w:val="009567AA"/>
    <w:rsid w:val="0096082D"/>
    <w:rsid w:val="009639C9"/>
    <w:rsid w:val="00964661"/>
    <w:rsid w:val="00965B10"/>
    <w:rsid w:val="009712FF"/>
    <w:rsid w:val="0097329E"/>
    <w:rsid w:val="0097349E"/>
    <w:rsid w:val="009735CD"/>
    <w:rsid w:val="00974C6E"/>
    <w:rsid w:val="00975F8E"/>
    <w:rsid w:val="009802E5"/>
    <w:rsid w:val="009828C5"/>
    <w:rsid w:val="009862CB"/>
    <w:rsid w:val="009A223F"/>
    <w:rsid w:val="009A3583"/>
    <w:rsid w:val="009A789A"/>
    <w:rsid w:val="009B29F8"/>
    <w:rsid w:val="009B3AB1"/>
    <w:rsid w:val="009D1219"/>
    <w:rsid w:val="009D3E20"/>
    <w:rsid w:val="009E2060"/>
    <w:rsid w:val="009E264B"/>
    <w:rsid w:val="009E70F5"/>
    <w:rsid w:val="009E7EB7"/>
    <w:rsid w:val="009F2E6D"/>
    <w:rsid w:val="009F511B"/>
    <w:rsid w:val="009F528F"/>
    <w:rsid w:val="00A02368"/>
    <w:rsid w:val="00A135DE"/>
    <w:rsid w:val="00A32BD4"/>
    <w:rsid w:val="00A36C22"/>
    <w:rsid w:val="00A42FDE"/>
    <w:rsid w:val="00A5397F"/>
    <w:rsid w:val="00A56682"/>
    <w:rsid w:val="00A618D2"/>
    <w:rsid w:val="00A80D5A"/>
    <w:rsid w:val="00A8485A"/>
    <w:rsid w:val="00A850F4"/>
    <w:rsid w:val="00A93198"/>
    <w:rsid w:val="00A96358"/>
    <w:rsid w:val="00AA19DE"/>
    <w:rsid w:val="00AB1E1D"/>
    <w:rsid w:val="00AB663A"/>
    <w:rsid w:val="00AC196A"/>
    <w:rsid w:val="00AC1A02"/>
    <w:rsid w:val="00AC1EC9"/>
    <w:rsid w:val="00AC50FC"/>
    <w:rsid w:val="00AC6242"/>
    <w:rsid w:val="00AD21E2"/>
    <w:rsid w:val="00AD31D8"/>
    <w:rsid w:val="00AD5409"/>
    <w:rsid w:val="00AE1328"/>
    <w:rsid w:val="00AE29A6"/>
    <w:rsid w:val="00AF3396"/>
    <w:rsid w:val="00AF5490"/>
    <w:rsid w:val="00AF6470"/>
    <w:rsid w:val="00B003E1"/>
    <w:rsid w:val="00B052FE"/>
    <w:rsid w:val="00B0684D"/>
    <w:rsid w:val="00B328BB"/>
    <w:rsid w:val="00B34824"/>
    <w:rsid w:val="00B472C0"/>
    <w:rsid w:val="00B544AE"/>
    <w:rsid w:val="00B561ED"/>
    <w:rsid w:val="00B60531"/>
    <w:rsid w:val="00B60679"/>
    <w:rsid w:val="00B64180"/>
    <w:rsid w:val="00B64E30"/>
    <w:rsid w:val="00B80708"/>
    <w:rsid w:val="00B83527"/>
    <w:rsid w:val="00B84953"/>
    <w:rsid w:val="00B950D7"/>
    <w:rsid w:val="00B95641"/>
    <w:rsid w:val="00BA1F72"/>
    <w:rsid w:val="00BB1299"/>
    <w:rsid w:val="00BB35C8"/>
    <w:rsid w:val="00BB5CC2"/>
    <w:rsid w:val="00BC09D1"/>
    <w:rsid w:val="00BD6778"/>
    <w:rsid w:val="00BE28A6"/>
    <w:rsid w:val="00BE6138"/>
    <w:rsid w:val="00BF18F3"/>
    <w:rsid w:val="00BF4826"/>
    <w:rsid w:val="00C02AAB"/>
    <w:rsid w:val="00C05753"/>
    <w:rsid w:val="00C05FEF"/>
    <w:rsid w:val="00C20A50"/>
    <w:rsid w:val="00C248A5"/>
    <w:rsid w:val="00C26581"/>
    <w:rsid w:val="00C34DAD"/>
    <w:rsid w:val="00C35828"/>
    <w:rsid w:val="00C35D52"/>
    <w:rsid w:val="00C42C7D"/>
    <w:rsid w:val="00C457F6"/>
    <w:rsid w:val="00C47262"/>
    <w:rsid w:val="00C55428"/>
    <w:rsid w:val="00C633A3"/>
    <w:rsid w:val="00C67ADC"/>
    <w:rsid w:val="00C74617"/>
    <w:rsid w:val="00C81766"/>
    <w:rsid w:val="00C81B63"/>
    <w:rsid w:val="00C87BE6"/>
    <w:rsid w:val="00C94DE8"/>
    <w:rsid w:val="00CA02CD"/>
    <w:rsid w:val="00CA057A"/>
    <w:rsid w:val="00CA209A"/>
    <w:rsid w:val="00CA6C1B"/>
    <w:rsid w:val="00CA7FA0"/>
    <w:rsid w:val="00CB1BF2"/>
    <w:rsid w:val="00CB286B"/>
    <w:rsid w:val="00CB7CA7"/>
    <w:rsid w:val="00CD47B3"/>
    <w:rsid w:val="00CD5707"/>
    <w:rsid w:val="00CE059F"/>
    <w:rsid w:val="00CE1A4F"/>
    <w:rsid w:val="00CE4D67"/>
    <w:rsid w:val="00CE749F"/>
    <w:rsid w:val="00CF0C9A"/>
    <w:rsid w:val="00CF1A75"/>
    <w:rsid w:val="00D00EB7"/>
    <w:rsid w:val="00D02FDD"/>
    <w:rsid w:val="00D03170"/>
    <w:rsid w:val="00D0597A"/>
    <w:rsid w:val="00D10C4B"/>
    <w:rsid w:val="00D13540"/>
    <w:rsid w:val="00D26A9F"/>
    <w:rsid w:val="00D34FA3"/>
    <w:rsid w:val="00D36886"/>
    <w:rsid w:val="00D549D3"/>
    <w:rsid w:val="00D568D8"/>
    <w:rsid w:val="00D60F71"/>
    <w:rsid w:val="00D733EC"/>
    <w:rsid w:val="00D80780"/>
    <w:rsid w:val="00D90EC0"/>
    <w:rsid w:val="00D917A5"/>
    <w:rsid w:val="00DA000D"/>
    <w:rsid w:val="00DA6445"/>
    <w:rsid w:val="00DB150B"/>
    <w:rsid w:val="00DB5F24"/>
    <w:rsid w:val="00DC6D78"/>
    <w:rsid w:val="00DD297B"/>
    <w:rsid w:val="00DD323B"/>
    <w:rsid w:val="00DE241D"/>
    <w:rsid w:val="00DF3ED6"/>
    <w:rsid w:val="00E01DF6"/>
    <w:rsid w:val="00E0678F"/>
    <w:rsid w:val="00E1067B"/>
    <w:rsid w:val="00E11FE3"/>
    <w:rsid w:val="00E13DDC"/>
    <w:rsid w:val="00E17126"/>
    <w:rsid w:val="00E20A39"/>
    <w:rsid w:val="00E37E86"/>
    <w:rsid w:val="00E43755"/>
    <w:rsid w:val="00E44BB8"/>
    <w:rsid w:val="00E47645"/>
    <w:rsid w:val="00E51B45"/>
    <w:rsid w:val="00E60183"/>
    <w:rsid w:val="00E60C04"/>
    <w:rsid w:val="00E660B8"/>
    <w:rsid w:val="00E671AC"/>
    <w:rsid w:val="00E71542"/>
    <w:rsid w:val="00E72A17"/>
    <w:rsid w:val="00E7393D"/>
    <w:rsid w:val="00E73C82"/>
    <w:rsid w:val="00E85849"/>
    <w:rsid w:val="00E907D8"/>
    <w:rsid w:val="00EA40E8"/>
    <w:rsid w:val="00EA7D39"/>
    <w:rsid w:val="00EB6D38"/>
    <w:rsid w:val="00EC00D8"/>
    <w:rsid w:val="00EC73E3"/>
    <w:rsid w:val="00EC7DAD"/>
    <w:rsid w:val="00ED692C"/>
    <w:rsid w:val="00EE774B"/>
    <w:rsid w:val="00EE7D9D"/>
    <w:rsid w:val="00EF0E61"/>
    <w:rsid w:val="00EF2C82"/>
    <w:rsid w:val="00EF3A46"/>
    <w:rsid w:val="00EF430C"/>
    <w:rsid w:val="00EF4381"/>
    <w:rsid w:val="00EF4FCA"/>
    <w:rsid w:val="00EF5794"/>
    <w:rsid w:val="00F0371C"/>
    <w:rsid w:val="00F04B5D"/>
    <w:rsid w:val="00F14E90"/>
    <w:rsid w:val="00F17660"/>
    <w:rsid w:val="00F25CC1"/>
    <w:rsid w:val="00F31C51"/>
    <w:rsid w:val="00F40F28"/>
    <w:rsid w:val="00F43612"/>
    <w:rsid w:val="00F518D7"/>
    <w:rsid w:val="00F63B58"/>
    <w:rsid w:val="00F65DAD"/>
    <w:rsid w:val="00F71719"/>
    <w:rsid w:val="00F72423"/>
    <w:rsid w:val="00F84512"/>
    <w:rsid w:val="00F846BE"/>
    <w:rsid w:val="00F85E9E"/>
    <w:rsid w:val="00F946BB"/>
    <w:rsid w:val="00FA5F03"/>
    <w:rsid w:val="00FB036F"/>
    <w:rsid w:val="00FB0C0A"/>
    <w:rsid w:val="00FB1A74"/>
    <w:rsid w:val="00FB6761"/>
    <w:rsid w:val="00FB6924"/>
    <w:rsid w:val="00FC27EA"/>
    <w:rsid w:val="00FC55F2"/>
    <w:rsid w:val="00FC63E7"/>
    <w:rsid w:val="00FC7367"/>
    <w:rsid w:val="00FE346B"/>
    <w:rsid w:val="00FE3C2B"/>
    <w:rsid w:val="00FE529E"/>
    <w:rsid w:val="00FE5DE6"/>
    <w:rsid w:val="00FE714B"/>
    <w:rsid w:val="00FF2A05"/>
    <w:rsid w:val="010A6538"/>
    <w:rsid w:val="0112363F"/>
    <w:rsid w:val="012F2443"/>
    <w:rsid w:val="01454572"/>
    <w:rsid w:val="01500117"/>
    <w:rsid w:val="01536978"/>
    <w:rsid w:val="01541EA9"/>
    <w:rsid w:val="015A1D8C"/>
    <w:rsid w:val="015D0D5E"/>
    <w:rsid w:val="01730582"/>
    <w:rsid w:val="017716F4"/>
    <w:rsid w:val="01835353"/>
    <w:rsid w:val="018750D4"/>
    <w:rsid w:val="01883692"/>
    <w:rsid w:val="018856AF"/>
    <w:rsid w:val="01897A84"/>
    <w:rsid w:val="01964270"/>
    <w:rsid w:val="01A249C3"/>
    <w:rsid w:val="01A26771"/>
    <w:rsid w:val="01A3073B"/>
    <w:rsid w:val="01A95C2A"/>
    <w:rsid w:val="01B110AA"/>
    <w:rsid w:val="01B91D0C"/>
    <w:rsid w:val="01C761D7"/>
    <w:rsid w:val="01CE12BE"/>
    <w:rsid w:val="01DD1E9F"/>
    <w:rsid w:val="01F36FCC"/>
    <w:rsid w:val="020E3E06"/>
    <w:rsid w:val="02111B48"/>
    <w:rsid w:val="02160F0D"/>
    <w:rsid w:val="02237B49"/>
    <w:rsid w:val="022E0064"/>
    <w:rsid w:val="02300221"/>
    <w:rsid w:val="02443CCC"/>
    <w:rsid w:val="02447828"/>
    <w:rsid w:val="02467A44"/>
    <w:rsid w:val="024B505A"/>
    <w:rsid w:val="024C5E48"/>
    <w:rsid w:val="026737D7"/>
    <w:rsid w:val="028C5218"/>
    <w:rsid w:val="029F53A6"/>
    <w:rsid w:val="02A12ECC"/>
    <w:rsid w:val="02B20D24"/>
    <w:rsid w:val="02B250DA"/>
    <w:rsid w:val="02BF15A4"/>
    <w:rsid w:val="02DE7C7D"/>
    <w:rsid w:val="03157416"/>
    <w:rsid w:val="032558AB"/>
    <w:rsid w:val="03265180"/>
    <w:rsid w:val="03321D76"/>
    <w:rsid w:val="033C49A3"/>
    <w:rsid w:val="0341645D"/>
    <w:rsid w:val="035B751F"/>
    <w:rsid w:val="035D639B"/>
    <w:rsid w:val="0362070F"/>
    <w:rsid w:val="03764359"/>
    <w:rsid w:val="03773C2D"/>
    <w:rsid w:val="037E320E"/>
    <w:rsid w:val="03802AE2"/>
    <w:rsid w:val="0397794A"/>
    <w:rsid w:val="03991DF6"/>
    <w:rsid w:val="03B86720"/>
    <w:rsid w:val="03CD627D"/>
    <w:rsid w:val="03CF3A69"/>
    <w:rsid w:val="03E40B1B"/>
    <w:rsid w:val="03F139E0"/>
    <w:rsid w:val="03FE4A84"/>
    <w:rsid w:val="040A684F"/>
    <w:rsid w:val="041A5C49"/>
    <w:rsid w:val="041B0A5C"/>
    <w:rsid w:val="041F64DD"/>
    <w:rsid w:val="042042C5"/>
    <w:rsid w:val="04216DD6"/>
    <w:rsid w:val="0442248D"/>
    <w:rsid w:val="0467268B"/>
    <w:rsid w:val="046954E0"/>
    <w:rsid w:val="046E6DDE"/>
    <w:rsid w:val="04893C18"/>
    <w:rsid w:val="049327EB"/>
    <w:rsid w:val="04A47A17"/>
    <w:rsid w:val="04BC3FEE"/>
    <w:rsid w:val="04D255BF"/>
    <w:rsid w:val="04DC4690"/>
    <w:rsid w:val="04F01EE9"/>
    <w:rsid w:val="04F25C61"/>
    <w:rsid w:val="04FC6AE0"/>
    <w:rsid w:val="05094D59"/>
    <w:rsid w:val="0523406D"/>
    <w:rsid w:val="05341E77"/>
    <w:rsid w:val="05595CE0"/>
    <w:rsid w:val="05720B50"/>
    <w:rsid w:val="057C377D"/>
    <w:rsid w:val="05946D18"/>
    <w:rsid w:val="05C0366A"/>
    <w:rsid w:val="05E62919"/>
    <w:rsid w:val="05F94DCD"/>
    <w:rsid w:val="06043E9E"/>
    <w:rsid w:val="060663F2"/>
    <w:rsid w:val="061663CA"/>
    <w:rsid w:val="06224324"/>
    <w:rsid w:val="064B6D66"/>
    <w:rsid w:val="064C314F"/>
    <w:rsid w:val="065344DE"/>
    <w:rsid w:val="065D710A"/>
    <w:rsid w:val="0671705A"/>
    <w:rsid w:val="0680104B"/>
    <w:rsid w:val="06913258"/>
    <w:rsid w:val="06A109A1"/>
    <w:rsid w:val="06D51397"/>
    <w:rsid w:val="06D85DD9"/>
    <w:rsid w:val="06E15F8D"/>
    <w:rsid w:val="070457D8"/>
    <w:rsid w:val="070B300A"/>
    <w:rsid w:val="071579E5"/>
    <w:rsid w:val="0721638A"/>
    <w:rsid w:val="07287718"/>
    <w:rsid w:val="072A7934"/>
    <w:rsid w:val="073065CD"/>
    <w:rsid w:val="074402CA"/>
    <w:rsid w:val="075F6EB2"/>
    <w:rsid w:val="07836248"/>
    <w:rsid w:val="078A0DF5"/>
    <w:rsid w:val="078B414B"/>
    <w:rsid w:val="0790350F"/>
    <w:rsid w:val="07B74F40"/>
    <w:rsid w:val="07C136C9"/>
    <w:rsid w:val="07C80EFB"/>
    <w:rsid w:val="07DF4459"/>
    <w:rsid w:val="07F10452"/>
    <w:rsid w:val="07FA1055"/>
    <w:rsid w:val="07FD6DF7"/>
    <w:rsid w:val="080F2686"/>
    <w:rsid w:val="081E0B1B"/>
    <w:rsid w:val="08471E20"/>
    <w:rsid w:val="085A5FF7"/>
    <w:rsid w:val="085B1B32"/>
    <w:rsid w:val="0862623F"/>
    <w:rsid w:val="087D7F38"/>
    <w:rsid w:val="088272FC"/>
    <w:rsid w:val="089332B7"/>
    <w:rsid w:val="08A2799E"/>
    <w:rsid w:val="08C571E9"/>
    <w:rsid w:val="08C96CD9"/>
    <w:rsid w:val="08F215EC"/>
    <w:rsid w:val="08F651E1"/>
    <w:rsid w:val="090146C5"/>
    <w:rsid w:val="091268D2"/>
    <w:rsid w:val="091F34DF"/>
    <w:rsid w:val="09287EA3"/>
    <w:rsid w:val="09296E41"/>
    <w:rsid w:val="09304FAA"/>
    <w:rsid w:val="09336848"/>
    <w:rsid w:val="093C56FD"/>
    <w:rsid w:val="09410F65"/>
    <w:rsid w:val="0963712E"/>
    <w:rsid w:val="0972111F"/>
    <w:rsid w:val="098F0CBF"/>
    <w:rsid w:val="09931225"/>
    <w:rsid w:val="099A2423"/>
    <w:rsid w:val="09BA6DA4"/>
    <w:rsid w:val="09CB5382"/>
    <w:rsid w:val="09CF47C3"/>
    <w:rsid w:val="09D26061"/>
    <w:rsid w:val="09E0252C"/>
    <w:rsid w:val="09FC6C3A"/>
    <w:rsid w:val="0A0814E6"/>
    <w:rsid w:val="0A333279"/>
    <w:rsid w:val="0A3C34DB"/>
    <w:rsid w:val="0A486323"/>
    <w:rsid w:val="0A5C3C13"/>
    <w:rsid w:val="0A6A629A"/>
    <w:rsid w:val="0A762E91"/>
    <w:rsid w:val="0AAA2B3A"/>
    <w:rsid w:val="0AAA48E8"/>
    <w:rsid w:val="0AB37C41"/>
    <w:rsid w:val="0AB87005"/>
    <w:rsid w:val="0ABA2D7D"/>
    <w:rsid w:val="0ACE4A7B"/>
    <w:rsid w:val="0AD16319"/>
    <w:rsid w:val="0ADB7197"/>
    <w:rsid w:val="0ADD081A"/>
    <w:rsid w:val="0AEA1189"/>
    <w:rsid w:val="0B043FF8"/>
    <w:rsid w:val="0B100BEF"/>
    <w:rsid w:val="0B156206"/>
    <w:rsid w:val="0B41349E"/>
    <w:rsid w:val="0B536D2E"/>
    <w:rsid w:val="0B5C5BE2"/>
    <w:rsid w:val="0B901D30"/>
    <w:rsid w:val="0BA80E28"/>
    <w:rsid w:val="0BAD643E"/>
    <w:rsid w:val="0BAF7C14"/>
    <w:rsid w:val="0BC67F94"/>
    <w:rsid w:val="0BCA5242"/>
    <w:rsid w:val="0BF16E09"/>
    <w:rsid w:val="0BF57395"/>
    <w:rsid w:val="0C0F0EA7"/>
    <w:rsid w:val="0C152235"/>
    <w:rsid w:val="0C203675"/>
    <w:rsid w:val="0C214E95"/>
    <w:rsid w:val="0C232BA4"/>
    <w:rsid w:val="0C2F1549"/>
    <w:rsid w:val="0C3152C1"/>
    <w:rsid w:val="0C3504B5"/>
    <w:rsid w:val="0C3B6140"/>
    <w:rsid w:val="0C430B50"/>
    <w:rsid w:val="0C4843B9"/>
    <w:rsid w:val="0C5B0590"/>
    <w:rsid w:val="0C601702"/>
    <w:rsid w:val="0C605BA6"/>
    <w:rsid w:val="0C684A5B"/>
    <w:rsid w:val="0C801DA5"/>
    <w:rsid w:val="0C8C699B"/>
    <w:rsid w:val="0C923886"/>
    <w:rsid w:val="0CA84E57"/>
    <w:rsid w:val="0CAE6912"/>
    <w:rsid w:val="0CB50187"/>
    <w:rsid w:val="0CCF6888"/>
    <w:rsid w:val="0CF06F2A"/>
    <w:rsid w:val="0CFB767D"/>
    <w:rsid w:val="0CFC5594"/>
    <w:rsid w:val="0D005C6E"/>
    <w:rsid w:val="0D074274"/>
    <w:rsid w:val="0D0C3638"/>
    <w:rsid w:val="0D0C5A9A"/>
    <w:rsid w:val="0D110C4F"/>
    <w:rsid w:val="0D2248CA"/>
    <w:rsid w:val="0D272D95"/>
    <w:rsid w:val="0D562B05"/>
    <w:rsid w:val="0D5F5E5E"/>
    <w:rsid w:val="0D721847"/>
    <w:rsid w:val="0D7D0092"/>
    <w:rsid w:val="0D82437D"/>
    <w:rsid w:val="0D944959"/>
    <w:rsid w:val="0DB31D06"/>
    <w:rsid w:val="0DB37F58"/>
    <w:rsid w:val="0DC10DA5"/>
    <w:rsid w:val="0DCC4856"/>
    <w:rsid w:val="0DD95C10"/>
    <w:rsid w:val="0DDE29C2"/>
    <w:rsid w:val="0DFE11D3"/>
    <w:rsid w:val="0E0F33E0"/>
    <w:rsid w:val="0E10604C"/>
    <w:rsid w:val="0E1E1875"/>
    <w:rsid w:val="0E2F3A82"/>
    <w:rsid w:val="0E3A41D5"/>
    <w:rsid w:val="0E3F3599"/>
    <w:rsid w:val="0E4013EB"/>
    <w:rsid w:val="0E4532A6"/>
    <w:rsid w:val="0E4768C0"/>
    <w:rsid w:val="0E5434E9"/>
    <w:rsid w:val="0E6574A4"/>
    <w:rsid w:val="0E925714"/>
    <w:rsid w:val="0E952805"/>
    <w:rsid w:val="0E96765D"/>
    <w:rsid w:val="0E99714E"/>
    <w:rsid w:val="0EBC4A82"/>
    <w:rsid w:val="0EC266A4"/>
    <w:rsid w:val="0ECA5559"/>
    <w:rsid w:val="0ED14B39"/>
    <w:rsid w:val="0ED85EC8"/>
    <w:rsid w:val="0F026AA1"/>
    <w:rsid w:val="0F031129"/>
    <w:rsid w:val="0F0A004B"/>
    <w:rsid w:val="0F225395"/>
    <w:rsid w:val="0F230706"/>
    <w:rsid w:val="0F493130"/>
    <w:rsid w:val="0F515C7A"/>
    <w:rsid w:val="0F5911E5"/>
    <w:rsid w:val="0F6C4862"/>
    <w:rsid w:val="0FAC4C5F"/>
    <w:rsid w:val="0FB35FED"/>
    <w:rsid w:val="0FB6788B"/>
    <w:rsid w:val="0FB75ADD"/>
    <w:rsid w:val="0FBC7598"/>
    <w:rsid w:val="0FC24482"/>
    <w:rsid w:val="0FC462AB"/>
    <w:rsid w:val="0FC95811"/>
    <w:rsid w:val="0FCE2C6E"/>
    <w:rsid w:val="0FD22C29"/>
    <w:rsid w:val="0FD605C9"/>
    <w:rsid w:val="0FF90AED"/>
    <w:rsid w:val="0FFF7130"/>
    <w:rsid w:val="100920B1"/>
    <w:rsid w:val="1010343F"/>
    <w:rsid w:val="101747CE"/>
    <w:rsid w:val="101A42BE"/>
    <w:rsid w:val="101E3DAE"/>
    <w:rsid w:val="103A226A"/>
    <w:rsid w:val="104A4BA3"/>
    <w:rsid w:val="107514F4"/>
    <w:rsid w:val="10757746"/>
    <w:rsid w:val="107E2A9F"/>
    <w:rsid w:val="108C51BC"/>
    <w:rsid w:val="108F6A5A"/>
    <w:rsid w:val="109329DB"/>
    <w:rsid w:val="109E5727"/>
    <w:rsid w:val="10A43CE3"/>
    <w:rsid w:val="10B22749"/>
    <w:rsid w:val="10EC0872"/>
    <w:rsid w:val="110C1E59"/>
    <w:rsid w:val="110F36F7"/>
    <w:rsid w:val="111156C1"/>
    <w:rsid w:val="11140D0D"/>
    <w:rsid w:val="11274EE5"/>
    <w:rsid w:val="11335637"/>
    <w:rsid w:val="1134315E"/>
    <w:rsid w:val="114A0BD3"/>
    <w:rsid w:val="11621A79"/>
    <w:rsid w:val="11665A0D"/>
    <w:rsid w:val="116C28F7"/>
    <w:rsid w:val="116F23E8"/>
    <w:rsid w:val="117F14CD"/>
    <w:rsid w:val="11867E5D"/>
    <w:rsid w:val="119E1487"/>
    <w:rsid w:val="11A93B4C"/>
    <w:rsid w:val="11B60016"/>
    <w:rsid w:val="11DF131B"/>
    <w:rsid w:val="120314AE"/>
    <w:rsid w:val="12343757"/>
    <w:rsid w:val="124B075F"/>
    <w:rsid w:val="1255782F"/>
    <w:rsid w:val="125A6BF4"/>
    <w:rsid w:val="125C6E10"/>
    <w:rsid w:val="126637EB"/>
    <w:rsid w:val="126F08F1"/>
    <w:rsid w:val="12771554"/>
    <w:rsid w:val="128C0992"/>
    <w:rsid w:val="1299596E"/>
    <w:rsid w:val="12A020CC"/>
    <w:rsid w:val="12A762DD"/>
    <w:rsid w:val="12BC340B"/>
    <w:rsid w:val="12CD386A"/>
    <w:rsid w:val="12DB7D35"/>
    <w:rsid w:val="12E32EDE"/>
    <w:rsid w:val="12E67D1F"/>
    <w:rsid w:val="12ED7A68"/>
    <w:rsid w:val="12FB4D13"/>
    <w:rsid w:val="130B4C68"/>
    <w:rsid w:val="13113D52"/>
    <w:rsid w:val="132A0CBC"/>
    <w:rsid w:val="13637D2A"/>
    <w:rsid w:val="136F6FB6"/>
    <w:rsid w:val="137B5074"/>
    <w:rsid w:val="1384354D"/>
    <w:rsid w:val="13893C35"/>
    <w:rsid w:val="138A5A29"/>
    <w:rsid w:val="138E4DA7"/>
    <w:rsid w:val="13B61B7B"/>
    <w:rsid w:val="13C92283"/>
    <w:rsid w:val="13D749A0"/>
    <w:rsid w:val="13E323A5"/>
    <w:rsid w:val="13EF4B3F"/>
    <w:rsid w:val="14013AD3"/>
    <w:rsid w:val="14074B59"/>
    <w:rsid w:val="14092680"/>
    <w:rsid w:val="14237BE5"/>
    <w:rsid w:val="1424570B"/>
    <w:rsid w:val="142851FC"/>
    <w:rsid w:val="145F6743"/>
    <w:rsid w:val="147E306D"/>
    <w:rsid w:val="148368D6"/>
    <w:rsid w:val="148D1503"/>
    <w:rsid w:val="149E0ABD"/>
    <w:rsid w:val="14AC3033"/>
    <w:rsid w:val="14C50C9C"/>
    <w:rsid w:val="14C91E0F"/>
    <w:rsid w:val="14CF1B1B"/>
    <w:rsid w:val="14CF7553"/>
    <w:rsid w:val="14EF1875"/>
    <w:rsid w:val="14FE7D0A"/>
    <w:rsid w:val="1525173B"/>
    <w:rsid w:val="15316296"/>
    <w:rsid w:val="154C14DD"/>
    <w:rsid w:val="15515796"/>
    <w:rsid w:val="15783F61"/>
    <w:rsid w:val="159E329B"/>
    <w:rsid w:val="15A4176F"/>
    <w:rsid w:val="15A959CF"/>
    <w:rsid w:val="15B50D11"/>
    <w:rsid w:val="15B77EBD"/>
    <w:rsid w:val="15BB3E4D"/>
    <w:rsid w:val="15D24D4D"/>
    <w:rsid w:val="15E72E94"/>
    <w:rsid w:val="15E769F0"/>
    <w:rsid w:val="16117F11"/>
    <w:rsid w:val="1613309D"/>
    <w:rsid w:val="16210154"/>
    <w:rsid w:val="162B7203"/>
    <w:rsid w:val="16377978"/>
    <w:rsid w:val="16612C47"/>
    <w:rsid w:val="167B560E"/>
    <w:rsid w:val="16BE1E47"/>
    <w:rsid w:val="1720665E"/>
    <w:rsid w:val="172577D0"/>
    <w:rsid w:val="172872C1"/>
    <w:rsid w:val="172F68A1"/>
    <w:rsid w:val="173405AB"/>
    <w:rsid w:val="174727ED"/>
    <w:rsid w:val="17914E66"/>
    <w:rsid w:val="17925102"/>
    <w:rsid w:val="17A728DB"/>
    <w:rsid w:val="17B46DA6"/>
    <w:rsid w:val="17DB07D7"/>
    <w:rsid w:val="17E92EF4"/>
    <w:rsid w:val="18133ACD"/>
    <w:rsid w:val="1844637C"/>
    <w:rsid w:val="1849373C"/>
    <w:rsid w:val="18495C6A"/>
    <w:rsid w:val="18585984"/>
    <w:rsid w:val="186A3333"/>
    <w:rsid w:val="187C78C4"/>
    <w:rsid w:val="187F1162"/>
    <w:rsid w:val="18807FFC"/>
    <w:rsid w:val="189E3CDE"/>
    <w:rsid w:val="18A60DE5"/>
    <w:rsid w:val="18BA2933"/>
    <w:rsid w:val="18C33745"/>
    <w:rsid w:val="18CC5CBE"/>
    <w:rsid w:val="18D70F9E"/>
    <w:rsid w:val="18D771F0"/>
    <w:rsid w:val="18EE2DF4"/>
    <w:rsid w:val="18FA3E5B"/>
    <w:rsid w:val="192166BD"/>
    <w:rsid w:val="193A152D"/>
    <w:rsid w:val="194303E2"/>
    <w:rsid w:val="195720DF"/>
    <w:rsid w:val="196C1720"/>
    <w:rsid w:val="196C2483"/>
    <w:rsid w:val="197E141A"/>
    <w:rsid w:val="19853F2F"/>
    <w:rsid w:val="199D251F"/>
    <w:rsid w:val="19E25E4D"/>
    <w:rsid w:val="19E33973"/>
    <w:rsid w:val="19E35721"/>
    <w:rsid w:val="1A0062D3"/>
    <w:rsid w:val="1A0E6C42"/>
    <w:rsid w:val="1A11228E"/>
    <w:rsid w:val="1A2E1092"/>
    <w:rsid w:val="1A5F2FF9"/>
    <w:rsid w:val="1A7647E7"/>
    <w:rsid w:val="1A7F5449"/>
    <w:rsid w:val="1A893699"/>
    <w:rsid w:val="1A975A4B"/>
    <w:rsid w:val="1AA71539"/>
    <w:rsid w:val="1AAC0209"/>
    <w:rsid w:val="1AAE5D2F"/>
    <w:rsid w:val="1AB84DFF"/>
    <w:rsid w:val="1AB86BAD"/>
    <w:rsid w:val="1AD212A8"/>
    <w:rsid w:val="1AD31C39"/>
    <w:rsid w:val="1AEF6A73"/>
    <w:rsid w:val="1B0D17E8"/>
    <w:rsid w:val="1B141319"/>
    <w:rsid w:val="1B281F85"/>
    <w:rsid w:val="1B333503"/>
    <w:rsid w:val="1B3950CA"/>
    <w:rsid w:val="1B46065D"/>
    <w:rsid w:val="1B4A3CA9"/>
    <w:rsid w:val="1B55264E"/>
    <w:rsid w:val="1B644941"/>
    <w:rsid w:val="1B682381"/>
    <w:rsid w:val="1B7F1217"/>
    <w:rsid w:val="1B886580"/>
    <w:rsid w:val="1B8A679C"/>
    <w:rsid w:val="1B8B05F0"/>
    <w:rsid w:val="1B8C2514"/>
    <w:rsid w:val="1B920FD2"/>
    <w:rsid w:val="1B996667"/>
    <w:rsid w:val="1B9C027D"/>
    <w:rsid w:val="1BA809D0"/>
    <w:rsid w:val="1BAD238D"/>
    <w:rsid w:val="1BD01CD5"/>
    <w:rsid w:val="1BD60341"/>
    <w:rsid w:val="1BD9502D"/>
    <w:rsid w:val="1BDF56C5"/>
    <w:rsid w:val="1BFF1492"/>
    <w:rsid w:val="1C00080C"/>
    <w:rsid w:val="1C314E69"/>
    <w:rsid w:val="1C422BD3"/>
    <w:rsid w:val="1C427076"/>
    <w:rsid w:val="1C4E0CFD"/>
    <w:rsid w:val="1C4E77C9"/>
    <w:rsid w:val="1C6F14EE"/>
    <w:rsid w:val="1C812B5C"/>
    <w:rsid w:val="1C972ECE"/>
    <w:rsid w:val="1C9B0535"/>
    <w:rsid w:val="1CEE2D5A"/>
    <w:rsid w:val="1CF00880"/>
    <w:rsid w:val="1CFD4D4B"/>
    <w:rsid w:val="1D152095"/>
    <w:rsid w:val="1D187DD7"/>
    <w:rsid w:val="1D24052A"/>
    <w:rsid w:val="1D2F4193"/>
    <w:rsid w:val="1D486DD5"/>
    <w:rsid w:val="1D750D86"/>
    <w:rsid w:val="1D772D50"/>
    <w:rsid w:val="1D8A2A83"/>
    <w:rsid w:val="1D9F5E03"/>
    <w:rsid w:val="1DA63635"/>
    <w:rsid w:val="1DA84987"/>
    <w:rsid w:val="1DC046F7"/>
    <w:rsid w:val="1DC7696E"/>
    <w:rsid w:val="1DCA10D2"/>
    <w:rsid w:val="1DE81558"/>
    <w:rsid w:val="1DF3687A"/>
    <w:rsid w:val="1DFF5378"/>
    <w:rsid w:val="1E002D45"/>
    <w:rsid w:val="1E05035C"/>
    <w:rsid w:val="1E175127"/>
    <w:rsid w:val="1E3B1FCF"/>
    <w:rsid w:val="1E873CC8"/>
    <w:rsid w:val="1E894AE9"/>
    <w:rsid w:val="1E962052"/>
    <w:rsid w:val="1EA91422"/>
    <w:rsid w:val="1EB4768C"/>
    <w:rsid w:val="1EB678A8"/>
    <w:rsid w:val="1EBD29E4"/>
    <w:rsid w:val="1EC91389"/>
    <w:rsid w:val="1F01510E"/>
    <w:rsid w:val="1F1620F4"/>
    <w:rsid w:val="1F1A244F"/>
    <w:rsid w:val="1F1A3993"/>
    <w:rsid w:val="1F2B3DF2"/>
    <w:rsid w:val="1F372A70"/>
    <w:rsid w:val="1F486752"/>
    <w:rsid w:val="1F51312D"/>
    <w:rsid w:val="1F706947"/>
    <w:rsid w:val="1F722D57"/>
    <w:rsid w:val="1FAA1080"/>
    <w:rsid w:val="1FAF3A62"/>
    <w:rsid w:val="1FB57B5F"/>
    <w:rsid w:val="1FB72576"/>
    <w:rsid w:val="1FD64F56"/>
    <w:rsid w:val="1FF40688"/>
    <w:rsid w:val="200A3A07"/>
    <w:rsid w:val="200C59D1"/>
    <w:rsid w:val="20256A93"/>
    <w:rsid w:val="20514B82"/>
    <w:rsid w:val="20531417"/>
    <w:rsid w:val="20743577"/>
    <w:rsid w:val="20943C19"/>
    <w:rsid w:val="20A420AE"/>
    <w:rsid w:val="20A976C4"/>
    <w:rsid w:val="20B35E4D"/>
    <w:rsid w:val="20B54B1F"/>
    <w:rsid w:val="20C26D90"/>
    <w:rsid w:val="20FC3C98"/>
    <w:rsid w:val="21022930"/>
    <w:rsid w:val="212A1E87"/>
    <w:rsid w:val="212B00D9"/>
    <w:rsid w:val="214B077B"/>
    <w:rsid w:val="214E4081"/>
    <w:rsid w:val="215533A8"/>
    <w:rsid w:val="21621621"/>
    <w:rsid w:val="21701F90"/>
    <w:rsid w:val="217952E8"/>
    <w:rsid w:val="217A4BBD"/>
    <w:rsid w:val="217C26E3"/>
    <w:rsid w:val="218614E9"/>
    <w:rsid w:val="218872DA"/>
    <w:rsid w:val="21983295"/>
    <w:rsid w:val="219C2D85"/>
    <w:rsid w:val="21AC3BEE"/>
    <w:rsid w:val="21BA6329"/>
    <w:rsid w:val="21C34AF1"/>
    <w:rsid w:val="21CD6B24"/>
    <w:rsid w:val="21CF315A"/>
    <w:rsid w:val="21D40771"/>
    <w:rsid w:val="21F032CF"/>
    <w:rsid w:val="22031056"/>
    <w:rsid w:val="220C5E7A"/>
    <w:rsid w:val="22205764"/>
    <w:rsid w:val="222114DC"/>
    <w:rsid w:val="222A213F"/>
    <w:rsid w:val="222C235B"/>
    <w:rsid w:val="223B2916"/>
    <w:rsid w:val="2259234A"/>
    <w:rsid w:val="225C2514"/>
    <w:rsid w:val="22614F44"/>
    <w:rsid w:val="227C782C"/>
    <w:rsid w:val="22A30143"/>
    <w:rsid w:val="22A5210D"/>
    <w:rsid w:val="22B42350"/>
    <w:rsid w:val="22C76548"/>
    <w:rsid w:val="22E15102"/>
    <w:rsid w:val="22EC0514"/>
    <w:rsid w:val="22F3095B"/>
    <w:rsid w:val="23360FB7"/>
    <w:rsid w:val="23426EE9"/>
    <w:rsid w:val="23614286"/>
    <w:rsid w:val="236A2761"/>
    <w:rsid w:val="23721DF1"/>
    <w:rsid w:val="237C10C0"/>
    <w:rsid w:val="23843AD1"/>
    <w:rsid w:val="2389558B"/>
    <w:rsid w:val="239006C7"/>
    <w:rsid w:val="23955CDE"/>
    <w:rsid w:val="239C2ADB"/>
    <w:rsid w:val="23DE7685"/>
    <w:rsid w:val="24066BDB"/>
    <w:rsid w:val="24087994"/>
    <w:rsid w:val="241E2177"/>
    <w:rsid w:val="24207C9D"/>
    <w:rsid w:val="243948BB"/>
    <w:rsid w:val="24466FD8"/>
    <w:rsid w:val="24572F93"/>
    <w:rsid w:val="245A6346"/>
    <w:rsid w:val="246A0F18"/>
    <w:rsid w:val="247F739F"/>
    <w:rsid w:val="248D10AB"/>
    <w:rsid w:val="249944D1"/>
    <w:rsid w:val="24C26784"/>
    <w:rsid w:val="24C4748D"/>
    <w:rsid w:val="24C50845"/>
    <w:rsid w:val="24E24091"/>
    <w:rsid w:val="25090731"/>
    <w:rsid w:val="2524556B"/>
    <w:rsid w:val="252B4B4C"/>
    <w:rsid w:val="252C41B1"/>
    <w:rsid w:val="2533755C"/>
    <w:rsid w:val="254479BB"/>
    <w:rsid w:val="254D6E53"/>
    <w:rsid w:val="25520CCD"/>
    <w:rsid w:val="25A22934"/>
    <w:rsid w:val="25B06DFF"/>
    <w:rsid w:val="25CB4399"/>
    <w:rsid w:val="25E044AE"/>
    <w:rsid w:val="25F27417"/>
    <w:rsid w:val="25F50CB6"/>
    <w:rsid w:val="262B46D7"/>
    <w:rsid w:val="26321F0A"/>
    <w:rsid w:val="26437C73"/>
    <w:rsid w:val="2661634B"/>
    <w:rsid w:val="2665408D"/>
    <w:rsid w:val="2677273A"/>
    <w:rsid w:val="267E514F"/>
    <w:rsid w:val="26881B2A"/>
    <w:rsid w:val="268D0EEE"/>
    <w:rsid w:val="268F2EB8"/>
    <w:rsid w:val="26AF258B"/>
    <w:rsid w:val="26B3342C"/>
    <w:rsid w:val="26B648E9"/>
    <w:rsid w:val="26B96187"/>
    <w:rsid w:val="26D44D6F"/>
    <w:rsid w:val="26ED2866"/>
    <w:rsid w:val="26F96584"/>
    <w:rsid w:val="2705317A"/>
    <w:rsid w:val="270A253F"/>
    <w:rsid w:val="27133AE9"/>
    <w:rsid w:val="27135897"/>
    <w:rsid w:val="27257379"/>
    <w:rsid w:val="27351CB2"/>
    <w:rsid w:val="274F0899"/>
    <w:rsid w:val="27545EB0"/>
    <w:rsid w:val="275C6038"/>
    <w:rsid w:val="277B343D"/>
    <w:rsid w:val="278E4F1E"/>
    <w:rsid w:val="2790513A"/>
    <w:rsid w:val="27BF4B84"/>
    <w:rsid w:val="27DF39CB"/>
    <w:rsid w:val="27E160ED"/>
    <w:rsid w:val="27E70AD2"/>
    <w:rsid w:val="27E92A9C"/>
    <w:rsid w:val="27F03E2A"/>
    <w:rsid w:val="27F51441"/>
    <w:rsid w:val="27F531EF"/>
    <w:rsid w:val="28203476"/>
    <w:rsid w:val="28243AD4"/>
    <w:rsid w:val="28365C04"/>
    <w:rsid w:val="28667C49"/>
    <w:rsid w:val="286D0FD7"/>
    <w:rsid w:val="287E31E4"/>
    <w:rsid w:val="288E0F4E"/>
    <w:rsid w:val="289522DC"/>
    <w:rsid w:val="28AF15F0"/>
    <w:rsid w:val="28D04EA7"/>
    <w:rsid w:val="28D9666D"/>
    <w:rsid w:val="28DB0637"/>
    <w:rsid w:val="28E15521"/>
    <w:rsid w:val="28EC1992"/>
    <w:rsid w:val="28F45446"/>
    <w:rsid w:val="2907142C"/>
    <w:rsid w:val="291D29FD"/>
    <w:rsid w:val="29211DC2"/>
    <w:rsid w:val="292A511A"/>
    <w:rsid w:val="29564161"/>
    <w:rsid w:val="296C7758"/>
    <w:rsid w:val="29883BEF"/>
    <w:rsid w:val="299F1664"/>
    <w:rsid w:val="29BD1AEA"/>
    <w:rsid w:val="29C015DB"/>
    <w:rsid w:val="29C208F0"/>
    <w:rsid w:val="29DF15BE"/>
    <w:rsid w:val="2A067935"/>
    <w:rsid w:val="2A247DBB"/>
    <w:rsid w:val="2A314286"/>
    <w:rsid w:val="2A41096D"/>
    <w:rsid w:val="2A570191"/>
    <w:rsid w:val="2A571F3F"/>
    <w:rsid w:val="2A5A37DD"/>
    <w:rsid w:val="2AA8279A"/>
    <w:rsid w:val="2ABE1FBE"/>
    <w:rsid w:val="2AC60E73"/>
    <w:rsid w:val="2AF552B4"/>
    <w:rsid w:val="2B006133"/>
    <w:rsid w:val="2B0D0850"/>
    <w:rsid w:val="2B0D4CF3"/>
    <w:rsid w:val="2B345DDC"/>
    <w:rsid w:val="2B365FF8"/>
    <w:rsid w:val="2B366200"/>
    <w:rsid w:val="2B3B53BD"/>
    <w:rsid w:val="2B5D17D7"/>
    <w:rsid w:val="2B5E72FD"/>
    <w:rsid w:val="2B633ADC"/>
    <w:rsid w:val="2B82123D"/>
    <w:rsid w:val="2B9872F8"/>
    <w:rsid w:val="2BDD0222"/>
    <w:rsid w:val="2BEC66B7"/>
    <w:rsid w:val="2BED28C7"/>
    <w:rsid w:val="2BFC02D1"/>
    <w:rsid w:val="2C0719F0"/>
    <w:rsid w:val="2C077995"/>
    <w:rsid w:val="2C1F6654"/>
    <w:rsid w:val="2C2E7758"/>
    <w:rsid w:val="2C3F0EDD"/>
    <w:rsid w:val="2C615316"/>
    <w:rsid w:val="2C657298"/>
    <w:rsid w:val="2C70553A"/>
    <w:rsid w:val="2C7D1A05"/>
    <w:rsid w:val="2C7F39CF"/>
    <w:rsid w:val="2C8C39F6"/>
    <w:rsid w:val="2CAD4098"/>
    <w:rsid w:val="2CE35D0C"/>
    <w:rsid w:val="2D0143E4"/>
    <w:rsid w:val="2D0619FA"/>
    <w:rsid w:val="2D0637A8"/>
    <w:rsid w:val="2D0A363A"/>
    <w:rsid w:val="2D2D51D9"/>
    <w:rsid w:val="2D2F71A3"/>
    <w:rsid w:val="2D411C4E"/>
    <w:rsid w:val="2D4349FC"/>
    <w:rsid w:val="2D435A68"/>
    <w:rsid w:val="2D450775"/>
    <w:rsid w:val="2D4B685B"/>
    <w:rsid w:val="2D4C1B03"/>
    <w:rsid w:val="2D4F33A1"/>
    <w:rsid w:val="2D686211"/>
    <w:rsid w:val="2D6D1A79"/>
    <w:rsid w:val="2D727090"/>
    <w:rsid w:val="2D8A43D9"/>
    <w:rsid w:val="2D905576"/>
    <w:rsid w:val="2D986AF6"/>
    <w:rsid w:val="2DA31D38"/>
    <w:rsid w:val="2DA336ED"/>
    <w:rsid w:val="2DAA05D8"/>
    <w:rsid w:val="2DC85380"/>
    <w:rsid w:val="2DCA2A28"/>
    <w:rsid w:val="2DCE1B55"/>
    <w:rsid w:val="2DE25FC3"/>
    <w:rsid w:val="2DFF6B75"/>
    <w:rsid w:val="2E132621"/>
    <w:rsid w:val="2E216586"/>
    <w:rsid w:val="2E254102"/>
    <w:rsid w:val="2E3569FF"/>
    <w:rsid w:val="2E444588"/>
    <w:rsid w:val="2E494294"/>
    <w:rsid w:val="2E552C39"/>
    <w:rsid w:val="2E755089"/>
    <w:rsid w:val="2E7F1A64"/>
    <w:rsid w:val="2E813A2E"/>
    <w:rsid w:val="2E821F10"/>
    <w:rsid w:val="2E8B21B7"/>
    <w:rsid w:val="2E912571"/>
    <w:rsid w:val="2E974057"/>
    <w:rsid w:val="2E9F315C"/>
    <w:rsid w:val="2EA65243"/>
    <w:rsid w:val="2EA9281C"/>
    <w:rsid w:val="2EB37960"/>
    <w:rsid w:val="2EC102CF"/>
    <w:rsid w:val="2EF83D76"/>
    <w:rsid w:val="2F041F69"/>
    <w:rsid w:val="2F0B154A"/>
    <w:rsid w:val="2F0E4B96"/>
    <w:rsid w:val="2F120B2A"/>
    <w:rsid w:val="2F1A353B"/>
    <w:rsid w:val="2F1F6DA3"/>
    <w:rsid w:val="2F2E38F9"/>
    <w:rsid w:val="2F2F5238"/>
    <w:rsid w:val="2F436F36"/>
    <w:rsid w:val="2F452CAE"/>
    <w:rsid w:val="2F6649D2"/>
    <w:rsid w:val="2F807842"/>
    <w:rsid w:val="2FA07EE4"/>
    <w:rsid w:val="2FA15A0A"/>
    <w:rsid w:val="2FA379D4"/>
    <w:rsid w:val="2FB27C17"/>
    <w:rsid w:val="2FB90FA6"/>
    <w:rsid w:val="2FBB4D1E"/>
    <w:rsid w:val="2FD45DE0"/>
    <w:rsid w:val="2FF3270A"/>
    <w:rsid w:val="2FFD70E5"/>
    <w:rsid w:val="30072EFD"/>
    <w:rsid w:val="30085A89"/>
    <w:rsid w:val="30135523"/>
    <w:rsid w:val="3014442E"/>
    <w:rsid w:val="301729F2"/>
    <w:rsid w:val="301B57BD"/>
    <w:rsid w:val="30347DA4"/>
    <w:rsid w:val="3046275B"/>
    <w:rsid w:val="305331A8"/>
    <w:rsid w:val="30711068"/>
    <w:rsid w:val="307F7AFA"/>
    <w:rsid w:val="309A2B85"/>
    <w:rsid w:val="30B07949"/>
    <w:rsid w:val="30D42A97"/>
    <w:rsid w:val="30E20088"/>
    <w:rsid w:val="310D475F"/>
    <w:rsid w:val="31102E48"/>
    <w:rsid w:val="31150FA9"/>
    <w:rsid w:val="311A0CF9"/>
    <w:rsid w:val="311A5A74"/>
    <w:rsid w:val="311D7312"/>
    <w:rsid w:val="312468F3"/>
    <w:rsid w:val="313308E4"/>
    <w:rsid w:val="31534978"/>
    <w:rsid w:val="315F6EB9"/>
    <w:rsid w:val="31653193"/>
    <w:rsid w:val="31927D00"/>
    <w:rsid w:val="31BC6B2B"/>
    <w:rsid w:val="31C53C32"/>
    <w:rsid w:val="31D200FD"/>
    <w:rsid w:val="31D8203D"/>
    <w:rsid w:val="31D976DD"/>
    <w:rsid w:val="31E43CC1"/>
    <w:rsid w:val="31E87920"/>
    <w:rsid w:val="31FE0EF2"/>
    <w:rsid w:val="32132BEF"/>
    <w:rsid w:val="32261770"/>
    <w:rsid w:val="322C3CB1"/>
    <w:rsid w:val="325B7E6C"/>
    <w:rsid w:val="325C3658"/>
    <w:rsid w:val="32700042"/>
    <w:rsid w:val="32780CA4"/>
    <w:rsid w:val="32816E64"/>
    <w:rsid w:val="3281717C"/>
    <w:rsid w:val="32AA2E28"/>
    <w:rsid w:val="32B85545"/>
    <w:rsid w:val="32DA54BB"/>
    <w:rsid w:val="32DD144F"/>
    <w:rsid w:val="32FB17B4"/>
    <w:rsid w:val="33072CF4"/>
    <w:rsid w:val="3308777A"/>
    <w:rsid w:val="3317670F"/>
    <w:rsid w:val="331C1F78"/>
    <w:rsid w:val="332C482A"/>
    <w:rsid w:val="333948D8"/>
    <w:rsid w:val="336456CD"/>
    <w:rsid w:val="33680D19"/>
    <w:rsid w:val="339715FE"/>
    <w:rsid w:val="33A1247D"/>
    <w:rsid w:val="33A51F6D"/>
    <w:rsid w:val="33A663C1"/>
    <w:rsid w:val="33AE5013"/>
    <w:rsid w:val="33B850E7"/>
    <w:rsid w:val="33E83C08"/>
    <w:rsid w:val="33EA7980"/>
    <w:rsid w:val="33EF143A"/>
    <w:rsid w:val="33F94067"/>
    <w:rsid w:val="341113B0"/>
    <w:rsid w:val="34130C0E"/>
    <w:rsid w:val="341F5F58"/>
    <w:rsid w:val="34403A44"/>
    <w:rsid w:val="345B1148"/>
    <w:rsid w:val="34675474"/>
    <w:rsid w:val="34677222"/>
    <w:rsid w:val="346E05B1"/>
    <w:rsid w:val="349260CF"/>
    <w:rsid w:val="349D6F1D"/>
    <w:rsid w:val="34A42225"/>
    <w:rsid w:val="34BA15FF"/>
    <w:rsid w:val="34BB3A10"/>
    <w:rsid w:val="34D60535"/>
    <w:rsid w:val="34E61A2F"/>
    <w:rsid w:val="34E84E24"/>
    <w:rsid w:val="34F52A80"/>
    <w:rsid w:val="35020CF9"/>
    <w:rsid w:val="350727B3"/>
    <w:rsid w:val="35150A2C"/>
    <w:rsid w:val="35260E8C"/>
    <w:rsid w:val="352670DE"/>
    <w:rsid w:val="352D221A"/>
    <w:rsid w:val="35335357"/>
    <w:rsid w:val="35352E7D"/>
    <w:rsid w:val="353D61D5"/>
    <w:rsid w:val="353E4427"/>
    <w:rsid w:val="354E2190"/>
    <w:rsid w:val="35586B6B"/>
    <w:rsid w:val="355A1FDF"/>
    <w:rsid w:val="355F7EFA"/>
    <w:rsid w:val="357C0AAC"/>
    <w:rsid w:val="357C7F4E"/>
    <w:rsid w:val="358643DE"/>
    <w:rsid w:val="3592207D"/>
    <w:rsid w:val="35981787"/>
    <w:rsid w:val="35A3428A"/>
    <w:rsid w:val="35AB75E3"/>
    <w:rsid w:val="35BF159A"/>
    <w:rsid w:val="35C42453"/>
    <w:rsid w:val="35DE2B99"/>
    <w:rsid w:val="35EA3ADE"/>
    <w:rsid w:val="35ED7BFB"/>
    <w:rsid w:val="35EF4E1B"/>
    <w:rsid w:val="35F76384"/>
    <w:rsid w:val="35FB0615"/>
    <w:rsid w:val="35FB40C6"/>
    <w:rsid w:val="361E6007"/>
    <w:rsid w:val="363C648D"/>
    <w:rsid w:val="363D46DF"/>
    <w:rsid w:val="364041CF"/>
    <w:rsid w:val="36415851"/>
    <w:rsid w:val="36445757"/>
    <w:rsid w:val="365B387E"/>
    <w:rsid w:val="365E28A7"/>
    <w:rsid w:val="366C4FC4"/>
    <w:rsid w:val="366D6047"/>
    <w:rsid w:val="36716136"/>
    <w:rsid w:val="3676374D"/>
    <w:rsid w:val="3680281D"/>
    <w:rsid w:val="36962041"/>
    <w:rsid w:val="36B83D65"/>
    <w:rsid w:val="37022F00"/>
    <w:rsid w:val="3705167A"/>
    <w:rsid w:val="371511B8"/>
    <w:rsid w:val="371D62BE"/>
    <w:rsid w:val="3724764D"/>
    <w:rsid w:val="372A4537"/>
    <w:rsid w:val="3744384B"/>
    <w:rsid w:val="37465815"/>
    <w:rsid w:val="375842D9"/>
    <w:rsid w:val="375D7A2B"/>
    <w:rsid w:val="376E6B1A"/>
    <w:rsid w:val="37712166"/>
    <w:rsid w:val="378123A9"/>
    <w:rsid w:val="378D6FA0"/>
    <w:rsid w:val="37A4253C"/>
    <w:rsid w:val="37A442EA"/>
    <w:rsid w:val="37BF1123"/>
    <w:rsid w:val="37DF5322"/>
    <w:rsid w:val="37E1109A"/>
    <w:rsid w:val="37E66CE8"/>
    <w:rsid w:val="37EB2D52"/>
    <w:rsid w:val="380B6117"/>
    <w:rsid w:val="3810197F"/>
    <w:rsid w:val="38196A86"/>
    <w:rsid w:val="381979D3"/>
    <w:rsid w:val="38284F1B"/>
    <w:rsid w:val="382C4A0B"/>
    <w:rsid w:val="383438BF"/>
    <w:rsid w:val="384004B6"/>
    <w:rsid w:val="384973E2"/>
    <w:rsid w:val="38561184"/>
    <w:rsid w:val="38590920"/>
    <w:rsid w:val="38650B2B"/>
    <w:rsid w:val="386B4E07"/>
    <w:rsid w:val="38750761"/>
    <w:rsid w:val="38A10829"/>
    <w:rsid w:val="38AD71CE"/>
    <w:rsid w:val="38B14F10"/>
    <w:rsid w:val="38B22A36"/>
    <w:rsid w:val="38C22C79"/>
    <w:rsid w:val="38D26C34"/>
    <w:rsid w:val="38FE5C7B"/>
    <w:rsid w:val="390E5EBF"/>
    <w:rsid w:val="39144F66"/>
    <w:rsid w:val="39730417"/>
    <w:rsid w:val="39846181"/>
    <w:rsid w:val="39861EF9"/>
    <w:rsid w:val="399860D0"/>
    <w:rsid w:val="39A544BC"/>
    <w:rsid w:val="39A607ED"/>
    <w:rsid w:val="39D32C64"/>
    <w:rsid w:val="39DC5FBD"/>
    <w:rsid w:val="39E2653D"/>
    <w:rsid w:val="39E430C3"/>
    <w:rsid w:val="39E92488"/>
    <w:rsid w:val="39EB26A4"/>
    <w:rsid w:val="39F2758E"/>
    <w:rsid w:val="39F5243C"/>
    <w:rsid w:val="3A0021AC"/>
    <w:rsid w:val="3A39340F"/>
    <w:rsid w:val="3A4727D2"/>
    <w:rsid w:val="3A7206CF"/>
    <w:rsid w:val="3A816B64"/>
    <w:rsid w:val="3A8E4BBF"/>
    <w:rsid w:val="3AA30888"/>
    <w:rsid w:val="3AAA2432"/>
    <w:rsid w:val="3ABE3914"/>
    <w:rsid w:val="3AC84793"/>
    <w:rsid w:val="3ACC6031"/>
    <w:rsid w:val="3AD273C0"/>
    <w:rsid w:val="3AE35129"/>
    <w:rsid w:val="3AE55345"/>
    <w:rsid w:val="3AEF1D20"/>
    <w:rsid w:val="3AF15A98"/>
    <w:rsid w:val="3AFB2473"/>
    <w:rsid w:val="3AFD443D"/>
    <w:rsid w:val="3B0F5F1E"/>
    <w:rsid w:val="3B245E6D"/>
    <w:rsid w:val="3B2C2F74"/>
    <w:rsid w:val="3B337E5E"/>
    <w:rsid w:val="3B443337"/>
    <w:rsid w:val="3B567FF1"/>
    <w:rsid w:val="3B6049CB"/>
    <w:rsid w:val="3B710987"/>
    <w:rsid w:val="3B733902"/>
    <w:rsid w:val="3B800BCA"/>
    <w:rsid w:val="3B8C756F"/>
    <w:rsid w:val="3B90705F"/>
    <w:rsid w:val="3BA70BAC"/>
    <w:rsid w:val="3BAC7C11"/>
    <w:rsid w:val="3BC211E2"/>
    <w:rsid w:val="3BC62A80"/>
    <w:rsid w:val="3BC9431F"/>
    <w:rsid w:val="3BE23632"/>
    <w:rsid w:val="3C0161AE"/>
    <w:rsid w:val="3C095063"/>
    <w:rsid w:val="3C2022F0"/>
    <w:rsid w:val="3C207CB3"/>
    <w:rsid w:val="3C277297"/>
    <w:rsid w:val="3C2974B3"/>
    <w:rsid w:val="3C3F0879"/>
    <w:rsid w:val="3C400249"/>
    <w:rsid w:val="3C4B742A"/>
    <w:rsid w:val="3C4D2BCC"/>
    <w:rsid w:val="3C574020"/>
    <w:rsid w:val="3C6329C5"/>
    <w:rsid w:val="3C950D47"/>
    <w:rsid w:val="3C9A5CBB"/>
    <w:rsid w:val="3CAC611A"/>
    <w:rsid w:val="3CD25455"/>
    <w:rsid w:val="3CD70236"/>
    <w:rsid w:val="3CE53DCB"/>
    <w:rsid w:val="3D0B562A"/>
    <w:rsid w:val="3D11482D"/>
    <w:rsid w:val="3D2959BD"/>
    <w:rsid w:val="3D29776B"/>
    <w:rsid w:val="3D4C3459"/>
    <w:rsid w:val="3D5567B2"/>
    <w:rsid w:val="3D583BAC"/>
    <w:rsid w:val="3D595B76"/>
    <w:rsid w:val="3D874491"/>
    <w:rsid w:val="3D8D74B5"/>
    <w:rsid w:val="3D8F0A2E"/>
    <w:rsid w:val="3DCC6348"/>
    <w:rsid w:val="3DCE20C0"/>
    <w:rsid w:val="3DD11BB1"/>
    <w:rsid w:val="3DD932F5"/>
    <w:rsid w:val="3DDC47DD"/>
    <w:rsid w:val="3DEB2C72"/>
    <w:rsid w:val="3DEC0798"/>
    <w:rsid w:val="3E106BFF"/>
    <w:rsid w:val="3E1C1AF3"/>
    <w:rsid w:val="3E214783"/>
    <w:rsid w:val="3E2C05C7"/>
    <w:rsid w:val="3E410AE4"/>
    <w:rsid w:val="3E546A69"/>
    <w:rsid w:val="3E642A25"/>
    <w:rsid w:val="3E6E4E6B"/>
    <w:rsid w:val="3E78202C"/>
    <w:rsid w:val="3E88226F"/>
    <w:rsid w:val="3E8F1850"/>
    <w:rsid w:val="3E927592"/>
    <w:rsid w:val="3E970704"/>
    <w:rsid w:val="3E974BA8"/>
    <w:rsid w:val="3E9C718F"/>
    <w:rsid w:val="3EAB2402"/>
    <w:rsid w:val="3EC20AC4"/>
    <w:rsid w:val="3ED100BA"/>
    <w:rsid w:val="3ED35DB7"/>
    <w:rsid w:val="3EE11ADE"/>
    <w:rsid w:val="3EF25FA6"/>
    <w:rsid w:val="3F022566"/>
    <w:rsid w:val="3F0A35CC"/>
    <w:rsid w:val="3F1665F9"/>
    <w:rsid w:val="3F1E00A0"/>
    <w:rsid w:val="3F2521B4"/>
    <w:rsid w:val="3F253F62"/>
    <w:rsid w:val="3F367F1D"/>
    <w:rsid w:val="3F402B4A"/>
    <w:rsid w:val="3F4168C2"/>
    <w:rsid w:val="3F44150A"/>
    <w:rsid w:val="3F473ED8"/>
    <w:rsid w:val="3F4940F4"/>
    <w:rsid w:val="3F4D7CD4"/>
    <w:rsid w:val="3F5605BF"/>
    <w:rsid w:val="3F585F31"/>
    <w:rsid w:val="3F656A54"/>
    <w:rsid w:val="3F6A7BC7"/>
    <w:rsid w:val="3F6F78D3"/>
    <w:rsid w:val="3F7722E4"/>
    <w:rsid w:val="3F7B1DD4"/>
    <w:rsid w:val="3F9E1105"/>
    <w:rsid w:val="3FA4757D"/>
    <w:rsid w:val="3FB7476E"/>
    <w:rsid w:val="3FC714BD"/>
    <w:rsid w:val="3FDD483D"/>
    <w:rsid w:val="3FEA4714"/>
    <w:rsid w:val="3FFD7F66"/>
    <w:rsid w:val="4008349B"/>
    <w:rsid w:val="400B75FC"/>
    <w:rsid w:val="4010076E"/>
    <w:rsid w:val="40181D19"/>
    <w:rsid w:val="40185875"/>
    <w:rsid w:val="401F30A7"/>
    <w:rsid w:val="4021297B"/>
    <w:rsid w:val="40295CD4"/>
    <w:rsid w:val="40555D6E"/>
    <w:rsid w:val="405C39B3"/>
    <w:rsid w:val="40703298"/>
    <w:rsid w:val="40833636"/>
    <w:rsid w:val="408D1DBF"/>
    <w:rsid w:val="409420DA"/>
    <w:rsid w:val="40B30F05"/>
    <w:rsid w:val="40C66554"/>
    <w:rsid w:val="40C8729B"/>
    <w:rsid w:val="40CB0B39"/>
    <w:rsid w:val="40CD48B1"/>
    <w:rsid w:val="40CD665F"/>
    <w:rsid w:val="40D514AA"/>
    <w:rsid w:val="40DE170D"/>
    <w:rsid w:val="40EB1D66"/>
    <w:rsid w:val="40F2510D"/>
    <w:rsid w:val="411B3A43"/>
    <w:rsid w:val="413277CA"/>
    <w:rsid w:val="41405083"/>
    <w:rsid w:val="4157061F"/>
    <w:rsid w:val="41744D2D"/>
    <w:rsid w:val="418C0847"/>
    <w:rsid w:val="41AB4759"/>
    <w:rsid w:val="41B45A71"/>
    <w:rsid w:val="41C95079"/>
    <w:rsid w:val="41CF4659"/>
    <w:rsid w:val="41D34149"/>
    <w:rsid w:val="41DA54D8"/>
    <w:rsid w:val="42040184"/>
    <w:rsid w:val="420662CD"/>
    <w:rsid w:val="420C31B7"/>
    <w:rsid w:val="42100EF9"/>
    <w:rsid w:val="421502BE"/>
    <w:rsid w:val="42313F06"/>
    <w:rsid w:val="42470E98"/>
    <w:rsid w:val="42562684"/>
    <w:rsid w:val="425A03C6"/>
    <w:rsid w:val="42884F34"/>
    <w:rsid w:val="428E6874"/>
    <w:rsid w:val="42A14BBD"/>
    <w:rsid w:val="42CB062B"/>
    <w:rsid w:val="42CB6BCE"/>
    <w:rsid w:val="42CD0B98"/>
    <w:rsid w:val="42EA174A"/>
    <w:rsid w:val="432D09BF"/>
    <w:rsid w:val="43351583"/>
    <w:rsid w:val="43374264"/>
    <w:rsid w:val="433B6974"/>
    <w:rsid w:val="434B7D0F"/>
    <w:rsid w:val="435272F0"/>
    <w:rsid w:val="43617533"/>
    <w:rsid w:val="43763667"/>
    <w:rsid w:val="43770B04"/>
    <w:rsid w:val="4381268E"/>
    <w:rsid w:val="43813731"/>
    <w:rsid w:val="43820D0B"/>
    <w:rsid w:val="438D657A"/>
    <w:rsid w:val="4391606A"/>
    <w:rsid w:val="439D2E88"/>
    <w:rsid w:val="43AF7095"/>
    <w:rsid w:val="43B21B3C"/>
    <w:rsid w:val="43EE12FB"/>
    <w:rsid w:val="43F65ECD"/>
    <w:rsid w:val="441D16AC"/>
    <w:rsid w:val="44222CAF"/>
    <w:rsid w:val="442A3DC9"/>
    <w:rsid w:val="44354C47"/>
    <w:rsid w:val="444625F0"/>
    <w:rsid w:val="444F55DD"/>
    <w:rsid w:val="44542A12"/>
    <w:rsid w:val="44692B43"/>
    <w:rsid w:val="446C618F"/>
    <w:rsid w:val="447137A5"/>
    <w:rsid w:val="44953938"/>
    <w:rsid w:val="44A56A8B"/>
    <w:rsid w:val="44D04970"/>
    <w:rsid w:val="44F248E6"/>
    <w:rsid w:val="44FF34A7"/>
    <w:rsid w:val="45045743"/>
    <w:rsid w:val="45246F22"/>
    <w:rsid w:val="452D1DC2"/>
    <w:rsid w:val="45356EC9"/>
    <w:rsid w:val="4568104C"/>
    <w:rsid w:val="456A75B3"/>
    <w:rsid w:val="45815C6A"/>
    <w:rsid w:val="458A4224"/>
    <w:rsid w:val="458C4D3B"/>
    <w:rsid w:val="45905EAD"/>
    <w:rsid w:val="459C093A"/>
    <w:rsid w:val="45B1127B"/>
    <w:rsid w:val="45B1654F"/>
    <w:rsid w:val="45B92459"/>
    <w:rsid w:val="45C142B9"/>
    <w:rsid w:val="45CA13BF"/>
    <w:rsid w:val="45CC3389"/>
    <w:rsid w:val="45EE77A4"/>
    <w:rsid w:val="45F12DF0"/>
    <w:rsid w:val="461F5BAF"/>
    <w:rsid w:val="462C02CC"/>
    <w:rsid w:val="46401681"/>
    <w:rsid w:val="46496788"/>
    <w:rsid w:val="4668345C"/>
    <w:rsid w:val="4677696F"/>
    <w:rsid w:val="467B3B1C"/>
    <w:rsid w:val="46911EDD"/>
    <w:rsid w:val="46B06807"/>
    <w:rsid w:val="46B53706"/>
    <w:rsid w:val="46CC73B9"/>
    <w:rsid w:val="46D17B8D"/>
    <w:rsid w:val="46D32666"/>
    <w:rsid w:val="46D544C0"/>
    <w:rsid w:val="46DF3AAB"/>
    <w:rsid w:val="46E14C12"/>
    <w:rsid w:val="46FA2178"/>
    <w:rsid w:val="46FC1A4C"/>
    <w:rsid w:val="46FD57C4"/>
    <w:rsid w:val="470B6133"/>
    <w:rsid w:val="473311E6"/>
    <w:rsid w:val="473A35E2"/>
    <w:rsid w:val="474F593B"/>
    <w:rsid w:val="475C073D"/>
    <w:rsid w:val="475D76B0"/>
    <w:rsid w:val="476127AD"/>
    <w:rsid w:val="476500B3"/>
    <w:rsid w:val="476870E2"/>
    <w:rsid w:val="477626C0"/>
    <w:rsid w:val="4783216D"/>
    <w:rsid w:val="4789677A"/>
    <w:rsid w:val="478F466E"/>
    <w:rsid w:val="47971775"/>
    <w:rsid w:val="47AF475B"/>
    <w:rsid w:val="47AF6ABF"/>
    <w:rsid w:val="47B71E17"/>
    <w:rsid w:val="47C36A0E"/>
    <w:rsid w:val="47C6205A"/>
    <w:rsid w:val="47D06A35"/>
    <w:rsid w:val="47D541ED"/>
    <w:rsid w:val="47E81FD1"/>
    <w:rsid w:val="47E86474"/>
    <w:rsid w:val="47ED3A8B"/>
    <w:rsid w:val="47EF15B1"/>
    <w:rsid w:val="4803505C"/>
    <w:rsid w:val="481728B6"/>
    <w:rsid w:val="48181D3F"/>
    <w:rsid w:val="481903DC"/>
    <w:rsid w:val="481A4FBB"/>
    <w:rsid w:val="482E20D9"/>
    <w:rsid w:val="483B2A48"/>
    <w:rsid w:val="484511D1"/>
    <w:rsid w:val="48592ECE"/>
    <w:rsid w:val="48645AFB"/>
    <w:rsid w:val="486A50DB"/>
    <w:rsid w:val="48763A80"/>
    <w:rsid w:val="48891B1F"/>
    <w:rsid w:val="48895562"/>
    <w:rsid w:val="488E4809"/>
    <w:rsid w:val="489F2FD7"/>
    <w:rsid w:val="48A51C70"/>
    <w:rsid w:val="48B9571B"/>
    <w:rsid w:val="48BF2D31"/>
    <w:rsid w:val="49121BEA"/>
    <w:rsid w:val="491C4628"/>
    <w:rsid w:val="49210164"/>
    <w:rsid w:val="493C0826"/>
    <w:rsid w:val="493F2815"/>
    <w:rsid w:val="495518E8"/>
    <w:rsid w:val="496F29A9"/>
    <w:rsid w:val="49731D6E"/>
    <w:rsid w:val="49895E52"/>
    <w:rsid w:val="498E4CFA"/>
    <w:rsid w:val="49A63F99"/>
    <w:rsid w:val="49B760FE"/>
    <w:rsid w:val="49C5081B"/>
    <w:rsid w:val="49CD147E"/>
    <w:rsid w:val="4A054B02"/>
    <w:rsid w:val="4A0A26D2"/>
    <w:rsid w:val="4A171B6A"/>
    <w:rsid w:val="4A1A5506"/>
    <w:rsid w:val="4A2A2D74"/>
    <w:rsid w:val="4A3C5BA1"/>
    <w:rsid w:val="4A4135B3"/>
    <w:rsid w:val="4A443E36"/>
    <w:rsid w:val="4A491FEF"/>
    <w:rsid w:val="4A4D25BF"/>
    <w:rsid w:val="4A513E5D"/>
    <w:rsid w:val="4A541B9F"/>
    <w:rsid w:val="4A6F69D9"/>
    <w:rsid w:val="4A790F50"/>
    <w:rsid w:val="4A946440"/>
    <w:rsid w:val="4A9B332A"/>
    <w:rsid w:val="4ABD14F2"/>
    <w:rsid w:val="4AC62A9D"/>
    <w:rsid w:val="4AD12E5A"/>
    <w:rsid w:val="4ADF3B5F"/>
    <w:rsid w:val="4AE7656F"/>
    <w:rsid w:val="4AEC002A"/>
    <w:rsid w:val="4B1D4687"/>
    <w:rsid w:val="4B3A0D95"/>
    <w:rsid w:val="4B3D2633"/>
    <w:rsid w:val="4B4C2876"/>
    <w:rsid w:val="4B5F6A4E"/>
    <w:rsid w:val="4B6D116B"/>
    <w:rsid w:val="4B7A73E4"/>
    <w:rsid w:val="4B9F509C"/>
    <w:rsid w:val="4BB70638"/>
    <w:rsid w:val="4BD5286C"/>
    <w:rsid w:val="4BD72A88"/>
    <w:rsid w:val="4BE3142D"/>
    <w:rsid w:val="4BF03B4A"/>
    <w:rsid w:val="4BFB49C8"/>
    <w:rsid w:val="4BFC3043"/>
    <w:rsid w:val="4C0D0258"/>
    <w:rsid w:val="4C16799F"/>
    <w:rsid w:val="4C2061DD"/>
    <w:rsid w:val="4C27793F"/>
    <w:rsid w:val="4C2A0E0A"/>
    <w:rsid w:val="4C4F3781"/>
    <w:rsid w:val="4C60482B"/>
    <w:rsid w:val="4C6E3FE2"/>
    <w:rsid w:val="4C7327B1"/>
    <w:rsid w:val="4CCC0113"/>
    <w:rsid w:val="4CE23492"/>
    <w:rsid w:val="4CE90CC5"/>
    <w:rsid w:val="4D001B6A"/>
    <w:rsid w:val="4D072EF9"/>
    <w:rsid w:val="4D0C075F"/>
    <w:rsid w:val="4D0C69ED"/>
    <w:rsid w:val="4D123792"/>
    <w:rsid w:val="4D333CEE"/>
    <w:rsid w:val="4D457CE2"/>
    <w:rsid w:val="4D493684"/>
    <w:rsid w:val="4D502AF2"/>
    <w:rsid w:val="4D5F2D35"/>
    <w:rsid w:val="4D6C7200"/>
    <w:rsid w:val="4D866514"/>
    <w:rsid w:val="4D8C1650"/>
    <w:rsid w:val="4D9B5F33"/>
    <w:rsid w:val="4DC1754C"/>
    <w:rsid w:val="4DC332C4"/>
    <w:rsid w:val="4DC62DB4"/>
    <w:rsid w:val="4DDD3C5A"/>
    <w:rsid w:val="4DFF0074"/>
    <w:rsid w:val="4E0336C0"/>
    <w:rsid w:val="4E0631B0"/>
    <w:rsid w:val="4E10402F"/>
    <w:rsid w:val="4E2D2E33"/>
    <w:rsid w:val="4E355844"/>
    <w:rsid w:val="4E3E294A"/>
    <w:rsid w:val="4E4D2E49"/>
    <w:rsid w:val="4E655F25"/>
    <w:rsid w:val="4E6A373F"/>
    <w:rsid w:val="4E6C1EC1"/>
    <w:rsid w:val="4E7520E4"/>
    <w:rsid w:val="4E916F1E"/>
    <w:rsid w:val="4E9346DE"/>
    <w:rsid w:val="4EB26E94"/>
    <w:rsid w:val="4EDB288F"/>
    <w:rsid w:val="4EDE5EDB"/>
    <w:rsid w:val="4EE71234"/>
    <w:rsid w:val="4EF17387"/>
    <w:rsid w:val="4F1813ED"/>
    <w:rsid w:val="4F4E12B3"/>
    <w:rsid w:val="4F652159"/>
    <w:rsid w:val="4F8922EB"/>
    <w:rsid w:val="4F9C3DCC"/>
    <w:rsid w:val="4F9D18F3"/>
    <w:rsid w:val="4F9F566B"/>
    <w:rsid w:val="4FA42C81"/>
    <w:rsid w:val="4FA73F0D"/>
    <w:rsid w:val="4FAD5E6E"/>
    <w:rsid w:val="4FD77DC0"/>
    <w:rsid w:val="4FD86DCF"/>
    <w:rsid w:val="4FE37C4D"/>
    <w:rsid w:val="4FFC486B"/>
    <w:rsid w:val="5003209D"/>
    <w:rsid w:val="50084FB8"/>
    <w:rsid w:val="501C315F"/>
    <w:rsid w:val="502D0EC8"/>
    <w:rsid w:val="50302767"/>
    <w:rsid w:val="503404A9"/>
    <w:rsid w:val="50371D47"/>
    <w:rsid w:val="503D78E7"/>
    <w:rsid w:val="50485D02"/>
    <w:rsid w:val="504A7CCC"/>
    <w:rsid w:val="505521CD"/>
    <w:rsid w:val="50574197"/>
    <w:rsid w:val="505C7F65"/>
    <w:rsid w:val="506625EC"/>
    <w:rsid w:val="506F14E1"/>
    <w:rsid w:val="507E7976"/>
    <w:rsid w:val="508C2093"/>
    <w:rsid w:val="50942CF5"/>
    <w:rsid w:val="50944BBD"/>
    <w:rsid w:val="50974594"/>
    <w:rsid w:val="50AB003F"/>
    <w:rsid w:val="50D457E8"/>
    <w:rsid w:val="50DC644B"/>
    <w:rsid w:val="50E20EB9"/>
    <w:rsid w:val="50ED2406"/>
    <w:rsid w:val="50FB4B23"/>
    <w:rsid w:val="51022355"/>
    <w:rsid w:val="51087240"/>
    <w:rsid w:val="51121E6C"/>
    <w:rsid w:val="511770A5"/>
    <w:rsid w:val="511A2CA6"/>
    <w:rsid w:val="51200A2D"/>
    <w:rsid w:val="5133250E"/>
    <w:rsid w:val="513A6C0E"/>
    <w:rsid w:val="514F30C0"/>
    <w:rsid w:val="51711289"/>
    <w:rsid w:val="51791EEB"/>
    <w:rsid w:val="5180327A"/>
    <w:rsid w:val="51856AE2"/>
    <w:rsid w:val="51886FCA"/>
    <w:rsid w:val="518965D2"/>
    <w:rsid w:val="518C7E71"/>
    <w:rsid w:val="51960CEF"/>
    <w:rsid w:val="519D5BDA"/>
    <w:rsid w:val="519F4486"/>
    <w:rsid w:val="51B15354"/>
    <w:rsid w:val="51C805E9"/>
    <w:rsid w:val="51D37233"/>
    <w:rsid w:val="51EB103B"/>
    <w:rsid w:val="51FD48CA"/>
    <w:rsid w:val="520143BB"/>
    <w:rsid w:val="52096D8F"/>
    <w:rsid w:val="522A286E"/>
    <w:rsid w:val="52326C6A"/>
    <w:rsid w:val="52391DA6"/>
    <w:rsid w:val="52410C5B"/>
    <w:rsid w:val="5251742F"/>
    <w:rsid w:val="527816BB"/>
    <w:rsid w:val="52950FA7"/>
    <w:rsid w:val="529F0F39"/>
    <w:rsid w:val="52A74851"/>
    <w:rsid w:val="52A80CDA"/>
    <w:rsid w:val="52DB5464"/>
    <w:rsid w:val="52F21AB2"/>
    <w:rsid w:val="53397B84"/>
    <w:rsid w:val="533E33EC"/>
    <w:rsid w:val="53400F13"/>
    <w:rsid w:val="534C5B09"/>
    <w:rsid w:val="536A214C"/>
    <w:rsid w:val="536F7A4A"/>
    <w:rsid w:val="53746E0E"/>
    <w:rsid w:val="53755FB2"/>
    <w:rsid w:val="5386726D"/>
    <w:rsid w:val="538C5F06"/>
    <w:rsid w:val="539C2B73"/>
    <w:rsid w:val="53B16A4B"/>
    <w:rsid w:val="53C51418"/>
    <w:rsid w:val="53C953AC"/>
    <w:rsid w:val="53CE4770"/>
    <w:rsid w:val="53DA3115"/>
    <w:rsid w:val="53DA3244"/>
    <w:rsid w:val="54041F40"/>
    <w:rsid w:val="54165A2C"/>
    <w:rsid w:val="541A1764"/>
    <w:rsid w:val="54260581"/>
    <w:rsid w:val="54306D09"/>
    <w:rsid w:val="543071D9"/>
    <w:rsid w:val="545509EE"/>
    <w:rsid w:val="54696247"/>
    <w:rsid w:val="546B1FBF"/>
    <w:rsid w:val="546E385E"/>
    <w:rsid w:val="54705828"/>
    <w:rsid w:val="54752578"/>
    <w:rsid w:val="54752E3E"/>
    <w:rsid w:val="54797C4B"/>
    <w:rsid w:val="54837309"/>
    <w:rsid w:val="54890697"/>
    <w:rsid w:val="54AD25D8"/>
    <w:rsid w:val="54B24092"/>
    <w:rsid w:val="54B25E40"/>
    <w:rsid w:val="54D77655"/>
    <w:rsid w:val="54D97871"/>
    <w:rsid w:val="54DD775A"/>
    <w:rsid w:val="54DE0134"/>
    <w:rsid w:val="54DE6C35"/>
    <w:rsid w:val="54E1588E"/>
    <w:rsid w:val="54ED6EBD"/>
    <w:rsid w:val="54F16968"/>
    <w:rsid w:val="55175CA3"/>
    <w:rsid w:val="55222FC6"/>
    <w:rsid w:val="554760F5"/>
    <w:rsid w:val="554D5B69"/>
    <w:rsid w:val="55545149"/>
    <w:rsid w:val="55560EC1"/>
    <w:rsid w:val="55611AFF"/>
    <w:rsid w:val="55A439DB"/>
    <w:rsid w:val="55A979FD"/>
    <w:rsid w:val="55AE4859"/>
    <w:rsid w:val="55C16D48"/>
    <w:rsid w:val="55C776C9"/>
    <w:rsid w:val="55DF2C65"/>
    <w:rsid w:val="55FD30EB"/>
    <w:rsid w:val="5608596C"/>
    <w:rsid w:val="560E7AEF"/>
    <w:rsid w:val="56150435"/>
    <w:rsid w:val="561843C9"/>
    <w:rsid w:val="56646BDD"/>
    <w:rsid w:val="56757125"/>
    <w:rsid w:val="567A473C"/>
    <w:rsid w:val="56861332"/>
    <w:rsid w:val="568850AA"/>
    <w:rsid w:val="56B56B5A"/>
    <w:rsid w:val="56C43C09"/>
    <w:rsid w:val="56C77866"/>
    <w:rsid w:val="56C8194B"/>
    <w:rsid w:val="56CE49F6"/>
    <w:rsid w:val="56F16703"/>
    <w:rsid w:val="572121A9"/>
    <w:rsid w:val="573E74AA"/>
    <w:rsid w:val="57603931"/>
    <w:rsid w:val="576D19D8"/>
    <w:rsid w:val="577675F9"/>
    <w:rsid w:val="57825F9E"/>
    <w:rsid w:val="578F06BB"/>
    <w:rsid w:val="57917819"/>
    <w:rsid w:val="579655A5"/>
    <w:rsid w:val="579C48DF"/>
    <w:rsid w:val="57C37ECB"/>
    <w:rsid w:val="57CA712A"/>
    <w:rsid w:val="57CF1AC2"/>
    <w:rsid w:val="57D8193B"/>
    <w:rsid w:val="57E16E3D"/>
    <w:rsid w:val="57F8000E"/>
    <w:rsid w:val="58050514"/>
    <w:rsid w:val="58134E48"/>
    <w:rsid w:val="58382B00"/>
    <w:rsid w:val="58400F7E"/>
    <w:rsid w:val="584414A5"/>
    <w:rsid w:val="584C2108"/>
    <w:rsid w:val="584E40D2"/>
    <w:rsid w:val="585B234B"/>
    <w:rsid w:val="58670CF0"/>
    <w:rsid w:val="58775B87"/>
    <w:rsid w:val="58A65CBC"/>
    <w:rsid w:val="58B8779D"/>
    <w:rsid w:val="58C3061C"/>
    <w:rsid w:val="58D112DD"/>
    <w:rsid w:val="58D2085F"/>
    <w:rsid w:val="58FC7366"/>
    <w:rsid w:val="5906485F"/>
    <w:rsid w:val="590B3D71"/>
    <w:rsid w:val="590F3861"/>
    <w:rsid w:val="59232E69"/>
    <w:rsid w:val="59281352"/>
    <w:rsid w:val="593F3A1A"/>
    <w:rsid w:val="594D6137"/>
    <w:rsid w:val="5975743C"/>
    <w:rsid w:val="598C4EB2"/>
    <w:rsid w:val="59934492"/>
    <w:rsid w:val="59AA5338"/>
    <w:rsid w:val="59BB12F3"/>
    <w:rsid w:val="59C96098"/>
    <w:rsid w:val="59CC3500"/>
    <w:rsid w:val="5A7F688E"/>
    <w:rsid w:val="5A89319F"/>
    <w:rsid w:val="5A957D96"/>
    <w:rsid w:val="5AA20705"/>
    <w:rsid w:val="5AAF3287"/>
    <w:rsid w:val="5AB741B0"/>
    <w:rsid w:val="5AB749B7"/>
    <w:rsid w:val="5ABC17C7"/>
    <w:rsid w:val="5ADA1C4D"/>
    <w:rsid w:val="5AE07A38"/>
    <w:rsid w:val="5B0867BA"/>
    <w:rsid w:val="5B211CC8"/>
    <w:rsid w:val="5B2F7F5E"/>
    <w:rsid w:val="5B413A7A"/>
    <w:rsid w:val="5B4377F2"/>
    <w:rsid w:val="5B5B1114"/>
    <w:rsid w:val="5B6836FC"/>
    <w:rsid w:val="5B70435F"/>
    <w:rsid w:val="5B721E85"/>
    <w:rsid w:val="5B743E4F"/>
    <w:rsid w:val="5BAA5AC3"/>
    <w:rsid w:val="5BB406F0"/>
    <w:rsid w:val="5BB93F58"/>
    <w:rsid w:val="5BCA5273"/>
    <w:rsid w:val="5BDB5C7C"/>
    <w:rsid w:val="5C1D44E7"/>
    <w:rsid w:val="5C473312"/>
    <w:rsid w:val="5C675762"/>
    <w:rsid w:val="5C7200BE"/>
    <w:rsid w:val="5C853E3A"/>
    <w:rsid w:val="5C91458D"/>
    <w:rsid w:val="5C9A78E6"/>
    <w:rsid w:val="5CA95D7B"/>
    <w:rsid w:val="5CCB475A"/>
    <w:rsid w:val="5CCC3817"/>
    <w:rsid w:val="5CD252D1"/>
    <w:rsid w:val="5CD32DF8"/>
    <w:rsid w:val="5CE019A8"/>
    <w:rsid w:val="5CFD1BAE"/>
    <w:rsid w:val="5D052E31"/>
    <w:rsid w:val="5D447851"/>
    <w:rsid w:val="5D5E0913"/>
    <w:rsid w:val="5D5E1378"/>
    <w:rsid w:val="5D7C523D"/>
    <w:rsid w:val="5D8F31C2"/>
    <w:rsid w:val="5DAA7FFC"/>
    <w:rsid w:val="5DF93828"/>
    <w:rsid w:val="5E00022E"/>
    <w:rsid w:val="5E1B2CA8"/>
    <w:rsid w:val="5E296976"/>
    <w:rsid w:val="5E443FAD"/>
    <w:rsid w:val="5E6A153A"/>
    <w:rsid w:val="5E702CD8"/>
    <w:rsid w:val="5E8C345B"/>
    <w:rsid w:val="5E8C68FD"/>
    <w:rsid w:val="5E997A05"/>
    <w:rsid w:val="5E9B254F"/>
    <w:rsid w:val="5EB72C38"/>
    <w:rsid w:val="5EBB1D95"/>
    <w:rsid w:val="5EBC032F"/>
    <w:rsid w:val="5EC92704"/>
    <w:rsid w:val="5EDF5A84"/>
    <w:rsid w:val="5EE74938"/>
    <w:rsid w:val="5EF17565"/>
    <w:rsid w:val="5F221E14"/>
    <w:rsid w:val="5F281DF9"/>
    <w:rsid w:val="5F4467D8"/>
    <w:rsid w:val="5F5521EA"/>
    <w:rsid w:val="5F5809B5"/>
    <w:rsid w:val="5F707329"/>
    <w:rsid w:val="5F795ED8"/>
    <w:rsid w:val="5F7F1E16"/>
    <w:rsid w:val="5F893C41"/>
    <w:rsid w:val="5FB76A00"/>
    <w:rsid w:val="5FC1162D"/>
    <w:rsid w:val="5FCF78A6"/>
    <w:rsid w:val="60285208"/>
    <w:rsid w:val="60295975"/>
    <w:rsid w:val="602A5424"/>
    <w:rsid w:val="60333FA6"/>
    <w:rsid w:val="604162CA"/>
    <w:rsid w:val="604638E0"/>
    <w:rsid w:val="605E164F"/>
    <w:rsid w:val="60681AA9"/>
    <w:rsid w:val="607246D5"/>
    <w:rsid w:val="608D150F"/>
    <w:rsid w:val="60946F10"/>
    <w:rsid w:val="609B00D0"/>
    <w:rsid w:val="60B60A66"/>
    <w:rsid w:val="60B66ADC"/>
    <w:rsid w:val="60DD2497"/>
    <w:rsid w:val="60EA0710"/>
    <w:rsid w:val="60EC3840"/>
    <w:rsid w:val="61143F11"/>
    <w:rsid w:val="611759A9"/>
    <w:rsid w:val="6129748A"/>
    <w:rsid w:val="6131633F"/>
    <w:rsid w:val="614E75D3"/>
    <w:rsid w:val="614F743B"/>
    <w:rsid w:val="61573FF7"/>
    <w:rsid w:val="615A5895"/>
    <w:rsid w:val="61646714"/>
    <w:rsid w:val="616B1851"/>
    <w:rsid w:val="6170330B"/>
    <w:rsid w:val="61834DEC"/>
    <w:rsid w:val="618E3791"/>
    <w:rsid w:val="61913BB1"/>
    <w:rsid w:val="61932B55"/>
    <w:rsid w:val="61BC63F4"/>
    <w:rsid w:val="61C827FF"/>
    <w:rsid w:val="61E57855"/>
    <w:rsid w:val="62092E18"/>
    <w:rsid w:val="621B3277"/>
    <w:rsid w:val="621C6FEF"/>
    <w:rsid w:val="621D3974"/>
    <w:rsid w:val="622540F5"/>
    <w:rsid w:val="622639C9"/>
    <w:rsid w:val="62377067"/>
    <w:rsid w:val="623E51B7"/>
    <w:rsid w:val="624F696F"/>
    <w:rsid w:val="6260512D"/>
    <w:rsid w:val="62682234"/>
    <w:rsid w:val="62832694"/>
    <w:rsid w:val="62885B17"/>
    <w:rsid w:val="629B43B7"/>
    <w:rsid w:val="62AF39BF"/>
    <w:rsid w:val="62AF7E63"/>
    <w:rsid w:val="62B334AF"/>
    <w:rsid w:val="62B40FD5"/>
    <w:rsid w:val="62DE42A4"/>
    <w:rsid w:val="62F34242"/>
    <w:rsid w:val="6309501A"/>
    <w:rsid w:val="6324615B"/>
    <w:rsid w:val="63312626"/>
    <w:rsid w:val="633B19CF"/>
    <w:rsid w:val="637075F2"/>
    <w:rsid w:val="63AD43A2"/>
    <w:rsid w:val="63B514A9"/>
    <w:rsid w:val="63BF40D6"/>
    <w:rsid w:val="63D74F7B"/>
    <w:rsid w:val="63E15DFA"/>
    <w:rsid w:val="63E43B3C"/>
    <w:rsid w:val="63E47698"/>
    <w:rsid w:val="63E678B4"/>
    <w:rsid w:val="64207A48"/>
    <w:rsid w:val="642B3519"/>
    <w:rsid w:val="64300B2F"/>
    <w:rsid w:val="64357EF4"/>
    <w:rsid w:val="645667E8"/>
    <w:rsid w:val="645F0BD9"/>
    <w:rsid w:val="64622C5F"/>
    <w:rsid w:val="64632A18"/>
    <w:rsid w:val="64722EF6"/>
    <w:rsid w:val="64760C38"/>
    <w:rsid w:val="64AA08E2"/>
    <w:rsid w:val="64EA3833"/>
    <w:rsid w:val="65046244"/>
    <w:rsid w:val="651421FF"/>
    <w:rsid w:val="652D1F8D"/>
    <w:rsid w:val="65426D6C"/>
    <w:rsid w:val="65605444"/>
    <w:rsid w:val="65660CAD"/>
    <w:rsid w:val="656C3DE9"/>
    <w:rsid w:val="658B10E8"/>
    <w:rsid w:val="659268D0"/>
    <w:rsid w:val="65960E66"/>
    <w:rsid w:val="65A2780B"/>
    <w:rsid w:val="65F52031"/>
    <w:rsid w:val="65F53DDF"/>
    <w:rsid w:val="660679A6"/>
    <w:rsid w:val="66106E6A"/>
    <w:rsid w:val="663C1A0D"/>
    <w:rsid w:val="663C37BC"/>
    <w:rsid w:val="66434B4A"/>
    <w:rsid w:val="664B7EA3"/>
    <w:rsid w:val="664E34EF"/>
    <w:rsid w:val="666920D7"/>
    <w:rsid w:val="666F593F"/>
    <w:rsid w:val="66754F1F"/>
    <w:rsid w:val="668313EA"/>
    <w:rsid w:val="66A013BB"/>
    <w:rsid w:val="66C13CC1"/>
    <w:rsid w:val="66C57C55"/>
    <w:rsid w:val="66D103A8"/>
    <w:rsid w:val="66D971A2"/>
    <w:rsid w:val="66E520A5"/>
    <w:rsid w:val="66F67E0E"/>
    <w:rsid w:val="67010066"/>
    <w:rsid w:val="672901E4"/>
    <w:rsid w:val="672D7859"/>
    <w:rsid w:val="67444AD8"/>
    <w:rsid w:val="674548F2"/>
    <w:rsid w:val="675863D3"/>
    <w:rsid w:val="67874F0A"/>
    <w:rsid w:val="67892A30"/>
    <w:rsid w:val="67955879"/>
    <w:rsid w:val="67A23AF2"/>
    <w:rsid w:val="67AF65DD"/>
    <w:rsid w:val="67B62592"/>
    <w:rsid w:val="67BF400C"/>
    <w:rsid w:val="67C43A69"/>
    <w:rsid w:val="67C717AB"/>
    <w:rsid w:val="67DE7AB7"/>
    <w:rsid w:val="67DF4D46"/>
    <w:rsid w:val="67E260DB"/>
    <w:rsid w:val="67E66FFC"/>
    <w:rsid w:val="67EC2FBF"/>
    <w:rsid w:val="68060525"/>
    <w:rsid w:val="6808604B"/>
    <w:rsid w:val="680D5952"/>
    <w:rsid w:val="6813679E"/>
    <w:rsid w:val="681542C4"/>
    <w:rsid w:val="681A3FD0"/>
    <w:rsid w:val="68212C69"/>
    <w:rsid w:val="68394457"/>
    <w:rsid w:val="68555008"/>
    <w:rsid w:val="6864524C"/>
    <w:rsid w:val="68883754"/>
    <w:rsid w:val="68A85138"/>
    <w:rsid w:val="68CA77A4"/>
    <w:rsid w:val="68CE05E3"/>
    <w:rsid w:val="68D45F2D"/>
    <w:rsid w:val="68E1064A"/>
    <w:rsid w:val="68E1689C"/>
    <w:rsid w:val="68EA343F"/>
    <w:rsid w:val="691427CE"/>
    <w:rsid w:val="69164798"/>
    <w:rsid w:val="69196036"/>
    <w:rsid w:val="6922313D"/>
    <w:rsid w:val="69586B5E"/>
    <w:rsid w:val="69683798"/>
    <w:rsid w:val="696D7A7C"/>
    <w:rsid w:val="69763488"/>
    <w:rsid w:val="69821E2D"/>
    <w:rsid w:val="69992CD3"/>
    <w:rsid w:val="69B1626F"/>
    <w:rsid w:val="69D07401"/>
    <w:rsid w:val="69E46644"/>
    <w:rsid w:val="69EE74C3"/>
    <w:rsid w:val="69EF6408"/>
    <w:rsid w:val="69FF6FDA"/>
    <w:rsid w:val="6A0B08EF"/>
    <w:rsid w:val="6A17613B"/>
    <w:rsid w:val="6A2469FC"/>
    <w:rsid w:val="6A2E78BF"/>
    <w:rsid w:val="6A3D5D54"/>
    <w:rsid w:val="6A576E16"/>
    <w:rsid w:val="6A694D9B"/>
    <w:rsid w:val="6A6C50D6"/>
    <w:rsid w:val="6A7C4ACE"/>
    <w:rsid w:val="6AA81420"/>
    <w:rsid w:val="6AAA2561"/>
    <w:rsid w:val="6AC369D9"/>
    <w:rsid w:val="6ACB7AD0"/>
    <w:rsid w:val="6AE963A2"/>
    <w:rsid w:val="6AF91C7B"/>
    <w:rsid w:val="6B0074AE"/>
    <w:rsid w:val="6B016D82"/>
    <w:rsid w:val="6B056872"/>
    <w:rsid w:val="6B080110"/>
    <w:rsid w:val="6B0A032C"/>
    <w:rsid w:val="6B272A19"/>
    <w:rsid w:val="6B396C40"/>
    <w:rsid w:val="6B4B624F"/>
    <w:rsid w:val="6B513865"/>
    <w:rsid w:val="6B6A7D38"/>
    <w:rsid w:val="6B7B6B34"/>
    <w:rsid w:val="6B870B4D"/>
    <w:rsid w:val="6BB107A8"/>
    <w:rsid w:val="6BBA3B00"/>
    <w:rsid w:val="6BBB3287"/>
    <w:rsid w:val="6BDC7B16"/>
    <w:rsid w:val="6BE7241B"/>
    <w:rsid w:val="6BF11F1B"/>
    <w:rsid w:val="6BFB7C75"/>
    <w:rsid w:val="6C021003"/>
    <w:rsid w:val="6C3311BD"/>
    <w:rsid w:val="6C4C4CB8"/>
    <w:rsid w:val="6C5279D9"/>
    <w:rsid w:val="6C5A0E3F"/>
    <w:rsid w:val="6C607D61"/>
    <w:rsid w:val="6C7F4402"/>
    <w:rsid w:val="6C8E6D3B"/>
    <w:rsid w:val="6C9F4AA4"/>
    <w:rsid w:val="6CA6001D"/>
    <w:rsid w:val="6CAF118B"/>
    <w:rsid w:val="6CB56076"/>
    <w:rsid w:val="6CB93DB8"/>
    <w:rsid w:val="6CED3A62"/>
    <w:rsid w:val="6CED5810"/>
    <w:rsid w:val="6D0C2229"/>
    <w:rsid w:val="6D1365E0"/>
    <w:rsid w:val="6D486939"/>
    <w:rsid w:val="6D7E46BA"/>
    <w:rsid w:val="6DC522E8"/>
    <w:rsid w:val="6DDD7632"/>
    <w:rsid w:val="6DDF641F"/>
    <w:rsid w:val="6DE2733E"/>
    <w:rsid w:val="6DE9247B"/>
    <w:rsid w:val="6DF57072"/>
    <w:rsid w:val="6DFF1C9E"/>
    <w:rsid w:val="6E072901"/>
    <w:rsid w:val="6E1119D2"/>
    <w:rsid w:val="6E386F5E"/>
    <w:rsid w:val="6E423939"/>
    <w:rsid w:val="6E5A5127"/>
    <w:rsid w:val="6E66587A"/>
    <w:rsid w:val="6E8D5E4E"/>
    <w:rsid w:val="6EA840E4"/>
    <w:rsid w:val="6ED24CBD"/>
    <w:rsid w:val="6EDC3D8E"/>
    <w:rsid w:val="6EE3336E"/>
    <w:rsid w:val="6EE36ECA"/>
    <w:rsid w:val="6EED0B2A"/>
    <w:rsid w:val="6EF03395"/>
    <w:rsid w:val="6EF35E67"/>
    <w:rsid w:val="6EF74724"/>
    <w:rsid w:val="6F0F5516"/>
    <w:rsid w:val="6F2614AD"/>
    <w:rsid w:val="6F293C04"/>
    <w:rsid w:val="6F2F210F"/>
    <w:rsid w:val="6F3D7A43"/>
    <w:rsid w:val="6F573414"/>
    <w:rsid w:val="6F5946F5"/>
    <w:rsid w:val="6F6B6EC0"/>
    <w:rsid w:val="6F712728"/>
    <w:rsid w:val="6F7C731F"/>
    <w:rsid w:val="6F8561D3"/>
    <w:rsid w:val="6F8A249F"/>
    <w:rsid w:val="6F9C52CB"/>
    <w:rsid w:val="6F9F7969"/>
    <w:rsid w:val="6FB36CAD"/>
    <w:rsid w:val="6FD11419"/>
    <w:rsid w:val="6FD437FF"/>
    <w:rsid w:val="6FD607DD"/>
    <w:rsid w:val="6FDB5DF3"/>
    <w:rsid w:val="6FDE58E3"/>
    <w:rsid w:val="6FE6540E"/>
    <w:rsid w:val="6FFB0243"/>
    <w:rsid w:val="6FFD220E"/>
    <w:rsid w:val="704E2A69"/>
    <w:rsid w:val="705F6A24"/>
    <w:rsid w:val="70761FC0"/>
    <w:rsid w:val="7077603F"/>
    <w:rsid w:val="70840239"/>
    <w:rsid w:val="708B5A6B"/>
    <w:rsid w:val="709B4277"/>
    <w:rsid w:val="709C1EDC"/>
    <w:rsid w:val="70B32E6B"/>
    <w:rsid w:val="70B86135"/>
    <w:rsid w:val="70D54F38"/>
    <w:rsid w:val="710B44B6"/>
    <w:rsid w:val="711772FF"/>
    <w:rsid w:val="7128150C"/>
    <w:rsid w:val="712E63F7"/>
    <w:rsid w:val="713752AB"/>
    <w:rsid w:val="713A2FED"/>
    <w:rsid w:val="714A6BA3"/>
    <w:rsid w:val="71502811"/>
    <w:rsid w:val="715B3690"/>
    <w:rsid w:val="716167CC"/>
    <w:rsid w:val="716B13F9"/>
    <w:rsid w:val="717E2EDA"/>
    <w:rsid w:val="71844269"/>
    <w:rsid w:val="718D136F"/>
    <w:rsid w:val="71AA3CCF"/>
    <w:rsid w:val="71B903B6"/>
    <w:rsid w:val="71BC3A02"/>
    <w:rsid w:val="71C56D5B"/>
    <w:rsid w:val="71C82DE9"/>
    <w:rsid w:val="71D14210"/>
    <w:rsid w:val="71E116BB"/>
    <w:rsid w:val="71E74322"/>
    <w:rsid w:val="71EA67C2"/>
    <w:rsid w:val="71F87130"/>
    <w:rsid w:val="71FC02A3"/>
    <w:rsid w:val="71FE226D"/>
    <w:rsid w:val="72233A82"/>
    <w:rsid w:val="722D120D"/>
    <w:rsid w:val="723E08BB"/>
    <w:rsid w:val="725400DF"/>
    <w:rsid w:val="72633031"/>
    <w:rsid w:val="72646574"/>
    <w:rsid w:val="726E73F3"/>
    <w:rsid w:val="727F515C"/>
    <w:rsid w:val="72930C07"/>
    <w:rsid w:val="729E33E4"/>
    <w:rsid w:val="72A5093A"/>
    <w:rsid w:val="72BC63B0"/>
    <w:rsid w:val="72C2329A"/>
    <w:rsid w:val="72CB5037"/>
    <w:rsid w:val="72D1172F"/>
    <w:rsid w:val="72D82ABE"/>
    <w:rsid w:val="72DB610A"/>
    <w:rsid w:val="73117D7E"/>
    <w:rsid w:val="73155AC0"/>
    <w:rsid w:val="731E2BC7"/>
    <w:rsid w:val="7329331A"/>
    <w:rsid w:val="732D2E0A"/>
    <w:rsid w:val="73334198"/>
    <w:rsid w:val="735A1725"/>
    <w:rsid w:val="737547B1"/>
    <w:rsid w:val="737A5923"/>
    <w:rsid w:val="738B5D82"/>
    <w:rsid w:val="73944C37"/>
    <w:rsid w:val="73B0297D"/>
    <w:rsid w:val="73B8350B"/>
    <w:rsid w:val="73B928EF"/>
    <w:rsid w:val="73CD639B"/>
    <w:rsid w:val="73D12BD3"/>
    <w:rsid w:val="73D9089C"/>
    <w:rsid w:val="73F90F3E"/>
    <w:rsid w:val="740A314B"/>
    <w:rsid w:val="74297CD9"/>
    <w:rsid w:val="742C30C1"/>
    <w:rsid w:val="743C0C41"/>
    <w:rsid w:val="745B5755"/>
    <w:rsid w:val="748051BB"/>
    <w:rsid w:val="748C1DB2"/>
    <w:rsid w:val="74A36046"/>
    <w:rsid w:val="74B35591"/>
    <w:rsid w:val="74B84EB1"/>
    <w:rsid w:val="74C9421C"/>
    <w:rsid w:val="74CA4688"/>
    <w:rsid w:val="74CF1C9F"/>
    <w:rsid w:val="74EA0887"/>
    <w:rsid w:val="7539704C"/>
    <w:rsid w:val="754206C3"/>
    <w:rsid w:val="756D345F"/>
    <w:rsid w:val="757D09AA"/>
    <w:rsid w:val="75952577"/>
    <w:rsid w:val="75AE7533"/>
    <w:rsid w:val="75C94940"/>
    <w:rsid w:val="75D45DDE"/>
    <w:rsid w:val="75D51F38"/>
    <w:rsid w:val="75E672A0"/>
    <w:rsid w:val="75FE45EA"/>
    <w:rsid w:val="760140DA"/>
    <w:rsid w:val="76065B94"/>
    <w:rsid w:val="76191423"/>
    <w:rsid w:val="762436BA"/>
    <w:rsid w:val="76315592"/>
    <w:rsid w:val="76391AC6"/>
    <w:rsid w:val="763C3364"/>
    <w:rsid w:val="76402E54"/>
    <w:rsid w:val="76460214"/>
    <w:rsid w:val="76500BBD"/>
    <w:rsid w:val="76515061"/>
    <w:rsid w:val="76726D86"/>
    <w:rsid w:val="76805946"/>
    <w:rsid w:val="76854D0B"/>
    <w:rsid w:val="7685781D"/>
    <w:rsid w:val="76872831"/>
    <w:rsid w:val="768D3BBF"/>
    <w:rsid w:val="769136B0"/>
    <w:rsid w:val="769D02A6"/>
    <w:rsid w:val="76AA5987"/>
    <w:rsid w:val="76B92C06"/>
    <w:rsid w:val="76CC7942"/>
    <w:rsid w:val="76DB2B7D"/>
    <w:rsid w:val="76DD06A3"/>
    <w:rsid w:val="76E40BD9"/>
    <w:rsid w:val="76EE465E"/>
    <w:rsid w:val="7706409E"/>
    <w:rsid w:val="771340C5"/>
    <w:rsid w:val="773A1561"/>
    <w:rsid w:val="774E334F"/>
    <w:rsid w:val="77505319"/>
    <w:rsid w:val="7763329E"/>
    <w:rsid w:val="77640CAC"/>
    <w:rsid w:val="776B3F01"/>
    <w:rsid w:val="776D5ECB"/>
    <w:rsid w:val="777C4360"/>
    <w:rsid w:val="77884AB3"/>
    <w:rsid w:val="7789082B"/>
    <w:rsid w:val="778B00FF"/>
    <w:rsid w:val="779821C1"/>
    <w:rsid w:val="779F1DFC"/>
    <w:rsid w:val="77A26950"/>
    <w:rsid w:val="77A94CD9"/>
    <w:rsid w:val="77C2117B"/>
    <w:rsid w:val="77DA2E34"/>
    <w:rsid w:val="77E65C7D"/>
    <w:rsid w:val="781C51FB"/>
    <w:rsid w:val="781F6A99"/>
    <w:rsid w:val="78236589"/>
    <w:rsid w:val="783267CC"/>
    <w:rsid w:val="783F09AA"/>
    <w:rsid w:val="78434E7D"/>
    <w:rsid w:val="78477250"/>
    <w:rsid w:val="78611500"/>
    <w:rsid w:val="786D1EFA"/>
    <w:rsid w:val="787E5EB6"/>
    <w:rsid w:val="787E7C64"/>
    <w:rsid w:val="789D458E"/>
    <w:rsid w:val="78A43B6E"/>
    <w:rsid w:val="78A74CC3"/>
    <w:rsid w:val="78B2790D"/>
    <w:rsid w:val="78CC4E73"/>
    <w:rsid w:val="78D41F79"/>
    <w:rsid w:val="78D45AD6"/>
    <w:rsid w:val="78EC7724"/>
    <w:rsid w:val="78F65A4C"/>
    <w:rsid w:val="792B7DEB"/>
    <w:rsid w:val="79393B8B"/>
    <w:rsid w:val="793D367B"/>
    <w:rsid w:val="794013BD"/>
    <w:rsid w:val="79607369"/>
    <w:rsid w:val="796D0FC6"/>
    <w:rsid w:val="796E7CD8"/>
    <w:rsid w:val="79754594"/>
    <w:rsid w:val="798153CC"/>
    <w:rsid w:val="79907C4E"/>
    <w:rsid w:val="799728D3"/>
    <w:rsid w:val="79982FA7"/>
    <w:rsid w:val="799F1E01"/>
    <w:rsid w:val="79A354A2"/>
    <w:rsid w:val="79A84A88"/>
    <w:rsid w:val="79BA2F1D"/>
    <w:rsid w:val="79C760D6"/>
    <w:rsid w:val="79E816E6"/>
    <w:rsid w:val="79E85CDC"/>
    <w:rsid w:val="79F24465"/>
    <w:rsid w:val="79F71A7C"/>
    <w:rsid w:val="79FD7D64"/>
    <w:rsid w:val="7A0917AF"/>
    <w:rsid w:val="7A1563A6"/>
    <w:rsid w:val="7A28257D"/>
    <w:rsid w:val="7A3C3932"/>
    <w:rsid w:val="7A4A3296"/>
    <w:rsid w:val="7A610C0A"/>
    <w:rsid w:val="7A777060"/>
    <w:rsid w:val="7A9814B1"/>
    <w:rsid w:val="7A99501E"/>
    <w:rsid w:val="7AA339B1"/>
    <w:rsid w:val="7AAD0B5B"/>
    <w:rsid w:val="7AB041E9"/>
    <w:rsid w:val="7AC07CD8"/>
    <w:rsid w:val="7AD63D87"/>
    <w:rsid w:val="7AE85868"/>
    <w:rsid w:val="7AEA338E"/>
    <w:rsid w:val="7B113011"/>
    <w:rsid w:val="7B24133B"/>
    <w:rsid w:val="7B357F37"/>
    <w:rsid w:val="7B3960C4"/>
    <w:rsid w:val="7B445194"/>
    <w:rsid w:val="7B4554D0"/>
    <w:rsid w:val="7B517CBA"/>
    <w:rsid w:val="7B5A6766"/>
    <w:rsid w:val="7B670E83"/>
    <w:rsid w:val="7B6E3FBF"/>
    <w:rsid w:val="7B7470FC"/>
    <w:rsid w:val="7BC10593"/>
    <w:rsid w:val="7BE75B20"/>
    <w:rsid w:val="7BFB513A"/>
    <w:rsid w:val="7C127041"/>
    <w:rsid w:val="7C242A5C"/>
    <w:rsid w:val="7C3A0345"/>
    <w:rsid w:val="7C547659"/>
    <w:rsid w:val="7C55517F"/>
    <w:rsid w:val="7C5F7DAC"/>
    <w:rsid w:val="7C6453C2"/>
    <w:rsid w:val="7C6D24C9"/>
    <w:rsid w:val="7C766979"/>
    <w:rsid w:val="7C7970C0"/>
    <w:rsid w:val="7C857813"/>
    <w:rsid w:val="7CD73DE6"/>
    <w:rsid w:val="7CDE6F23"/>
    <w:rsid w:val="7D050953"/>
    <w:rsid w:val="7D1775CF"/>
    <w:rsid w:val="7D272678"/>
    <w:rsid w:val="7D2955BD"/>
    <w:rsid w:val="7D2F777E"/>
    <w:rsid w:val="7D324C10"/>
    <w:rsid w:val="7D480840"/>
    <w:rsid w:val="7D4A0A5C"/>
    <w:rsid w:val="7D5316BF"/>
    <w:rsid w:val="7D627B54"/>
    <w:rsid w:val="7D9121E7"/>
    <w:rsid w:val="7D913F95"/>
    <w:rsid w:val="7D9D0B8C"/>
    <w:rsid w:val="7DAB14FB"/>
    <w:rsid w:val="7DAC6B74"/>
    <w:rsid w:val="7DBC2D67"/>
    <w:rsid w:val="7DEC38C1"/>
    <w:rsid w:val="7DF74740"/>
    <w:rsid w:val="7E0429B9"/>
    <w:rsid w:val="7E22523F"/>
    <w:rsid w:val="7E292420"/>
    <w:rsid w:val="7E2E5C88"/>
    <w:rsid w:val="7E327526"/>
    <w:rsid w:val="7E527BC8"/>
    <w:rsid w:val="7E633B84"/>
    <w:rsid w:val="7E7C69F3"/>
    <w:rsid w:val="7E9014C7"/>
    <w:rsid w:val="7E90249F"/>
    <w:rsid w:val="7EAF501B"/>
    <w:rsid w:val="7ED41558"/>
    <w:rsid w:val="7EE36A72"/>
    <w:rsid w:val="7EE527EB"/>
    <w:rsid w:val="7EF46ED2"/>
    <w:rsid w:val="7F052E8D"/>
    <w:rsid w:val="7F104C8C"/>
    <w:rsid w:val="7F17496E"/>
    <w:rsid w:val="7F25708B"/>
    <w:rsid w:val="7F274FEA"/>
    <w:rsid w:val="7F3E014D"/>
    <w:rsid w:val="7F6000C3"/>
    <w:rsid w:val="7F6556D9"/>
    <w:rsid w:val="7F6C4CBA"/>
    <w:rsid w:val="7F71407E"/>
    <w:rsid w:val="7F7D2A23"/>
    <w:rsid w:val="7F963AE5"/>
    <w:rsid w:val="7F985AAF"/>
    <w:rsid w:val="7FAC4A8E"/>
    <w:rsid w:val="7FB126CD"/>
    <w:rsid w:val="7FB44B21"/>
    <w:rsid w:val="7FB55714"/>
    <w:rsid w:val="7FD64829"/>
    <w:rsid w:val="7FF16F6D"/>
    <w:rsid w:val="7FFB634D"/>
    <w:rsid w:val="BB7680B4"/>
    <w:rsid w:val="F777BC1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semiHidden="0"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qFormat="1" w:unhideWhenUsed="0" w:uiPriority="0" w:semiHidden="0"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imes New Roman" w:hAnsi="Times New Roman" w:eastAsia="宋体" w:cs="Times New Roman"/>
      <w:kern w:val="2"/>
      <w:sz w:val="28"/>
      <w:szCs w:val="24"/>
      <w:lang w:val="en-US" w:eastAsia="zh-CN" w:bidi="ar-SA"/>
    </w:rPr>
  </w:style>
  <w:style w:type="paragraph" w:styleId="2">
    <w:name w:val="heading 1"/>
    <w:basedOn w:val="1"/>
    <w:next w:val="1"/>
    <w:link w:val="46"/>
    <w:qFormat/>
    <w:uiPriority w:val="0"/>
    <w:pPr>
      <w:keepNext/>
      <w:keepLines/>
      <w:spacing w:before="340" w:after="330" w:line="480" w:lineRule="exact"/>
      <w:jc w:val="center"/>
      <w:outlineLvl w:val="0"/>
    </w:pPr>
    <w:rPr>
      <w:b/>
      <w:bCs/>
      <w:kern w:val="44"/>
      <w:sz w:val="36"/>
      <w:szCs w:val="44"/>
    </w:rPr>
  </w:style>
  <w:style w:type="paragraph" w:styleId="3">
    <w:name w:val="heading 2"/>
    <w:basedOn w:val="1"/>
    <w:next w:val="1"/>
    <w:link w:val="45"/>
    <w:qFormat/>
    <w:uiPriority w:val="0"/>
    <w:pPr>
      <w:keepNext/>
      <w:keepLines/>
      <w:spacing w:before="260" w:line="520" w:lineRule="exact"/>
      <w:jc w:val="center"/>
      <w:outlineLvl w:val="1"/>
    </w:pPr>
    <w:rPr>
      <w:rFonts w:ascii="Arial" w:hAnsi="Arial"/>
      <w:b/>
      <w:bCs/>
      <w:kern w:val="0"/>
      <w:szCs w:val="32"/>
    </w:rPr>
  </w:style>
  <w:style w:type="paragraph" w:styleId="4">
    <w:name w:val="heading 3"/>
    <w:basedOn w:val="1"/>
    <w:next w:val="1"/>
    <w:link w:val="47"/>
    <w:qFormat/>
    <w:uiPriority w:val="9"/>
    <w:pPr>
      <w:keepNext/>
      <w:keepLines/>
      <w:spacing w:before="260" w:after="260" w:line="416" w:lineRule="auto"/>
      <w:outlineLvl w:val="2"/>
    </w:pPr>
    <w:rPr>
      <w:b/>
      <w:bCs/>
      <w:kern w:val="0"/>
      <w:sz w:val="32"/>
      <w:szCs w:val="32"/>
    </w:rPr>
  </w:style>
  <w:style w:type="paragraph" w:styleId="5">
    <w:name w:val="heading 4"/>
    <w:basedOn w:val="1"/>
    <w:next w:val="1"/>
    <w:link w:val="48"/>
    <w:qFormat/>
    <w:uiPriority w:val="0"/>
    <w:pPr>
      <w:keepNext/>
      <w:keepLines/>
      <w:spacing w:before="280" w:after="290" w:line="376" w:lineRule="auto"/>
      <w:outlineLvl w:val="3"/>
    </w:pPr>
    <w:rPr>
      <w:rFonts w:ascii="Arial" w:hAnsi="Arial" w:eastAsia="黑体"/>
      <w:b/>
      <w:bCs/>
      <w:kern w:val="0"/>
      <w:szCs w:val="28"/>
    </w:rPr>
  </w:style>
  <w:style w:type="character" w:default="1" w:styleId="33">
    <w:name w:val="Default Paragraph Font"/>
    <w:unhideWhenUsed/>
    <w:qFormat/>
    <w:uiPriority w:val="1"/>
  </w:style>
  <w:style w:type="table" w:default="1" w:styleId="30">
    <w:name w:val="Normal Table"/>
    <w:unhideWhenUsed/>
    <w:qFormat/>
    <w:uiPriority w:val="99"/>
    <w:tblPr>
      <w:tblCellMar>
        <w:top w:w="0" w:type="dxa"/>
        <w:left w:w="108" w:type="dxa"/>
        <w:bottom w:w="0" w:type="dxa"/>
        <w:right w:w="108" w:type="dxa"/>
      </w:tblCellMar>
    </w:tblPr>
  </w:style>
  <w:style w:type="paragraph" w:styleId="6">
    <w:name w:val="index 8"/>
    <w:basedOn w:val="1"/>
    <w:next w:val="1"/>
    <w:qFormat/>
    <w:uiPriority w:val="0"/>
    <w:pPr>
      <w:ind w:left="2940"/>
      <w:jc w:val="center"/>
    </w:pPr>
  </w:style>
  <w:style w:type="paragraph" w:styleId="7">
    <w:name w:val="Normal Indent"/>
    <w:basedOn w:val="1"/>
    <w:link w:val="49"/>
    <w:qFormat/>
    <w:uiPriority w:val="0"/>
    <w:pPr>
      <w:ind w:firstLine="420"/>
    </w:pPr>
    <w:rPr>
      <w:rFonts w:ascii="等线" w:hAnsi="等线"/>
      <w:kern w:val="0"/>
      <w:szCs w:val="20"/>
    </w:rPr>
  </w:style>
  <w:style w:type="paragraph" w:styleId="8">
    <w:name w:val="caption"/>
    <w:basedOn w:val="1"/>
    <w:next w:val="1"/>
    <w:qFormat/>
    <w:uiPriority w:val="0"/>
    <w:pPr>
      <w:spacing w:before="152" w:after="160" w:line="240" w:lineRule="auto"/>
    </w:pPr>
    <w:rPr>
      <w:rFonts w:ascii="Arial" w:hAnsi="Arial" w:eastAsia="黑体" w:cs="Arial"/>
      <w:sz w:val="20"/>
      <w:szCs w:val="20"/>
    </w:rPr>
  </w:style>
  <w:style w:type="paragraph" w:styleId="9">
    <w:name w:val="Document Map"/>
    <w:basedOn w:val="1"/>
    <w:link w:val="50"/>
    <w:semiHidden/>
    <w:qFormat/>
    <w:uiPriority w:val="0"/>
    <w:pPr>
      <w:shd w:val="clear" w:color="auto" w:fill="000080"/>
    </w:pPr>
    <w:rPr>
      <w:kern w:val="0"/>
    </w:rPr>
  </w:style>
  <w:style w:type="paragraph" w:styleId="10">
    <w:name w:val="annotation text"/>
    <w:basedOn w:val="1"/>
    <w:link w:val="51"/>
    <w:semiHidden/>
    <w:qFormat/>
    <w:uiPriority w:val="0"/>
    <w:pPr>
      <w:jc w:val="left"/>
    </w:pPr>
    <w:rPr>
      <w:kern w:val="0"/>
    </w:rPr>
  </w:style>
  <w:style w:type="paragraph" w:styleId="11">
    <w:name w:val="Body Text 3"/>
    <w:basedOn w:val="1"/>
    <w:link w:val="52"/>
    <w:qFormat/>
    <w:uiPriority w:val="0"/>
    <w:pPr>
      <w:spacing w:after="120"/>
    </w:pPr>
    <w:rPr>
      <w:rFonts w:ascii="等线" w:hAnsi="等线" w:eastAsia="等线"/>
      <w:kern w:val="0"/>
      <w:sz w:val="16"/>
      <w:szCs w:val="16"/>
    </w:rPr>
  </w:style>
  <w:style w:type="paragraph" w:styleId="12">
    <w:name w:val="Body Text"/>
    <w:basedOn w:val="1"/>
    <w:link w:val="53"/>
    <w:qFormat/>
    <w:uiPriority w:val="0"/>
    <w:rPr>
      <w:rFonts w:ascii="仿宋_GB2312" w:eastAsia="仿宋_GB2312"/>
      <w:kern w:val="0"/>
    </w:rPr>
  </w:style>
  <w:style w:type="paragraph" w:styleId="13">
    <w:name w:val="Body Text Indent"/>
    <w:basedOn w:val="1"/>
    <w:link w:val="54"/>
    <w:qFormat/>
    <w:uiPriority w:val="0"/>
    <w:pPr>
      <w:spacing w:line="312" w:lineRule="auto"/>
      <w:ind w:firstLine="420" w:firstLineChars="200"/>
    </w:pPr>
    <w:rPr>
      <w:rFonts w:ascii="仿宋_GB2312" w:eastAsia="仿宋_GB2312"/>
      <w:kern w:val="0"/>
      <w:szCs w:val="21"/>
    </w:rPr>
  </w:style>
  <w:style w:type="paragraph" w:styleId="14">
    <w:name w:val="Block Text"/>
    <w:basedOn w:val="1"/>
    <w:qFormat/>
    <w:uiPriority w:val="0"/>
    <w:pPr>
      <w:spacing w:after="120"/>
      <w:ind w:left="1440" w:leftChars="700" w:right="1440" w:rightChars="700"/>
    </w:pPr>
  </w:style>
  <w:style w:type="paragraph" w:styleId="15">
    <w:name w:val="toc 3"/>
    <w:basedOn w:val="1"/>
    <w:next w:val="1"/>
    <w:qFormat/>
    <w:uiPriority w:val="39"/>
    <w:pPr>
      <w:tabs>
        <w:tab w:val="right" w:leader="dot" w:pos="9458"/>
      </w:tabs>
      <w:ind w:left="420" w:leftChars="150"/>
    </w:pPr>
  </w:style>
  <w:style w:type="paragraph" w:styleId="16">
    <w:name w:val="Plain Text"/>
    <w:basedOn w:val="1"/>
    <w:link w:val="55"/>
    <w:qFormat/>
    <w:uiPriority w:val="0"/>
    <w:rPr>
      <w:rFonts w:ascii="宋体" w:hAnsi="Courier New"/>
      <w:kern w:val="0"/>
      <w:szCs w:val="21"/>
    </w:rPr>
  </w:style>
  <w:style w:type="paragraph" w:styleId="17">
    <w:name w:val="Date"/>
    <w:basedOn w:val="1"/>
    <w:next w:val="1"/>
    <w:link w:val="56"/>
    <w:qFormat/>
    <w:uiPriority w:val="0"/>
    <w:pPr>
      <w:ind w:left="100" w:leftChars="2500"/>
    </w:pPr>
    <w:rPr>
      <w:kern w:val="0"/>
    </w:rPr>
  </w:style>
  <w:style w:type="paragraph" w:styleId="18">
    <w:name w:val="Body Text Indent 2"/>
    <w:basedOn w:val="1"/>
    <w:link w:val="57"/>
    <w:qFormat/>
    <w:uiPriority w:val="0"/>
    <w:pPr>
      <w:spacing w:line="312" w:lineRule="auto"/>
      <w:ind w:firstLine="420" w:firstLineChars="200"/>
      <w:jc w:val="left"/>
    </w:pPr>
    <w:rPr>
      <w:rFonts w:ascii="仿宋_GB2312" w:eastAsia="仿宋_GB2312"/>
      <w:kern w:val="0"/>
      <w:szCs w:val="21"/>
    </w:rPr>
  </w:style>
  <w:style w:type="paragraph" w:styleId="19">
    <w:name w:val="Balloon Text"/>
    <w:basedOn w:val="1"/>
    <w:link w:val="58"/>
    <w:semiHidden/>
    <w:qFormat/>
    <w:uiPriority w:val="0"/>
    <w:rPr>
      <w:kern w:val="0"/>
      <w:sz w:val="18"/>
      <w:szCs w:val="18"/>
    </w:rPr>
  </w:style>
  <w:style w:type="paragraph" w:styleId="20">
    <w:name w:val="footer"/>
    <w:basedOn w:val="1"/>
    <w:link w:val="59"/>
    <w:qFormat/>
    <w:uiPriority w:val="99"/>
    <w:pPr>
      <w:tabs>
        <w:tab w:val="center" w:pos="4153"/>
        <w:tab w:val="right" w:pos="8306"/>
      </w:tabs>
      <w:snapToGrid w:val="0"/>
      <w:jc w:val="left"/>
    </w:pPr>
    <w:rPr>
      <w:rFonts w:ascii="等线" w:hAnsi="等线"/>
      <w:kern w:val="0"/>
      <w:sz w:val="18"/>
      <w:szCs w:val="18"/>
    </w:rPr>
  </w:style>
  <w:style w:type="paragraph" w:styleId="21">
    <w:name w:val="header"/>
    <w:basedOn w:val="1"/>
    <w:link w:val="60"/>
    <w:qFormat/>
    <w:uiPriority w:val="99"/>
    <w:pPr>
      <w:pBdr>
        <w:bottom w:val="single" w:color="auto" w:sz="6" w:space="1"/>
      </w:pBdr>
      <w:tabs>
        <w:tab w:val="center" w:pos="4153"/>
        <w:tab w:val="right" w:pos="8306"/>
      </w:tabs>
      <w:snapToGrid w:val="0"/>
      <w:jc w:val="center"/>
    </w:pPr>
    <w:rPr>
      <w:rFonts w:ascii="等线" w:hAnsi="等线"/>
      <w:kern w:val="0"/>
      <w:sz w:val="18"/>
      <w:szCs w:val="20"/>
    </w:rPr>
  </w:style>
  <w:style w:type="paragraph" w:styleId="22">
    <w:name w:val="toc 1"/>
    <w:basedOn w:val="1"/>
    <w:next w:val="1"/>
    <w:qFormat/>
    <w:uiPriority w:val="39"/>
    <w:pPr>
      <w:tabs>
        <w:tab w:val="right" w:leader="dot" w:pos="9518"/>
      </w:tabs>
      <w:spacing w:line="480" w:lineRule="auto"/>
    </w:pPr>
    <w:rPr>
      <w:sz w:val="32"/>
    </w:rPr>
  </w:style>
  <w:style w:type="paragraph" w:styleId="23">
    <w:name w:val="List"/>
    <w:basedOn w:val="1"/>
    <w:qFormat/>
    <w:uiPriority w:val="0"/>
    <w:pPr>
      <w:ind w:left="200" w:hanging="200" w:hangingChars="200"/>
    </w:pPr>
  </w:style>
  <w:style w:type="paragraph" w:styleId="24">
    <w:name w:val="Body Text Indent 3"/>
    <w:basedOn w:val="1"/>
    <w:link w:val="61"/>
    <w:qFormat/>
    <w:uiPriority w:val="0"/>
    <w:pPr>
      <w:spacing w:line="288" w:lineRule="auto"/>
      <w:ind w:left="536" w:leftChars="207" w:hanging="101" w:hangingChars="48"/>
    </w:pPr>
    <w:rPr>
      <w:rFonts w:ascii="仿宋_GB2312" w:eastAsia="仿宋_GB2312"/>
      <w:kern w:val="0"/>
    </w:rPr>
  </w:style>
  <w:style w:type="paragraph" w:styleId="25">
    <w:name w:val="toc 2"/>
    <w:basedOn w:val="1"/>
    <w:next w:val="1"/>
    <w:qFormat/>
    <w:uiPriority w:val="39"/>
    <w:pPr>
      <w:tabs>
        <w:tab w:val="left" w:pos="1260"/>
        <w:tab w:val="right" w:leader="dot" w:pos="9142"/>
        <w:tab w:val="right" w:leader="dot" w:pos="9180"/>
      </w:tabs>
      <w:snapToGrid w:val="0"/>
      <w:spacing w:line="360" w:lineRule="auto"/>
    </w:pPr>
    <w:rPr>
      <w:rFonts w:ascii="仿宋_GB2312" w:hAnsi="宋体" w:eastAsia="仿宋_GB2312"/>
      <w:b/>
      <w:bCs/>
      <w:color w:val="000000"/>
      <w:sz w:val="30"/>
      <w:szCs w:val="30"/>
    </w:rPr>
  </w:style>
  <w:style w:type="paragraph" w:styleId="26">
    <w:name w:val="Body Text 2"/>
    <w:basedOn w:val="1"/>
    <w:link w:val="62"/>
    <w:qFormat/>
    <w:uiPriority w:val="0"/>
    <w:pPr>
      <w:spacing w:after="120" w:line="480" w:lineRule="auto"/>
    </w:pPr>
    <w:rPr>
      <w:rFonts w:ascii="等线" w:hAnsi="等线" w:eastAsia="等线"/>
      <w:kern w:val="0"/>
      <w:sz w:val="20"/>
    </w:rPr>
  </w:style>
  <w:style w:type="paragraph" w:styleId="27">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paragraph" w:styleId="28">
    <w:name w:val="Title"/>
    <w:basedOn w:val="1"/>
    <w:next w:val="1"/>
    <w:link w:val="63"/>
    <w:qFormat/>
    <w:uiPriority w:val="0"/>
    <w:pPr>
      <w:spacing w:before="240" w:after="60"/>
      <w:jc w:val="center"/>
      <w:outlineLvl w:val="0"/>
    </w:pPr>
    <w:rPr>
      <w:rFonts w:ascii="Arial" w:hAnsi="Arial"/>
      <w:b/>
      <w:bCs/>
      <w:kern w:val="0"/>
      <w:sz w:val="44"/>
      <w:szCs w:val="32"/>
    </w:rPr>
  </w:style>
  <w:style w:type="paragraph" w:styleId="29">
    <w:name w:val="annotation subject"/>
    <w:basedOn w:val="10"/>
    <w:next w:val="10"/>
    <w:link w:val="64"/>
    <w:semiHidden/>
    <w:qFormat/>
    <w:uiPriority w:val="0"/>
    <w:rPr>
      <w:b/>
      <w:bCs/>
    </w:rPr>
  </w:style>
  <w:style w:type="table" w:styleId="31">
    <w:name w:val="Table Grid"/>
    <w:basedOn w:val="3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2">
    <w:name w:val="Table Web 1"/>
    <w:basedOn w:val="30"/>
    <w:qFormat/>
    <w:uiPriority w:val="0"/>
    <w:pPr>
      <w:widowControl w:val="0"/>
      <w:spacing w:line="600" w:lineRule="exact"/>
      <w:jc w:val="both"/>
    </w:pPr>
    <w:rPr>
      <w:rFonts w:ascii="Times New Roman" w:hAnsi="Times New Roman" w:eastAsia="宋体" w:cs="Times New Roman"/>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character" w:styleId="34">
    <w:name w:val="Strong"/>
    <w:qFormat/>
    <w:uiPriority w:val="0"/>
    <w:rPr>
      <w:b/>
      <w:bCs/>
    </w:rPr>
  </w:style>
  <w:style w:type="character" w:styleId="35">
    <w:name w:val="page number"/>
    <w:basedOn w:val="33"/>
    <w:qFormat/>
    <w:uiPriority w:val="0"/>
  </w:style>
  <w:style w:type="character" w:styleId="36">
    <w:name w:val="FollowedHyperlink"/>
    <w:basedOn w:val="33"/>
    <w:semiHidden/>
    <w:unhideWhenUsed/>
    <w:qFormat/>
    <w:uiPriority w:val="99"/>
    <w:rPr>
      <w:rFonts w:hint="eastAsia" w:ascii="宋体" w:hAnsi="宋体" w:eastAsia="宋体" w:cs="宋体"/>
      <w:color w:val="333333"/>
      <w:sz w:val="18"/>
      <w:szCs w:val="18"/>
      <w:u w:val="none"/>
    </w:rPr>
  </w:style>
  <w:style w:type="character" w:styleId="37">
    <w:name w:val="Emphasis"/>
    <w:basedOn w:val="33"/>
    <w:qFormat/>
    <w:uiPriority w:val="20"/>
  </w:style>
  <w:style w:type="character" w:styleId="38">
    <w:name w:val="HTML Definition"/>
    <w:basedOn w:val="33"/>
    <w:semiHidden/>
    <w:unhideWhenUsed/>
    <w:qFormat/>
    <w:uiPriority w:val="99"/>
  </w:style>
  <w:style w:type="character" w:styleId="39">
    <w:name w:val="HTML Acronym"/>
    <w:basedOn w:val="33"/>
    <w:semiHidden/>
    <w:unhideWhenUsed/>
    <w:qFormat/>
    <w:uiPriority w:val="99"/>
  </w:style>
  <w:style w:type="character" w:styleId="40">
    <w:name w:val="HTML Variable"/>
    <w:basedOn w:val="33"/>
    <w:semiHidden/>
    <w:unhideWhenUsed/>
    <w:qFormat/>
    <w:uiPriority w:val="99"/>
  </w:style>
  <w:style w:type="character" w:styleId="41">
    <w:name w:val="Hyperlink"/>
    <w:qFormat/>
    <w:uiPriority w:val="99"/>
    <w:rPr>
      <w:color w:val="0000FF"/>
      <w:u w:val="single"/>
    </w:rPr>
  </w:style>
  <w:style w:type="character" w:styleId="42">
    <w:name w:val="HTML Code"/>
    <w:basedOn w:val="33"/>
    <w:semiHidden/>
    <w:unhideWhenUsed/>
    <w:qFormat/>
    <w:uiPriority w:val="99"/>
    <w:rPr>
      <w:rFonts w:ascii="Courier New" w:hAnsi="Courier New"/>
      <w:sz w:val="20"/>
    </w:rPr>
  </w:style>
  <w:style w:type="character" w:styleId="43">
    <w:name w:val="annotation reference"/>
    <w:semiHidden/>
    <w:qFormat/>
    <w:uiPriority w:val="0"/>
    <w:rPr>
      <w:sz w:val="21"/>
      <w:szCs w:val="21"/>
    </w:rPr>
  </w:style>
  <w:style w:type="character" w:styleId="44">
    <w:name w:val="HTML Cite"/>
    <w:basedOn w:val="33"/>
    <w:semiHidden/>
    <w:unhideWhenUsed/>
    <w:qFormat/>
    <w:uiPriority w:val="99"/>
  </w:style>
  <w:style w:type="character" w:customStyle="1" w:styleId="45">
    <w:name w:val="标题 2 Char"/>
    <w:link w:val="3"/>
    <w:qFormat/>
    <w:uiPriority w:val="0"/>
    <w:rPr>
      <w:rFonts w:ascii="Arial" w:hAnsi="Arial" w:eastAsia="宋体" w:cs="Times New Roman"/>
      <w:b/>
      <w:bCs/>
      <w:sz w:val="28"/>
      <w:szCs w:val="32"/>
    </w:rPr>
  </w:style>
  <w:style w:type="character" w:customStyle="1" w:styleId="46">
    <w:name w:val="标题 1 Char"/>
    <w:link w:val="2"/>
    <w:qFormat/>
    <w:uiPriority w:val="0"/>
    <w:rPr>
      <w:rFonts w:ascii="Times New Roman" w:hAnsi="Times New Roman" w:eastAsia="宋体" w:cs="Times New Roman"/>
      <w:b/>
      <w:bCs/>
      <w:kern w:val="44"/>
      <w:sz w:val="36"/>
      <w:szCs w:val="44"/>
    </w:rPr>
  </w:style>
  <w:style w:type="character" w:customStyle="1" w:styleId="47">
    <w:name w:val="标题 3 Char"/>
    <w:link w:val="4"/>
    <w:qFormat/>
    <w:uiPriority w:val="9"/>
    <w:rPr>
      <w:rFonts w:ascii="Times New Roman" w:hAnsi="Times New Roman" w:eastAsia="宋体" w:cs="Times New Roman"/>
      <w:b/>
      <w:bCs/>
      <w:sz w:val="32"/>
      <w:szCs w:val="32"/>
    </w:rPr>
  </w:style>
  <w:style w:type="character" w:customStyle="1" w:styleId="48">
    <w:name w:val="标题 4 Char"/>
    <w:link w:val="5"/>
    <w:qFormat/>
    <w:uiPriority w:val="0"/>
    <w:rPr>
      <w:rFonts w:ascii="Arial" w:hAnsi="Arial" w:eastAsia="黑体" w:cs="Times New Roman"/>
      <w:b/>
      <w:bCs/>
      <w:sz w:val="28"/>
      <w:szCs w:val="28"/>
    </w:rPr>
  </w:style>
  <w:style w:type="character" w:customStyle="1" w:styleId="49">
    <w:name w:val="正文缩进 Char"/>
    <w:link w:val="7"/>
    <w:qFormat/>
    <w:uiPriority w:val="0"/>
    <w:rPr>
      <w:rFonts w:eastAsia="宋体"/>
      <w:sz w:val="28"/>
    </w:rPr>
  </w:style>
  <w:style w:type="character" w:customStyle="1" w:styleId="50">
    <w:name w:val="文档结构图 Char"/>
    <w:link w:val="9"/>
    <w:semiHidden/>
    <w:qFormat/>
    <w:uiPriority w:val="0"/>
    <w:rPr>
      <w:rFonts w:ascii="Times New Roman" w:hAnsi="Times New Roman" w:eastAsia="宋体" w:cs="Times New Roman"/>
      <w:sz w:val="28"/>
      <w:szCs w:val="24"/>
      <w:shd w:val="clear" w:color="auto" w:fill="000080"/>
    </w:rPr>
  </w:style>
  <w:style w:type="character" w:customStyle="1" w:styleId="51">
    <w:name w:val="批注文字 Char"/>
    <w:link w:val="10"/>
    <w:semiHidden/>
    <w:qFormat/>
    <w:uiPriority w:val="0"/>
    <w:rPr>
      <w:rFonts w:ascii="Times New Roman" w:hAnsi="Times New Roman" w:eastAsia="宋体" w:cs="Times New Roman"/>
      <w:sz w:val="28"/>
      <w:szCs w:val="24"/>
    </w:rPr>
  </w:style>
  <w:style w:type="character" w:customStyle="1" w:styleId="52">
    <w:name w:val="正文文本 3 Char"/>
    <w:link w:val="11"/>
    <w:qFormat/>
    <w:uiPriority w:val="0"/>
    <w:rPr>
      <w:sz w:val="16"/>
      <w:szCs w:val="16"/>
    </w:rPr>
  </w:style>
  <w:style w:type="character" w:customStyle="1" w:styleId="53">
    <w:name w:val="正文文本 Char"/>
    <w:link w:val="12"/>
    <w:qFormat/>
    <w:uiPriority w:val="0"/>
    <w:rPr>
      <w:rFonts w:ascii="仿宋_GB2312" w:hAnsi="Times New Roman" w:eastAsia="仿宋_GB2312" w:cs="Times New Roman"/>
      <w:sz w:val="28"/>
      <w:szCs w:val="24"/>
    </w:rPr>
  </w:style>
  <w:style w:type="character" w:customStyle="1" w:styleId="54">
    <w:name w:val="正文文本缩进 Char"/>
    <w:link w:val="13"/>
    <w:qFormat/>
    <w:uiPriority w:val="0"/>
    <w:rPr>
      <w:rFonts w:ascii="仿宋_GB2312" w:hAnsi="Times New Roman" w:eastAsia="仿宋_GB2312" w:cs="Times New Roman"/>
      <w:sz w:val="28"/>
      <w:szCs w:val="21"/>
    </w:rPr>
  </w:style>
  <w:style w:type="character" w:customStyle="1" w:styleId="55">
    <w:name w:val="纯文本 Char"/>
    <w:link w:val="16"/>
    <w:qFormat/>
    <w:uiPriority w:val="0"/>
    <w:rPr>
      <w:rFonts w:ascii="宋体" w:hAnsi="Courier New" w:eastAsia="宋体" w:cs="Courier New"/>
      <w:sz w:val="28"/>
      <w:szCs w:val="21"/>
    </w:rPr>
  </w:style>
  <w:style w:type="character" w:customStyle="1" w:styleId="56">
    <w:name w:val="日期 Char"/>
    <w:link w:val="17"/>
    <w:qFormat/>
    <w:uiPriority w:val="0"/>
    <w:rPr>
      <w:rFonts w:ascii="Times New Roman" w:hAnsi="Times New Roman" w:eastAsia="宋体" w:cs="Times New Roman"/>
      <w:sz w:val="28"/>
      <w:szCs w:val="24"/>
    </w:rPr>
  </w:style>
  <w:style w:type="character" w:customStyle="1" w:styleId="57">
    <w:name w:val="正文文本缩进 2 Char"/>
    <w:link w:val="18"/>
    <w:qFormat/>
    <w:uiPriority w:val="0"/>
    <w:rPr>
      <w:rFonts w:ascii="仿宋_GB2312" w:hAnsi="Times New Roman" w:eastAsia="仿宋_GB2312" w:cs="Times New Roman"/>
      <w:sz w:val="28"/>
      <w:szCs w:val="21"/>
    </w:rPr>
  </w:style>
  <w:style w:type="character" w:customStyle="1" w:styleId="58">
    <w:name w:val="批注框文本 Char"/>
    <w:link w:val="19"/>
    <w:semiHidden/>
    <w:qFormat/>
    <w:uiPriority w:val="0"/>
    <w:rPr>
      <w:rFonts w:ascii="Times New Roman" w:hAnsi="Times New Roman" w:eastAsia="宋体" w:cs="Times New Roman"/>
      <w:sz w:val="18"/>
      <w:szCs w:val="18"/>
    </w:rPr>
  </w:style>
  <w:style w:type="character" w:customStyle="1" w:styleId="59">
    <w:name w:val="页脚 Char"/>
    <w:link w:val="20"/>
    <w:qFormat/>
    <w:uiPriority w:val="99"/>
    <w:rPr>
      <w:rFonts w:eastAsia="宋体"/>
      <w:sz w:val="18"/>
      <w:szCs w:val="18"/>
    </w:rPr>
  </w:style>
  <w:style w:type="character" w:customStyle="1" w:styleId="60">
    <w:name w:val="页眉 Char"/>
    <w:link w:val="21"/>
    <w:qFormat/>
    <w:uiPriority w:val="99"/>
    <w:rPr>
      <w:rFonts w:eastAsia="宋体"/>
      <w:sz w:val="18"/>
    </w:rPr>
  </w:style>
  <w:style w:type="character" w:customStyle="1" w:styleId="61">
    <w:name w:val="正文文本缩进 3 Char"/>
    <w:link w:val="24"/>
    <w:qFormat/>
    <w:uiPriority w:val="0"/>
    <w:rPr>
      <w:rFonts w:ascii="仿宋_GB2312" w:hAnsi="Times New Roman" w:eastAsia="仿宋_GB2312" w:cs="Times New Roman"/>
      <w:sz w:val="28"/>
      <w:szCs w:val="24"/>
    </w:rPr>
  </w:style>
  <w:style w:type="character" w:customStyle="1" w:styleId="62">
    <w:name w:val="正文文本 2 Char"/>
    <w:link w:val="26"/>
    <w:qFormat/>
    <w:uiPriority w:val="0"/>
    <w:rPr>
      <w:szCs w:val="24"/>
    </w:rPr>
  </w:style>
  <w:style w:type="character" w:customStyle="1" w:styleId="63">
    <w:name w:val="标题 Char"/>
    <w:link w:val="28"/>
    <w:qFormat/>
    <w:uiPriority w:val="0"/>
    <w:rPr>
      <w:rFonts w:ascii="Arial" w:hAnsi="Arial" w:eastAsia="宋体" w:cs="Arial"/>
      <w:b/>
      <w:bCs/>
      <w:sz w:val="44"/>
      <w:szCs w:val="32"/>
    </w:rPr>
  </w:style>
  <w:style w:type="character" w:customStyle="1" w:styleId="64">
    <w:name w:val="批注主题 Char"/>
    <w:link w:val="29"/>
    <w:semiHidden/>
    <w:qFormat/>
    <w:uiPriority w:val="0"/>
    <w:rPr>
      <w:rFonts w:ascii="Times New Roman" w:hAnsi="Times New Roman" w:eastAsia="宋体" w:cs="Times New Roman"/>
      <w:b/>
      <w:bCs/>
      <w:sz w:val="28"/>
      <w:szCs w:val="24"/>
    </w:rPr>
  </w:style>
  <w:style w:type="character" w:customStyle="1" w:styleId="65">
    <w:name w:val="标准 正文 QJJ Char Char"/>
    <w:link w:val="66"/>
    <w:qFormat/>
    <w:uiPriority w:val="0"/>
    <w:rPr>
      <w:rFonts w:ascii="宋体" w:hAnsi="Arial" w:eastAsia="宋体" w:cs="宋体"/>
      <w:sz w:val="24"/>
      <w:szCs w:val="24"/>
    </w:rPr>
  </w:style>
  <w:style w:type="paragraph" w:customStyle="1" w:styleId="66">
    <w:name w:val="标准 正文 QJJ"/>
    <w:basedOn w:val="1"/>
    <w:link w:val="65"/>
    <w:qFormat/>
    <w:uiPriority w:val="0"/>
    <w:pPr>
      <w:spacing w:line="520" w:lineRule="exact"/>
      <w:ind w:firstLine="480" w:firstLineChars="200"/>
    </w:pPr>
    <w:rPr>
      <w:rFonts w:ascii="宋体" w:hAnsi="Arial"/>
      <w:kern w:val="0"/>
      <w:sz w:val="24"/>
    </w:rPr>
  </w:style>
  <w:style w:type="character" w:customStyle="1" w:styleId="67">
    <w:name w:val="纯文本 Char1"/>
    <w:semiHidden/>
    <w:qFormat/>
    <w:uiPriority w:val="99"/>
    <w:rPr>
      <w:rFonts w:ascii="宋体" w:hAnsi="Courier New" w:eastAsia="宋体" w:cs="Courier New"/>
      <w:szCs w:val="21"/>
    </w:rPr>
  </w:style>
  <w:style w:type="character" w:customStyle="1" w:styleId="68">
    <w:name w:val="正文文本 2 Char1"/>
    <w:semiHidden/>
    <w:qFormat/>
    <w:uiPriority w:val="99"/>
    <w:rPr>
      <w:rFonts w:ascii="Times New Roman" w:hAnsi="Times New Roman" w:eastAsia="宋体" w:cs="Times New Roman"/>
      <w:sz w:val="28"/>
      <w:szCs w:val="24"/>
    </w:rPr>
  </w:style>
  <w:style w:type="character" w:customStyle="1" w:styleId="69">
    <w:name w:val="纯文本 字符"/>
    <w:qFormat/>
    <w:uiPriority w:val="0"/>
    <w:rPr>
      <w:rFonts w:ascii="宋体" w:hAnsi="Courier New" w:eastAsia="宋体"/>
      <w:kern w:val="2"/>
      <w:sz w:val="21"/>
      <w:szCs w:val="21"/>
      <w:lang w:val="en-US" w:eastAsia="zh-CN" w:bidi="ar-SA"/>
    </w:rPr>
  </w:style>
  <w:style w:type="character" w:customStyle="1" w:styleId="70">
    <w:name w:val="页脚 Char1"/>
    <w:semiHidden/>
    <w:qFormat/>
    <w:uiPriority w:val="99"/>
    <w:rPr>
      <w:rFonts w:ascii="Times New Roman" w:hAnsi="Times New Roman" w:eastAsia="宋体" w:cs="Times New Roman"/>
      <w:sz w:val="18"/>
      <w:szCs w:val="18"/>
    </w:rPr>
  </w:style>
  <w:style w:type="character" w:customStyle="1" w:styleId="71">
    <w:name w:val="正文缩进 Char1"/>
    <w:qFormat/>
    <w:uiPriority w:val="0"/>
    <w:rPr>
      <w:rFonts w:eastAsia="宋体"/>
      <w:kern w:val="2"/>
      <w:sz w:val="21"/>
      <w:lang w:val="en-US" w:eastAsia="zh-CN" w:bidi="ar-SA"/>
    </w:rPr>
  </w:style>
  <w:style w:type="character" w:customStyle="1" w:styleId="72">
    <w:name w:val="未处理的提及"/>
    <w:unhideWhenUsed/>
    <w:qFormat/>
    <w:uiPriority w:val="99"/>
    <w:rPr>
      <w:color w:val="605E5C"/>
      <w:shd w:val="clear" w:color="auto" w:fill="E1DFDD"/>
    </w:rPr>
  </w:style>
  <w:style w:type="character" w:customStyle="1" w:styleId="73">
    <w:name w:val="medium_text1"/>
    <w:qFormat/>
    <w:uiPriority w:val="0"/>
    <w:rPr>
      <w:rFonts w:ascii="Tahoma" w:hAnsi="Tahoma"/>
      <w:sz w:val="24"/>
      <w:szCs w:val="24"/>
    </w:rPr>
  </w:style>
  <w:style w:type="character" w:customStyle="1" w:styleId="74">
    <w:name w:val="页眉 Char1"/>
    <w:semiHidden/>
    <w:qFormat/>
    <w:uiPriority w:val="99"/>
    <w:rPr>
      <w:rFonts w:ascii="Times New Roman" w:hAnsi="Times New Roman" w:eastAsia="宋体" w:cs="Times New Roman"/>
      <w:sz w:val="18"/>
      <w:szCs w:val="18"/>
    </w:rPr>
  </w:style>
  <w:style w:type="character" w:customStyle="1" w:styleId="75">
    <w:name w:val="正文文本 3 Char1"/>
    <w:semiHidden/>
    <w:qFormat/>
    <w:uiPriority w:val="99"/>
    <w:rPr>
      <w:rFonts w:ascii="Times New Roman" w:hAnsi="Times New Roman" w:eastAsia="宋体" w:cs="Times New Roman"/>
      <w:sz w:val="16"/>
      <w:szCs w:val="16"/>
    </w:rPr>
  </w:style>
  <w:style w:type="paragraph" w:customStyle="1" w:styleId="76">
    <w:name w:val="Char Char6 Char Char2"/>
    <w:basedOn w:val="1"/>
    <w:qFormat/>
    <w:uiPriority w:val="0"/>
    <w:pPr>
      <w:spacing w:line="240" w:lineRule="auto"/>
    </w:pPr>
    <w:rPr>
      <w:sz w:val="21"/>
    </w:rPr>
  </w:style>
  <w:style w:type="paragraph" w:customStyle="1" w:styleId="77">
    <w:name w:val="Char Char Char1 Char"/>
    <w:basedOn w:val="1"/>
    <w:qFormat/>
    <w:uiPriority w:val="0"/>
  </w:style>
  <w:style w:type="paragraph" w:customStyle="1" w:styleId="78">
    <w:name w:val="格式10"/>
    <w:basedOn w:val="1"/>
    <w:qFormat/>
    <w:uiPriority w:val="0"/>
    <w:pPr>
      <w:spacing w:line="360" w:lineRule="exact"/>
      <w:ind w:left="480"/>
    </w:pPr>
    <w:rPr>
      <w:sz w:val="24"/>
    </w:rPr>
  </w:style>
  <w:style w:type="paragraph" w:customStyle="1" w:styleId="79">
    <w:name w:val="格式1"/>
    <w:basedOn w:val="1"/>
    <w:qFormat/>
    <w:uiPriority w:val="0"/>
    <w:pPr>
      <w:spacing w:beforeLines="50"/>
      <w:jc w:val="center"/>
    </w:pPr>
    <w:rPr>
      <w:rFonts w:ascii="黑体" w:hAnsi="宋体" w:eastAsia="黑体"/>
      <w:b/>
      <w:bCs/>
      <w:color w:val="000000"/>
      <w:sz w:val="32"/>
      <w:szCs w:val="20"/>
    </w:rPr>
  </w:style>
  <w:style w:type="paragraph" w:customStyle="1" w:styleId="80">
    <w:name w:val="列出段落"/>
    <w:basedOn w:val="1"/>
    <w:qFormat/>
    <w:uiPriority w:val="0"/>
    <w:pPr>
      <w:ind w:firstLine="420" w:firstLineChars="200"/>
    </w:pPr>
    <w:rPr>
      <w:rFonts w:ascii="Calibri" w:hAnsi="Calibri"/>
      <w:szCs w:val="22"/>
    </w:rPr>
  </w:style>
  <w:style w:type="paragraph" w:customStyle="1" w:styleId="81">
    <w:name w:val="Char1"/>
    <w:basedOn w:val="1"/>
    <w:qFormat/>
    <w:uiPriority w:val="0"/>
    <w:pPr>
      <w:spacing w:line="240" w:lineRule="auto"/>
    </w:pPr>
    <w:rPr>
      <w:sz w:val="21"/>
    </w:rPr>
  </w:style>
  <w:style w:type="paragraph" w:customStyle="1" w:styleId="82">
    <w:name w:val="默认段落字体 Para Char Char Char Char"/>
    <w:basedOn w:val="1"/>
    <w:qFormat/>
    <w:uiPriority w:val="0"/>
    <w:pPr>
      <w:spacing w:line="240" w:lineRule="auto"/>
    </w:pPr>
    <w:rPr>
      <w:sz w:val="21"/>
    </w:rPr>
  </w:style>
  <w:style w:type="paragraph" w:customStyle="1" w:styleId="83">
    <w:name w:val="Char Char6 Char Char"/>
    <w:basedOn w:val="1"/>
    <w:qFormat/>
    <w:uiPriority w:val="0"/>
    <w:pPr>
      <w:spacing w:line="240" w:lineRule="auto"/>
    </w:pPr>
    <w:rPr>
      <w:sz w:val="21"/>
    </w:rPr>
  </w:style>
  <w:style w:type="paragraph" w:customStyle="1" w:styleId="84">
    <w:name w:val="TOC 标题"/>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5">
    <w:name w:val="Char Char6 Char Char1"/>
    <w:basedOn w:val="1"/>
    <w:qFormat/>
    <w:uiPriority w:val="0"/>
    <w:pPr>
      <w:spacing w:line="240" w:lineRule="auto"/>
    </w:pPr>
    <w:rPr>
      <w:sz w:val="21"/>
    </w:rPr>
  </w:style>
  <w:style w:type="paragraph" w:customStyle="1" w:styleId="86">
    <w:name w:val="标题3"/>
    <w:basedOn w:val="4"/>
    <w:qFormat/>
    <w:uiPriority w:val="0"/>
    <w:pPr>
      <w:adjustRightInd w:val="0"/>
      <w:snapToGrid w:val="0"/>
      <w:spacing w:beforeLines="100" w:afterLines="100" w:line="240" w:lineRule="auto"/>
      <w:jc w:val="center"/>
    </w:pPr>
    <w:rPr>
      <w:rFonts w:eastAsia="黑体"/>
      <w:sz w:val="28"/>
      <w:szCs w:val="20"/>
    </w:rPr>
  </w:style>
  <w:style w:type="paragraph" w:customStyle="1" w:styleId="87">
    <w:name w:val="_Style 37"/>
    <w:basedOn w:val="1"/>
    <w:qFormat/>
    <w:uiPriority w:val="0"/>
    <w:pPr>
      <w:spacing w:line="240" w:lineRule="auto"/>
    </w:pPr>
    <w:rPr>
      <w:sz w:val="21"/>
    </w:rPr>
  </w:style>
  <w:style w:type="paragraph" w:customStyle="1" w:styleId="88">
    <w:name w:val="列出段落1"/>
    <w:basedOn w:val="1"/>
    <w:qFormat/>
    <w:uiPriority w:val="34"/>
    <w:pPr>
      <w:ind w:firstLine="420" w:firstLineChars="200"/>
    </w:pPr>
  </w:style>
  <w:style w:type="paragraph" w:customStyle="1" w:styleId="89">
    <w:name w:val="格式4"/>
    <w:basedOn w:val="1"/>
    <w:qFormat/>
    <w:uiPriority w:val="0"/>
    <w:pPr>
      <w:spacing w:line="420" w:lineRule="exact"/>
      <w:ind w:left="990" w:leftChars="300" w:hanging="360" w:hangingChars="150"/>
    </w:pPr>
    <w:rPr>
      <w:rFonts w:ascii="宋体" w:hAnsi="宋体"/>
      <w:color w:val="000000"/>
      <w:sz w:val="24"/>
      <w:szCs w:val="20"/>
    </w:rPr>
  </w:style>
  <w:style w:type="paragraph" w:customStyle="1" w:styleId="90">
    <w:name w:val="Char Char Char Char Char Char Char"/>
    <w:basedOn w:val="1"/>
    <w:qFormat/>
    <w:uiPriority w:val="0"/>
    <w:pPr>
      <w:spacing w:line="240" w:lineRule="auto"/>
    </w:pPr>
    <w:rPr>
      <w:szCs w:val="20"/>
    </w:rPr>
  </w:style>
  <w:style w:type="paragraph" w:customStyle="1" w:styleId="91">
    <w:name w:val="Char Char Char Char Char Char Char Char Char Char Char Char Char Char Char Char Char Char Char Char Char Char Char Char Char"/>
    <w:basedOn w:val="1"/>
    <w:qFormat/>
    <w:uiPriority w:val="0"/>
    <w:pPr>
      <w:spacing w:line="240" w:lineRule="auto"/>
    </w:pPr>
    <w:rPr>
      <w:sz w:val="21"/>
    </w:rPr>
  </w:style>
  <w:style w:type="paragraph" w:customStyle="1" w:styleId="92">
    <w:name w:val="1"/>
    <w:basedOn w:val="1"/>
    <w:qFormat/>
    <w:uiPriority w:val="0"/>
    <w:pPr>
      <w:adjustRightInd w:val="0"/>
      <w:spacing w:before="360" w:after="240" w:line="420" w:lineRule="atLeast"/>
      <w:ind w:firstLine="454"/>
      <w:textAlignment w:val="baseline"/>
    </w:pPr>
    <w:rPr>
      <w:b/>
      <w:kern w:val="0"/>
      <w:szCs w:val="20"/>
    </w:rPr>
  </w:style>
  <w:style w:type="paragraph" w:customStyle="1" w:styleId="93">
    <w:name w:val="样式1"/>
    <w:basedOn w:val="25"/>
    <w:qFormat/>
    <w:uiPriority w:val="0"/>
    <w:pPr>
      <w:spacing w:line="600" w:lineRule="exact"/>
      <w:ind w:left="200" w:leftChars="200"/>
    </w:pPr>
    <w:rPr>
      <w:rFonts w:ascii="宋体" w:eastAsia="宋体"/>
      <w:b w:val="0"/>
    </w:rPr>
  </w:style>
  <w:style w:type="paragraph" w:customStyle="1" w:styleId="94">
    <w:name w:val="格式３"/>
    <w:basedOn w:val="1"/>
    <w:qFormat/>
    <w:uiPriority w:val="0"/>
    <w:pPr>
      <w:spacing w:line="420" w:lineRule="exact"/>
      <w:ind w:left="600" w:hanging="600" w:hangingChars="250"/>
    </w:pPr>
    <w:rPr>
      <w:rFonts w:ascii="宋体" w:hAnsi="宋体"/>
      <w:color w:val="000000"/>
      <w:sz w:val="24"/>
      <w:szCs w:val="20"/>
    </w:rPr>
  </w:style>
  <w:style w:type="paragraph" w:customStyle="1" w:styleId="95">
    <w:name w:val="标题 2 + Times New Roman 居中 段前: 0 磅 段后: 0 磅 行距: 单倍行距 + 段前..."/>
    <w:basedOn w:val="3"/>
    <w:qFormat/>
    <w:uiPriority w:val="0"/>
  </w:style>
  <w:style w:type="paragraph" w:customStyle="1" w:styleId="96">
    <w:name w:val="Char Char3 Char Char Char Char Char Char"/>
    <w:basedOn w:val="1"/>
    <w:qFormat/>
    <w:uiPriority w:val="0"/>
    <w:pPr>
      <w:spacing w:line="240" w:lineRule="auto"/>
    </w:pPr>
    <w:rPr>
      <w:sz w:val="21"/>
    </w:rPr>
  </w:style>
  <w:style w:type="paragraph" w:customStyle="1" w:styleId="97">
    <w:name w:val="简单回函地址"/>
    <w:basedOn w:val="1"/>
    <w:qFormat/>
    <w:uiPriority w:val="0"/>
  </w:style>
  <w:style w:type="paragraph" w:customStyle="1" w:styleId="98">
    <w:name w:val="Default"/>
    <w:qFormat/>
    <w:uiPriority w:val="0"/>
    <w:pPr>
      <w:widowControl w:val="0"/>
      <w:autoSpaceDE w:val="0"/>
      <w:autoSpaceDN w:val="0"/>
      <w:adjustRightInd w:val="0"/>
    </w:pPr>
    <w:rPr>
      <w:rFonts w:ascii="宋体" w:hAnsi="等线" w:eastAsia="宋体" w:cs="宋体"/>
      <w:color w:val="000000"/>
      <w:sz w:val="24"/>
      <w:szCs w:val="24"/>
      <w:lang w:val="en-US" w:eastAsia="zh-CN" w:bidi="ar-SA"/>
    </w:rPr>
  </w:style>
  <w:style w:type="paragraph" w:customStyle="1" w:styleId="99">
    <w:name w:val="表头"/>
    <w:basedOn w:val="1"/>
    <w:qFormat/>
    <w:uiPriority w:val="0"/>
    <w:pPr>
      <w:spacing w:before="120" w:after="120" w:line="60" w:lineRule="atLeast"/>
      <w:jc w:val="center"/>
    </w:pPr>
    <w:rPr>
      <w:sz w:val="24"/>
      <w:szCs w:val="20"/>
    </w:rPr>
  </w:style>
  <w:style w:type="paragraph" w:customStyle="1" w:styleId="100">
    <w:name w:val="Table Text"/>
    <w:basedOn w:val="1"/>
    <w:semiHidden/>
    <w:qFormat/>
    <w:uiPriority w:val="0"/>
    <w:rPr>
      <w:rFonts w:ascii="宋体" w:hAnsi="宋体" w:eastAsia="宋体" w:cs="宋体"/>
      <w:sz w:val="24"/>
      <w:szCs w:val="24"/>
      <w:lang w:val="en-US" w:eastAsia="en-US" w:bidi="ar-SA"/>
    </w:rPr>
  </w:style>
  <w:style w:type="table" w:customStyle="1" w:styleId="101">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02">
    <w:name w:val="_Style 2"/>
    <w:basedOn w:val="1"/>
    <w:next w:val="1"/>
    <w:qFormat/>
    <w:uiPriority w:val="0"/>
    <w:pPr>
      <w:pBdr>
        <w:bottom w:val="single" w:color="auto" w:sz="6" w:space="1"/>
      </w:pBdr>
      <w:jc w:val="center"/>
    </w:pPr>
    <w:rPr>
      <w:rFonts w:ascii="Arial" w:eastAsia="宋体"/>
      <w:vanish/>
      <w:sz w:val="16"/>
    </w:rPr>
  </w:style>
  <w:style w:type="paragraph" w:customStyle="1" w:styleId="103">
    <w:name w:val="_Style 3"/>
    <w:basedOn w:val="1"/>
    <w:next w:val="1"/>
    <w:qFormat/>
    <w:uiPriority w:val="0"/>
    <w:pPr>
      <w:pBdr>
        <w:top w:val="single" w:color="auto" w:sz="6" w:space="1"/>
      </w:pBdr>
      <w:jc w:val="center"/>
    </w:pPr>
    <w:rPr>
      <w:rFonts w:ascii="Arial" w:eastAsia="宋体"/>
      <w:vanish/>
      <w:sz w:val="16"/>
    </w:rPr>
  </w:style>
  <w:style w:type="paragraph" w:customStyle="1" w:styleId="104">
    <w:name w:val="格式2"/>
    <w:qFormat/>
    <w:uiPriority w:val="0"/>
    <w:pPr>
      <w:widowControl w:val="0"/>
      <w:adjustRightInd w:val="0"/>
      <w:snapToGrid w:val="0"/>
      <w:spacing w:before="50" w:line="440" w:lineRule="exact"/>
      <w:jc w:val="both"/>
    </w:pPr>
    <w:rPr>
      <w:rFonts w:ascii="Times New Roman" w:hAnsi="Times New Roman" w:eastAsia="宋体" w:cs="Times New Roman"/>
      <w:snapToGrid w:val="0"/>
      <w:sz w:val="24"/>
      <w:lang w:val="en-US" w:eastAsia="zh-CN" w:bidi="ar-SA"/>
    </w:rPr>
  </w:style>
  <w:style w:type="paragraph" w:customStyle="1" w:styleId="105">
    <w:name w:val="目录1"/>
    <w:basedOn w:val="1"/>
    <w:qFormat/>
    <w:uiPriority w:val="0"/>
    <w:pPr>
      <w:adjustRightInd w:val="0"/>
      <w:spacing w:line="420" w:lineRule="atLeast"/>
      <w:textAlignment w:val="baseline"/>
    </w:pPr>
    <w:rPr>
      <w:rFonts w:eastAsia="黑体"/>
      <w:b/>
      <w:kern w:val="0"/>
      <w:szCs w:val="20"/>
    </w:rPr>
  </w:style>
  <w:style w:type="character" w:customStyle="1" w:styleId="106">
    <w:name w:val="l-open"/>
    <w:basedOn w:val="33"/>
    <w:qFormat/>
    <w:uiPriority w:val="0"/>
  </w:style>
  <w:style w:type="character" w:customStyle="1" w:styleId="107">
    <w:name w:val="l-over"/>
    <w:basedOn w:val="33"/>
    <w:qFormat/>
    <w:uiPriority w:val="0"/>
    <w:rPr>
      <w:bdr w:val="single" w:color="DAB364" w:sz="6" w:space="0"/>
    </w:rPr>
  </w:style>
  <w:style w:type="character" w:customStyle="1" w:styleId="108">
    <w:name w:val="edui-unclickable"/>
    <w:basedOn w:val="33"/>
    <w:qFormat/>
    <w:uiPriority w:val="0"/>
    <w:rPr>
      <w:color w:val="808080"/>
    </w:rPr>
  </w:style>
  <w:style w:type="character" w:customStyle="1" w:styleId="109">
    <w:name w:val="fieldsetf"/>
    <w:basedOn w:val="33"/>
    <w:qFormat/>
    <w:uiPriority w:val="0"/>
  </w:style>
  <w:style w:type="character" w:customStyle="1" w:styleId="110">
    <w:name w:val="fieldsets"/>
    <w:basedOn w:val="33"/>
    <w:qFormat/>
    <w:uiPriority w:val="0"/>
  </w:style>
  <w:style w:type="character" w:customStyle="1" w:styleId="111">
    <w:name w:val="searchs"/>
    <w:basedOn w:val="33"/>
    <w:qFormat/>
    <w:uiPriority w:val="0"/>
  </w:style>
  <w:style w:type="character" w:customStyle="1" w:styleId="112">
    <w:name w:val="ruweitli_r"/>
    <w:basedOn w:val="33"/>
    <w:qFormat/>
    <w:uiPriority w:val="0"/>
  </w:style>
  <w:style w:type="character" w:customStyle="1" w:styleId="113">
    <w:name w:val="dbrwr_aclil"/>
    <w:basedOn w:val="33"/>
    <w:qFormat/>
    <w:uiPriority w:val="0"/>
  </w:style>
  <w:style w:type="character" w:customStyle="1" w:styleId="114">
    <w:name w:val="dbrwr_aclir"/>
    <w:basedOn w:val="33"/>
    <w:qFormat/>
    <w:uiPriority w:val="0"/>
    <w:rPr>
      <w:color w:val="999999"/>
    </w:rPr>
  </w:style>
  <w:style w:type="character" w:customStyle="1" w:styleId="115">
    <w:name w:val="ruweitli_l"/>
    <w:basedOn w:val="33"/>
    <w:qFormat/>
    <w:uiPriority w:val="0"/>
  </w:style>
  <w:style w:type="character" w:customStyle="1" w:styleId="116">
    <w:name w:val="l-selected"/>
    <w:basedOn w:val="33"/>
    <w:qFormat/>
    <w:uiPriority w:val="0"/>
    <w:rPr>
      <w:color w:val="355686"/>
      <w:bdr w:val="single" w:color="DAB364" w:sz="6" w:space="0"/>
      <w:shd w:val="clear" w:fill="FFFFFF"/>
    </w:rPr>
  </w:style>
  <w:style w:type="character" w:customStyle="1" w:styleId="117">
    <w:name w:val="searchf"/>
    <w:basedOn w:val="33"/>
    <w:qFormat/>
    <w:uiPriority w:val="0"/>
  </w:style>
  <w:style w:type="character" w:customStyle="1" w:styleId="118">
    <w:name w:val="edui-clickable"/>
    <w:basedOn w:val="33"/>
    <w:qFormat/>
    <w:uiPriority w:val="0"/>
    <w:rPr>
      <w:color w:val="0000FF"/>
      <w:u w:val="single"/>
    </w:rPr>
  </w:style>
  <w:style w:type="paragraph" w:customStyle="1" w:styleId="119">
    <w:name w:val="_Style 118"/>
    <w:basedOn w:val="1"/>
    <w:next w:val="1"/>
    <w:qFormat/>
    <w:uiPriority w:val="0"/>
    <w:pPr>
      <w:pBdr>
        <w:bottom w:val="single" w:color="auto" w:sz="6" w:space="1"/>
      </w:pBdr>
      <w:jc w:val="center"/>
    </w:pPr>
    <w:rPr>
      <w:rFonts w:ascii="Arial" w:eastAsia="宋体"/>
      <w:vanish/>
      <w:sz w:val="16"/>
    </w:rPr>
  </w:style>
  <w:style w:type="paragraph" w:customStyle="1" w:styleId="120">
    <w:name w:val="_Style 119"/>
    <w:basedOn w:val="1"/>
    <w:next w:val="1"/>
    <w:qFormat/>
    <w:uiPriority w:val="0"/>
    <w:pPr>
      <w:pBdr>
        <w:top w:val="single" w:color="auto" w:sz="6" w:space="1"/>
      </w:pBdr>
      <w:jc w:val="center"/>
    </w:pPr>
    <w:rPr>
      <w:rFonts w:ascii="Arial" w:eastAsia="宋体"/>
      <w:vanish/>
      <w:sz w:val="16"/>
    </w:rPr>
  </w:style>
  <w:style w:type="character" w:customStyle="1" w:styleId="121">
    <w:name w:val="l-selected2"/>
    <w:basedOn w:val="33"/>
    <w:qFormat/>
    <w:uiPriority w:val="0"/>
    <w:rPr>
      <w:color w:val="355686"/>
      <w:bdr w:val="single" w:color="DAB364" w:sz="6" w:space="0"/>
      <w:shd w:val="clear" w:fill="FFFFFF"/>
    </w:rPr>
  </w:style>
  <w:style w:type="character" w:customStyle="1" w:styleId="122">
    <w:name w:val="edui-clickable2"/>
    <w:basedOn w:val="33"/>
    <w:qFormat/>
    <w:uiPriority w:val="0"/>
    <w:rPr>
      <w:color w:val="0000FF"/>
      <w:u w:val="single"/>
    </w:rPr>
  </w:style>
  <w:style w:type="character" w:customStyle="1" w:styleId="123">
    <w:name w:val="font21"/>
    <w:basedOn w:val="33"/>
    <w:qFormat/>
    <w:uiPriority w:val="0"/>
    <w:rPr>
      <w:rFonts w:hint="eastAsia" w:ascii="宋体" w:hAnsi="宋体" w:eastAsia="宋体" w:cs="宋体"/>
      <w:b/>
      <w:bCs/>
      <w:color w:val="000000"/>
      <w:sz w:val="24"/>
      <w:szCs w:val="24"/>
      <w:u w:val="none"/>
    </w:rPr>
  </w:style>
  <w:style w:type="character" w:customStyle="1" w:styleId="124">
    <w:name w:val="font01"/>
    <w:basedOn w:val="3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15148</Words>
  <Characters>16153</Characters>
  <Lines>243</Lines>
  <Paragraphs>68</Paragraphs>
  <TotalTime>0</TotalTime>
  <ScaleCrop>false</ScaleCrop>
  <LinksUpToDate>false</LinksUpToDate>
  <CharactersWithSpaces>16576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2023-10-08T11:10:00Z</dcterms:created>
  <dc:creator>周晓卫</dc:creator>
  <cp:lastModifiedBy>小鹿</cp:lastModifiedBy>
  <cp:lastPrinted>2025-06-04T13:58:00Z</cp:lastPrinted>
  <dcterms:modified xsi:type="dcterms:W3CDTF">2025-06-06T09:18:45Z</dcterms:modified>
  <dc:title>宿连航道一期</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58E9214B880ECA72A3A84268EB93EEB0_43</vt:lpwstr>
  </property>
  <property fmtid="{D5CDD505-2E9C-101B-9397-08002B2CF9AE}" pid="4" name="KSOTemplateDocerSaveRecord">
    <vt:lpwstr>eyJoZGlkIjoiNDE1NmE4MDNiNjgzNGQ5MjEzOTc2NDA1YWQxMmI4ZjEiLCJ1c2VySWQiOiIzMTM3NDkyNzkifQ==</vt:lpwstr>
  </property>
</Properties>
</file>