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59264">
      <w:pPr>
        <w:rPr>
          <w:color w:val="000000" w:themeColor="text1"/>
          <w:sz w:val="19"/>
          <w:szCs w:val="22"/>
          <w14:textFill>
            <w14:solidFill>
              <w14:schemeClr w14:val="tx1"/>
            </w14:solidFill>
          </w14:textFill>
        </w:rPr>
      </w:pPr>
    </w:p>
    <w:p w14:paraId="02799312">
      <w:pPr>
        <w:rPr>
          <w:color w:val="000000" w:themeColor="text1"/>
          <w14:textFill>
            <w14:solidFill>
              <w14:schemeClr w14:val="tx1"/>
            </w14:solidFill>
          </w14:textFill>
        </w:rPr>
      </w:pPr>
    </w:p>
    <w:p w14:paraId="7711BC11">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r>
        <w:rPr>
          <w:color w:val="000000" w:themeColor="text1"/>
          <w14:textFill>
            <w14:solidFill>
              <w14:schemeClr w14:val="tx1"/>
            </w14:solidFill>
          </w14:textFill>
        </w:rPr>
        <w:tab/>
      </w:r>
    </w:p>
    <w:p w14:paraId="7E68D826">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p>
    <w:p w14:paraId="50A047B2">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bookmarkStart w:id="0" w:name="_Hlk182211360"/>
      <w:r>
        <w:rPr>
          <w:rFonts w:hint="eastAsia" w:ascii="仿宋" w:hAnsi="仿宋" w:eastAsia="仿宋" w:cs="宋体"/>
          <w:b/>
          <w:color w:val="000000" w:themeColor="text1"/>
          <w:spacing w:val="20"/>
          <w:sz w:val="44"/>
          <w14:textFill>
            <w14:solidFill>
              <w14:schemeClr w14:val="tx1"/>
            </w14:solidFill>
          </w14:textFill>
        </w:rPr>
        <w:t>南通市交通运输综合行政执法支队</w:t>
      </w:r>
    </w:p>
    <w:p w14:paraId="383C8372">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网络安全等级保护测评服务项目</w:t>
      </w:r>
    </w:p>
    <w:bookmarkEnd w:id="0"/>
    <w:p w14:paraId="1E73AB63">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p>
    <w:p w14:paraId="6F7EB1F5">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p>
    <w:p w14:paraId="405B0A4A">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比选文件</w:t>
      </w:r>
    </w:p>
    <w:p w14:paraId="7FA6909F">
      <w:pPr>
        <w:rPr>
          <w:rFonts w:hint="eastAsia" w:ascii="仿宋" w:hAnsi="仿宋" w:eastAsia="仿宋"/>
          <w:color w:val="000000" w:themeColor="text1"/>
          <w:sz w:val="24"/>
          <w14:textFill>
            <w14:solidFill>
              <w14:schemeClr w14:val="tx1"/>
            </w14:solidFill>
          </w14:textFill>
        </w:rPr>
      </w:pPr>
    </w:p>
    <w:p w14:paraId="34071880">
      <w:pPr>
        <w:rPr>
          <w:rFonts w:hint="eastAsia" w:ascii="仿宋" w:hAnsi="仿宋" w:eastAsia="仿宋"/>
          <w:color w:val="000000" w:themeColor="text1"/>
          <w:sz w:val="24"/>
          <w14:textFill>
            <w14:solidFill>
              <w14:schemeClr w14:val="tx1"/>
            </w14:solidFill>
          </w14:textFill>
        </w:rPr>
      </w:pPr>
    </w:p>
    <w:p w14:paraId="0F43C058">
      <w:pPr>
        <w:rPr>
          <w:rFonts w:hint="eastAsia" w:ascii="仿宋" w:hAnsi="仿宋" w:eastAsia="仿宋"/>
          <w:color w:val="000000" w:themeColor="text1"/>
          <w:sz w:val="24"/>
          <w14:textFill>
            <w14:solidFill>
              <w14:schemeClr w14:val="tx1"/>
            </w14:solidFill>
          </w14:textFill>
        </w:rPr>
      </w:pPr>
    </w:p>
    <w:p w14:paraId="35369B47">
      <w:pPr>
        <w:rPr>
          <w:rFonts w:hint="eastAsia" w:ascii="仿宋" w:hAnsi="仿宋" w:eastAsia="仿宋"/>
          <w:color w:val="000000" w:themeColor="text1"/>
          <w:sz w:val="24"/>
          <w14:textFill>
            <w14:solidFill>
              <w14:schemeClr w14:val="tx1"/>
            </w14:solidFill>
          </w14:textFill>
        </w:rPr>
      </w:pPr>
    </w:p>
    <w:p w14:paraId="0AEFCC30">
      <w:pPr>
        <w:rPr>
          <w:rFonts w:hint="eastAsia" w:ascii="仿宋" w:hAnsi="仿宋" w:eastAsia="仿宋"/>
          <w:color w:val="000000" w:themeColor="text1"/>
          <w:sz w:val="24"/>
          <w14:textFill>
            <w14:solidFill>
              <w14:schemeClr w14:val="tx1"/>
            </w14:solidFill>
          </w14:textFill>
        </w:rPr>
      </w:pPr>
    </w:p>
    <w:p w14:paraId="2C78F54D">
      <w:pPr>
        <w:rPr>
          <w:rFonts w:hint="eastAsia" w:ascii="仿宋" w:hAnsi="仿宋" w:eastAsia="仿宋"/>
          <w:color w:val="000000" w:themeColor="text1"/>
          <w:sz w:val="24"/>
          <w14:textFill>
            <w14:solidFill>
              <w14:schemeClr w14:val="tx1"/>
            </w14:solidFill>
          </w14:textFill>
        </w:rPr>
      </w:pPr>
    </w:p>
    <w:p w14:paraId="376756BA">
      <w:pPr>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采购文件编号：JSXDF2025082501</w:t>
      </w:r>
    </w:p>
    <w:p w14:paraId="1276E98D">
      <w:pPr>
        <w:rPr>
          <w:rFonts w:hint="eastAsia" w:ascii="仿宋" w:hAnsi="仿宋" w:eastAsia="仿宋"/>
          <w:color w:val="000000" w:themeColor="text1"/>
          <w:sz w:val="24"/>
          <w14:textFill>
            <w14:solidFill>
              <w14:schemeClr w14:val="tx1"/>
            </w14:solidFill>
          </w14:textFill>
        </w:rPr>
      </w:pPr>
    </w:p>
    <w:p w14:paraId="76EA80BD">
      <w:pPr>
        <w:rPr>
          <w:rFonts w:hint="eastAsia" w:ascii="仿宋" w:hAnsi="仿宋" w:eastAsia="仿宋"/>
          <w:color w:val="000000" w:themeColor="text1"/>
          <w:sz w:val="24"/>
          <w14:textFill>
            <w14:solidFill>
              <w14:schemeClr w14:val="tx1"/>
            </w14:solidFill>
          </w14:textFill>
        </w:rPr>
      </w:pPr>
    </w:p>
    <w:p w14:paraId="1D59CD8C">
      <w:pPr>
        <w:rPr>
          <w:rFonts w:hint="eastAsia" w:ascii="仿宋" w:hAnsi="仿宋" w:eastAsia="仿宋"/>
          <w:color w:val="000000" w:themeColor="text1"/>
          <w:sz w:val="24"/>
          <w14:textFill>
            <w14:solidFill>
              <w14:schemeClr w14:val="tx1"/>
            </w14:solidFill>
          </w14:textFill>
        </w:rPr>
      </w:pPr>
    </w:p>
    <w:p w14:paraId="192F2324">
      <w:pPr>
        <w:rPr>
          <w:rFonts w:hint="eastAsia" w:ascii="仿宋" w:hAnsi="仿宋" w:eastAsia="仿宋"/>
          <w:color w:val="000000" w:themeColor="text1"/>
          <w:sz w:val="24"/>
          <w14:textFill>
            <w14:solidFill>
              <w14:schemeClr w14:val="tx1"/>
            </w14:solidFill>
          </w14:textFill>
        </w:rPr>
      </w:pPr>
    </w:p>
    <w:p w14:paraId="4063E728">
      <w:pPr>
        <w:rPr>
          <w:rFonts w:hint="eastAsia" w:ascii="仿宋" w:hAnsi="仿宋" w:eastAsia="仿宋"/>
          <w:color w:val="000000" w:themeColor="text1"/>
          <w:sz w:val="24"/>
          <w14:textFill>
            <w14:solidFill>
              <w14:schemeClr w14:val="tx1"/>
            </w14:solidFill>
          </w14:textFill>
        </w:rPr>
      </w:pPr>
    </w:p>
    <w:p w14:paraId="7C87B6FE">
      <w:pPr>
        <w:rPr>
          <w:rFonts w:hint="eastAsia" w:ascii="仿宋" w:hAnsi="仿宋" w:eastAsia="仿宋"/>
          <w:color w:val="000000" w:themeColor="text1"/>
          <w:sz w:val="24"/>
          <w14:textFill>
            <w14:solidFill>
              <w14:schemeClr w14:val="tx1"/>
            </w14:solidFill>
          </w14:textFill>
        </w:rPr>
      </w:pPr>
    </w:p>
    <w:p w14:paraId="1475B55B">
      <w:pPr>
        <w:pStyle w:val="17"/>
        <w:rPr>
          <w:rFonts w:hint="eastAsia" w:ascii="仿宋" w:hAnsi="仿宋" w:eastAsia="仿宋"/>
          <w:color w:val="000000" w:themeColor="text1"/>
          <w:sz w:val="24"/>
          <w:lang w:eastAsia="zh-CN"/>
          <w14:textFill>
            <w14:solidFill>
              <w14:schemeClr w14:val="tx1"/>
            </w14:solidFill>
          </w14:textFill>
        </w:rPr>
      </w:pPr>
    </w:p>
    <w:p w14:paraId="02BB0F5F">
      <w:pPr>
        <w:pStyle w:val="17"/>
        <w:rPr>
          <w:rFonts w:hint="eastAsia" w:ascii="仿宋" w:hAnsi="仿宋" w:eastAsia="仿宋"/>
          <w:color w:val="000000" w:themeColor="text1"/>
          <w:sz w:val="24"/>
          <w:lang w:eastAsia="zh-CN"/>
          <w14:textFill>
            <w14:solidFill>
              <w14:schemeClr w14:val="tx1"/>
            </w14:solidFill>
          </w14:textFill>
        </w:rPr>
      </w:pPr>
    </w:p>
    <w:p w14:paraId="5D496289">
      <w:pPr>
        <w:rPr>
          <w:rFonts w:hint="eastAsia" w:ascii="仿宋" w:hAnsi="仿宋" w:eastAsia="仿宋"/>
          <w:color w:val="000000" w:themeColor="text1"/>
          <w:sz w:val="24"/>
          <w14:textFill>
            <w14:solidFill>
              <w14:schemeClr w14:val="tx1"/>
            </w14:solidFill>
          </w14:textFill>
        </w:rPr>
      </w:pPr>
    </w:p>
    <w:p w14:paraId="6356165C">
      <w:pPr>
        <w:rPr>
          <w:rFonts w:hint="eastAsia" w:ascii="仿宋" w:hAnsi="仿宋" w:eastAsia="仿宋"/>
          <w:color w:val="000000" w:themeColor="text1"/>
          <w:sz w:val="24"/>
          <w14:textFill>
            <w14:solidFill>
              <w14:schemeClr w14:val="tx1"/>
            </w14:solidFill>
          </w14:textFill>
        </w:rPr>
      </w:pPr>
    </w:p>
    <w:p w14:paraId="78A4AA2D">
      <w:pPr>
        <w:rPr>
          <w:rFonts w:hint="eastAsia" w:ascii="仿宋" w:hAnsi="仿宋" w:eastAsia="仿宋"/>
          <w:color w:val="000000" w:themeColor="text1"/>
          <w:sz w:val="24"/>
          <w14:textFill>
            <w14:solidFill>
              <w14:schemeClr w14:val="tx1"/>
            </w14:solidFill>
          </w14:textFill>
        </w:rPr>
      </w:pPr>
    </w:p>
    <w:p w14:paraId="6021699F">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南通市交通运输综合行政执法支队</w:t>
      </w:r>
    </w:p>
    <w:p w14:paraId="7CDDDA8A">
      <w:pPr>
        <w:spacing w:line="50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二○二五年九月</w:t>
      </w:r>
    </w:p>
    <w:p w14:paraId="6615E1E8">
      <w:pPr>
        <w:tabs>
          <w:tab w:val="left" w:pos="7740"/>
        </w:tabs>
        <w:spacing w:line="500" w:lineRule="exact"/>
        <w:rPr>
          <w:rFonts w:hint="eastAsia" w:ascii="仿宋" w:hAnsi="仿宋" w:eastAsia="仿宋"/>
          <w:b/>
          <w:color w:val="000000" w:themeColor="text1"/>
          <w:sz w:val="144"/>
          <w:szCs w:val="1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br w:type="page"/>
      </w:r>
    </w:p>
    <w:p w14:paraId="70887232">
      <w:pPr>
        <w:jc w:val="center"/>
        <w:rPr>
          <w:rFonts w:hint="eastAsia" w:ascii="仿宋" w:hAnsi="仿宋" w:eastAsia="仿宋" w:cs="仿宋"/>
          <w:color w:val="000000" w:themeColor="text1"/>
          <w:sz w:val="30"/>
          <w:szCs w:val="30"/>
          <w14:textFill>
            <w14:solidFill>
              <w14:schemeClr w14:val="tx1"/>
            </w14:solidFill>
          </w14:textFill>
        </w:rPr>
      </w:pPr>
    </w:p>
    <w:p w14:paraId="3D91DE1A">
      <w:pPr>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目 录</w:t>
      </w:r>
    </w:p>
    <w:p w14:paraId="200261B1">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color w:val="000000" w:themeColor="text1"/>
          <w:sz w:val="30"/>
          <w:szCs w:val="30"/>
          <w14:textFill>
            <w14:solidFill>
              <w14:schemeClr w14:val="tx1"/>
            </w14:solidFill>
          </w14:textFill>
        </w:rPr>
        <w:instrText xml:space="preserve">TOC \o "1-1" \h \u </w:instrText>
      </w:r>
      <w:r>
        <w:rPr>
          <w:rFonts w:hint="eastAsia" w:ascii="仿宋" w:hAnsi="仿宋" w:eastAsia="仿宋" w:cs="仿宋"/>
          <w:color w:val="000000" w:themeColor="text1"/>
          <w:sz w:val="30"/>
          <w:szCs w:val="30"/>
          <w14:textFill>
            <w14:solidFill>
              <w14:schemeClr w14:val="tx1"/>
            </w14:solidFill>
          </w14:textFill>
        </w:rPr>
        <w:fldChar w:fldCharType="separate"/>
      </w:r>
      <w:r>
        <w:fldChar w:fldCharType="begin"/>
      </w:r>
      <w:r>
        <w:instrText xml:space="preserve"> HYPERLINK "file:///F:\\新东方\\2023\\1.采购\\-【比选】南通市秦灶交通综合执法站维修改造项目\\初稿比选文件-南通市秦灶交通综合执法站维修改造项目.doc" \l "_Toc2686"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第一部分  比选公告</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_Toc2686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3</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166A7967">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"_Toc17439"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第二部分  比选须知</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_Toc17439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6</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0DC01D71">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"_Toc5280"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第三部分  项目需求说明</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_Toc5280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10</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1E36344C">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"_Toc25121"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第四部分  开标和评标</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_Toc25121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10</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2080FC96">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"_Toc22274"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第五部分  合同签订与验收付款</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_Toc22274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19</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0F66CA15">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"_Toc18342"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第六部分  比选文件组成</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_Toc18342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20</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756334F5">
      <w:pPr>
        <w:pStyle w:val="17"/>
        <w:rPr>
          <w:rFonts w:hint="eastAsia" w:ascii="仿宋" w:hAnsi="仿宋" w:eastAsia="仿宋"/>
          <w:color w:val="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fldChar w:fldCharType="end"/>
      </w:r>
    </w:p>
    <w:p w14:paraId="79F39715">
      <w:pPr>
        <w:spacing w:line="500" w:lineRule="exact"/>
        <w:rPr>
          <w:rFonts w:hint="eastAsia" w:ascii="仿宋" w:hAnsi="仿宋" w:eastAsia="仿宋"/>
          <w:b/>
          <w:color w:val="000000" w:themeColor="text1"/>
          <w:sz w:val="32"/>
          <w:szCs w:val="32"/>
          <w14:textFill>
            <w14:solidFill>
              <w14:schemeClr w14:val="tx1"/>
            </w14:solidFill>
          </w14:textFill>
        </w:rPr>
      </w:pPr>
    </w:p>
    <w:p w14:paraId="10F7F90B">
      <w:pPr>
        <w:rPr>
          <w:rFonts w:hint="eastAsia" w:ascii="仿宋" w:hAnsi="仿宋" w:eastAsia="仿宋"/>
          <w:color w:val="000000" w:themeColor="text1"/>
          <w:sz w:val="24"/>
          <w14:textFill>
            <w14:solidFill>
              <w14:schemeClr w14:val="tx1"/>
            </w14:solidFill>
          </w14:textFill>
        </w:rPr>
      </w:pPr>
    </w:p>
    <w:p w14:paraId="1419CA94">
      <w:pPr>
        <w:rPr>
          <w:rFonts w:hint="eastAsia" w:ascii="仿宋" w:hAnsi="仿宋" w:eastAsia="仿宋"/>
          <w:color w:val="000000" w:themeColor="text1"/>
          <w:sz w:val="24"/>
          <w14:textFill>
            <w14:solidFill>
              <w14:schemeClr w14:val="tx1"/>
            </w14:solidFill>
          </w14:textFill>
        </w:rPr>
      </w:pPr>
    </w:p>
    <w:p w14:paraId="3C7D505B">
      <w:pPr>
        <w:rPr>
          <w:rFonts w:hint="eastAsia" w:ascii="仿宋" w:hAnsi="仿宋" w:eastAsia="仿宋"/>
          <w:color w:val="000000" w:themeColor="text1"/>
          <w:sz w:val="24"/>
          <w14:textFill>
            <w14:solidFill>
              <w14:schemeClr w14:val="tx1"/>
            </w14:solidFill>
          </w14:textFill>
        </w:rPr>
      </w:pPr>
    </w:p>
    <w:p w14:paraId="2E807C91">
      <w:pPr>
        <w:rPr>
          <w:rFonts w:hint="eastAsia" w:ascii="仿宋" w:hAnsi="仿宋" w:eastAsia="仿宋"/>
          <w:color w:val="000000" w:themeColor="text1"/>
          <w:sz w:val="24"/>
          <w14:textFill>
            <w14:solidFill>
              <w14:schemeClr w14:val="tx1"/>
            </w14:solidFill>
          </w14:textFill>
        </w:rPr>
      </w:pPr>
    </w:p>
    <w:p w14:paraId="1237816C">
      <w:pPr>
        <w:rPr>
          <w:rFonts w:hint="eastAsia" w:ascii="仿宋" w:hAnsi="仿宋" w:eastAsia="仿宋"/>
          <w:color w:val="000000" w:themeColor="text1"/>
          <w:sz w:val="24"/>
          <w14:textFill>
            <w14:solidFill>
              <w14:schemeClr w14:val="tx1"/>
            </w14:solidFill>
          </w14:textFill>
        </w:rPr>
      </w:pPr>
    </w:p>
    <w:p w14:paraId="766CCF4B">
      <w:pPr>
        <w:rPr>
          <w:rFonts w:hint="eastAsia" w:ascii="仿宋" w:hAnsi="仿宋" w:eastAsia="仿宋"/>
          <w:color w:val="000000" w:themeColor="text1"/>
          <w:sz w:val="24"/>
          <w14:textFill>
            <w14:solidFill>
              <w14:schemeClr w14:val="tx1"/>
            </w14:solidFill>
          </w14:textFill>
        </w:rPr>
      </w:pPr>
    </w:p>
    <w:p w14:paraId="47595FE4">
      <w:pPr>
        <w:rPr>
          <w:rFonts w:hint="eastAsia" w:ascii="仿宋" w:hAnsi="仿宋" w:eastAsia="仿宋"/>
          <w:color w:val="000000" w:themeColor="text1"/>
          <w:sz w:val="24"/>
          <w14:textFill>
            <w14:solidFill>
              <w14:schemeClr w14:val="tx1"/>
            </w14:solidFill>
          </w14:textFill>
        </w:rPr>
      </w:pPr>
    </w:p>
    <w:p w14:paraId="4AC07A2E">
      <w:pPr>
        <w:rPr>
          <w:rFonts w:hint="eastAsia" w:ascii="仿宋" w:hAnsi="仿宋" w:eastAsia="仿宋"/>
          <w:color w:val="000000" w:themeColor="text1"/>
          <w:sz w:val="24"/>
          <w14:textFill>
            <w14:solidFill>
              <w14:schemeClr w14:val="tx1"/>
            </w14:solidFill>
          </w14:textFill>
        </w:rPr>
      </w:pPr>
    </w:p>
    <w:p w14:paraId="551C1412">
      <w:pPr>
        <w:rPr>
          <w:rFonts w:hint="eastAsia" w:ascii="仿宋" w:hAnsi="仿宋" w:eastAsia="仿宋"/>
          <w:color w:val="000000" w:themeColor="text1"/>
          <w:sz w:val="24"/>
          <w14:textFill>
            <w14:solidFill>
              <w14:schemeClr w14:val="tx1"/>
            </w14:solidFill>
          </w14:textFill>
        </w:rPr>
      </w:pPr>
    </w:p>
    <w:p w14:paraId="313ADCD1">
      <w:pPr>
        <w:rPr>
          <w:rFonts w:hint="eastAsia" w:ascii="仿宋" w:hAnsi="仿宋" w:eastAsia="仿宋"/>
          <w:color w:val="000000" w:themeColor="text1"/>
          <w:sz w:val="24"/>
          <w14:textFill>
            <w14:solidFill>
              <w14:schemeClr w14:val="tx1"/>
            </w14:solidFill>
          </w14:textFill>
        </w:rPr>
      </w:pPr>
    </w:p>
    <w:p w14:paraId="3A361571">
      <w:pPr>
        <w:snapToGrid w:val="0"/>
        <w:spacing w:line="460" w:lineRule="exact"/>
        <w:jc w:val="center"/>
        <w:outlineLvl w:val="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br w:type="page"/>
      </w:r>
      <w:bookmarkStart w:id="1" w:name="_Toc2686"/>
      <w:r>
        <w:rPr>
          <w:rFonts w:hint="eastAsia" w:ascii="仿宋" w:hAnsi="仿宋" w:eastAsia="仿宋" w:cs="宋体"/>
          <w:b/>
          <w:color w:val="000000" w:themeColor="text1"/>
          <w:sz w:val="32"/>
          <w:szCs w:val="32"/>
          <w14:textFill>
            <w14:solidFill>
              <w14:schemeClr w14:val="tx1"/>
            </w14:solidFill>
          </w14:textFill>
        </w:rPr>
        <w:t xml:space="preserve">第一部分  </w:t>
      </w:r>
      <w:bookmarkStart w:id="2" w:name="_Hlk182229335"/>
      <w:bookmarkStart w:id="3" w:name="_Hlk90021805"/>
      <w:r>
        <w:rPr>
          <w:rFonts w:hint="eastAsia" w:ascii="仿宋" w:hAnsi="仿宋" w:eastAsia="仿宋" w:cs="宋体"/>
          <w:b/>
          <w:color w:val="000000" w:themeColor="text1"/>
          <w:sz w:val="32"/>
          <w:szCs w:val="32"/>
          <w14:textFill>
            <w14:solidFill>
              <w14:schemeClr w14:val="tx1"/>
            </w14:solidFill>
          </w14:textFill>
        </w:rPr>
        <w:t>比选公告</w:t>
      </w:r>
      <w:bookmarkEnd w:id="1"/>
    </w:p>
    <w:p w14:paraId="47E16FE2">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p>
    <w:p w14:paraId="2E8E1728">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一、项目基本情况：</w:t>
      </w:r>
    </w:p>
    <w:p w14:paraId="06A50C9E">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项目名称：南通市交通运输综合行政执法支队网络安全等级保护测评服务项目</w:t>
      </w:r>
    </w:p>
    <w:p w14:paraId="57137D46">
      <w:pPr>
        <w:snapToGrid w:val="0"/>
        <w:spacing w:line="460" w:lineRule="exact"/>
        <w:ind w:firstLine="560" w:firstLineChars="200"/>
        <w:jc w:val="left"/>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采购文件编号：</w:t>
      </w:r>
      <w:r>
        <w:rPr>
          <w:rFonts w:ascii="仿宋" w:hAnsi="仿宋" w:eastAsia="仿宋" w:cs="方正仿宋_GBK"/>
          <w:color w:val="000000" w:themeColor="text1"/>
          <w:sz w:val="28"/>
          <w:szCs w:val="28"/>
          <w14:textFill>
            <w14:solidFill>
              <w14:schemeClr w14:val="tx1"/>
            </w14:solidFill>
          </w14:textFill>
        </w:rPr>
        <w:t>JSXDF2025082501</w:t>
      </w:r>
    </w:p>
    <w:p w14:paraId="21B9CB5C">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预算金额：12万元，投标报价超过预算金额作无效标处理。</w:t>
      </w:r>
    </w:p>
    <w:p w14:paraId="6FBB5598">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合同履行期限：</w:t>
      </w:r>
      <w:r>
        <w:rPr>
          <w:rFonts w:hint="eastAsia" w:ascii="仿宋" w:hAnsi="仿宋" w:eastAsia="仿宋" w:cs="方正仿宋_GBK"/>
          <w:color w:val="000000" w:themeColor="text1"/>
          <w:sz w:val="28"/>
          <w:szCs w:val="28"/>
          <w14:textFill>
            <w14:solidFill>
              <w14:schemeClr w14:val="tx1"/>
            </w14:solidFill>
          </w14:textFill>
        </w:rPr>
        <w:t>签订合同后60天内完成网络安全等级保护测评并出具盖章报告。</w:t>
      </w:r>
    </w:p>
    <w:p w14:paraId="00CFABDF">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二、采购文件内容：</w:t>
      </w:r>
    </w:p>
    <w:p w14:paraId="3A014308">
      <w:pPr>
        <w:snapToGrid w:val="0"/>
        <w:spacing w:line="460" w:lineRule="exact"/>
        <w:ind w:firstLine="555"/>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详见比选文件，请仔细研究。</w:t>
      </w:r>
    </w:p>
    <w:p w14:paraId="5D756C83">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三、供应商资格要求</w:t>
      </w:r>
    </w:p>
    <w:p w14:paraId="7CD0C463">
      <w:pPr>
        <w:snapToGrid w:val="0"/>
        <w:spacing w:line="460" w:lineRule="exact"/>
        <w:ind w:firstLine="562" w:firstLineChars="200"/>
        <w:jc w:val="left"/>
        <w:rPr>
          <w:rFonts w:hint="eastAsia"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（一）基本要求</w:t>
      </w:r>
    </w:p>
    <w:p w14:paraId="700B1242">
      <w:pPr>
        <w:snapToGrid w:val="0"/>
        <w:spacing w:line="460" w:lineRule="exact"/>
        <w:ind w:firstLine="555"/>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1.</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符合</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以下条件</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具有独立承担民事责任的能力；具有良好的商业信誉和健全的财务会计制度；具有履行合同所必需的设备和专业</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技术能力；有依法缴纳税收和社会保障资金的良好记录；参加本次采购活动前三年内，在经营活动中没有重大违法记录；</w:t>
      </w:r>
    </w:p>
    <w:p w14:paraId="5E42262C">
      <w:pPr>
        <w:snapToGrid w:val="0"/>
        <w:spacing w:line="460" w:lineRule="exact"/>
        <w:ind w:firstLine="281" w:firstLineChars="100"/>
        <w:jc w:val="left"/>
        <w:rPr>
          <w:rFonts w:hint="eastAsia"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（二）其他资格条件要求</w:t>
      </w:r>
    </w:p>
    <w:p w14:paraId="2DC29BB4">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1. 本项目的特定资格要求：供应商需具有公安部第三研究所颁发的网络安全服务认证证书等级保护测评服务认证或网络安全等级测评与检测评估机构服务认证证书。</w:t>
      </w:r>
    </w:p>
    <w:p w14:paraId="2ABF5E9F">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2.未被“信用中国”网站列入失信被执行人、重大税收违法案件当事人名单、采购不良行为记录名单；</w:t>
      </w:r>
    </w:p>
    <w:p w14:paraId="0A9DBE2D">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3.提供法定代表人身份证明及本人身份证复印件；非法定代表人参加比选的，还必须提供法定代表人签字或盖章的授权委托书及被授权人本人的身份证复印件（格式参见附件）。</w:t>
      </w:r>
    </w:p>
    <w:p w14:paraId="6095719A">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4.法定代表人为同一个人的两个及两个以上法人，母公司、全资子公司及其控股公司，都不得在同一采购项目或同一标段中同时参加投标，一经发现，将视同围标处理。</w:t>
      </w:r>
    </w:p>
    <w:p w14:paraId="6034160E">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5.本项目不接受联合体。</w:t>
      </w:r>
    </w:p>
    <w:p w14:paraId="493F139E">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四、比选公告期限</w:t>
      </w:r>
    </w:p>
    <w:p w14:paraId="13E069E5">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自比选公告在南通市交通运输局网站发布之日起3个工作日。</w:t>
      </w:r>
    </w:p>
    <w:p w14:paraId="234B3356">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五、比选保证金：本项目不涉及。</w:t>
      </w:r>
    </w:p>
    <w:p w14:paraId="16FD261D">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六、履约保证金：本项目不涉及。</w:t>
      </w:r>
    </w:p>
    <w:p w14:paraId="44980E19">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七、采购文件的获取，开标时间、地点</w:t>
      </w:r>
    </w:p>
    <w:p w14:paraId="5170987D">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1.获取采购文件：</w:t>
      </w:r>
    </w:p>
    <w:p w14:paraId="1C898BDC">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（1）时间：自本比选公告发布之日起至2025年09月10日17时。（法定节假日除外）</w:t>
      </w:r>
    </w:p>
    <w:p w14:paraId="63C73064">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（2）获取地点:南通市交通运输局官网。</w:t>
      </w:r>
    </w:p>
    <w:p w14:paraId="6B985261">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（3）方式:自行下载。</w:t>
      </w:r>
    </w:p>
    <w:p w14:paraId="03C0CCA2">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2</w:t>
      </w:r>
      <w:r>
        <w:rPr>
          <w:rFonts w:hint="eastAsia" w:ascii="仿宋" w:hAnsi="仿宋" w:eastAsia="仿宋" w:cs="方正仿宋_GBK"/>
          <w:color w:val="000000" w:themeColor="text1"/>
          <w:sz w:val="28"/>
          <w:szCs w:val="28"/>
          <w14:textFill>
            <w14:solidFill>
              <w14:schemeClr w14:val="tx1"/>
            </w14:solidFill>
          </w14:textFill>
        </w:rPr>
        <w:t>.响应文件提交：</w:t>
      </w:r>
    </w:p>
    <w:p w14:paraId="1677126F">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截止时间：2025年09月11日14点30</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分（北京时间）。</w:t>
      </w:r>
    </w:p>
    <w:p w14:paraId="710AECE9">
      <w:pPr>
        <w:snapToGrid w:val="0"/>
        <w:spacing w:line="460" w:lineRule="exact"/>
        <w:ind w:firstLine="560" w:firstLineChars="200"/>
        <w:jc w:val="left"/>
        <w:rPr>
          <w:rFonts w:hint="eastAsia" w:ascii="仿宋" w:hAnsi="仿宋" w:eastAsia="仿宋" w:cs="方正仿宋_GBK"/>
          <w:b/>
          <w:bCs/>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地点：</w:t>
      </w:r>
      <w:r>
        <w:rPr>
          <w:rFonts w:hint="eastAsia" w:ascii="仿宋" w:hAnsi="仿宋" w:eastAsia="仿宋" w:cs="宋体"/>
          <w:b/>
          <w:bCs/>
          <w:color w:val="000000" w:themeColor="text1"/>
          <w:sz w:val="28"/>
          <w:szCs w:val="28"/>
          <w:u w:val="single"/>
          <w:lang w:val="zh-CN"/>
          <w14:textFill>
            <w14:solidFill>
              <w14:schemeClr w14:val="tx1"/>
            </w14:solidFill>
          </w14:textFill>
        </w:rPr>
        <w:t>南通市崇川区外环东路12号2层南侧</w:t>
      </w:r>
      <w:r>
        <w:rPr>
          <w:rFonts w:hint="eastAsia" w:ascii="仿宋" w:hAnsi="仿宋" w:eastAsia="仿宋" w:cs="方正仿宋_GBK"/>
          <w:b/>
          <w:bCs/>
          <w:color w:val="000000" w:themeColor="text1"/>
          <w:sz w:val="28"/>
          <w:szCs w:val="28"/>
          <w:u w:val="single"/>
          <w14:textFill>
            <w14:solidFill>
              <w14:schemeClr w14:val="tx1"/>
            </w14:solidFill>
          </w14:textFill>
        </w:rPr>
        <w:t>，</w:t>
      </w:r>
      <w:r>
        <w:rPr>
          <w:rFonts w:hint="eastAsia" w:ascii="仿宋" w:hAnsi="仿宋" w:eastAsia="仿宋" w:cs="方正仿宋_GBK"/>
          <w:b/>
          <w:bCs/>
          <w:color w:val="000000" w:themeColor="text1"/>
          <w:sz w:val="28"/>
          <w:szCs w:val="28"/>
          <w:u w:val="single"/>
          <w:lang w:val="zh-CN"/>
          <w14:textFill>
            <w14:solidFill>
              <w14:schemeClr w14:val="tx1"/>
            </w14:solidFill>
          </w14:textFill>
        </w:rPr>
        <w:t>如有变动另行通知。</w:t>
      </w:r>
    </w:p>
    <w:p w14:paraId="4B2F9683">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3.</w:t>
      </w:r>
      <w:r>
        <w:rPr>
          <w:rFonts w:hint="eastAsia" w:ascii="仿宋" w:hAnsi="仿宋" w:eastAsia="仿宋" w:cs="方正仿宋_GBK"/>
          <w:color w:val="000000" w:themeColor="text1"/>
          <w:sz w:val="28"/>
          <w:szCs w:val="28"/>
          <w14:textFill>
            <w14:solidFill>
              <w14:schemeClr w14:val="tx1"/>
            </w14:solidFill>
          </w14:textFill>
        </w:rPr>
        <w:t>开启：</w:t>
      </w:r>
    </w:p>
    <w:p w14:paraId="7BAE00C5">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时间：2025年09月11日14点30分（北京时间）。</w:t>
      </w:r>
    </w:p>
    <w:p w14:paraId="5D6075F5">
      <w:pPr>
        <w:snapToGrid w:val="0"/>
        <w:spacing w:line="460" w:lineRule="exact"/>
        <w:ind w:firstLine="560" w:firstLineChars="200"/>
        <w:jc w:val="left"/>
        <w:rPr>
          <w:rFonts w:hint="eastAsia" w:ascii="仿宋" w:hAnsi="仿宋" w:eastAsia="仿宋" w:cs="方正仿宋_GBK"/>
          <w:b/>
          <w:bCs/>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地点：</w:t>
      </w:r>
      <w:r>
        <w:rPr>
          <w:rFonts w:hint="eastAsia" w:ascii="仿宋" w:hAnsi="仿宋" w:eastAsia="仿宋" w:cs="方正仿宋_GBK"/>
          <w:b/>
          <w:bCs/>
          <w:color w:val="000000" w:themeColor="text1"/>
          <w:sz w:val="28"/>
          <w:szCs w:val="28"/>
          <w:u w:val="single"/>
          <w14:textFill>
            <w14:solidFill>
              <w14:schemeClr w14:val="tx1"/>
            </w14:solidFill>
          </w14:textFill>
        </w:rPr>
        <w:t>南通市崇川区外环东路12号2层南侧，如有变动另行通知。</w:t>
      </w:r>
    </w:p>
    <w:p w14:paraId="589A2386">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八、凡对本次采购提出询问，请按以下方式联系。</w:t>
      </w:r>
    </w:p>
    <w:p w14:paraId="2C51BE9F">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1.采购人信息</w:t>
      </w:r>
    </w:p>
    <w:p w14:paraId="36E054B9">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名称：南通市交通运输综合行政执法支队</w:t>
      </w:r>
    </w:p>
    <w:p w14:paraId="71E2896F">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 xml:space="preserve">联系方式：程先生，0513-83511802　    </w:t>
      </w:r>
    </w:p>
    <w:p w14:paraId="7691531F">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 xml:space="preserve">2.代理机构：江苏新东方工程咨询管理有限公司 </w:t>
      </w:r>
    </w:p>
    <w:p w14:paraId="0403909A">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地址：南通市崇川区外环东路12号2层南侧</w:t>
      </w:r>
    </w:p>
    <w:p w14:paraId="283492EC">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联系方式：</w:t>
      </w:r>
      <w:r>
        <w:rPr>
          <w:rFonts w:hint="eastAsia" w:ascii="仿宋" w:hAnsi="仿宋" w:eastAsia="仿宋" w:cs="宋体"/>
          <w:color w:val="000000" w:themeColor="text1"/>
          <w:sz w:val="28"/>
          <w:szCs w:val="28"/>
          <w14:textFill>
            <w14:solidFill>
              <w14:schemeClr w14:val="tx1"/>
            </w14:solidFill>
          </w14:textFill>
        </w:rPr>
        <w:t>孙女士</w:t>
      </w:r>
      <w:r>
        <w:rPr>
          <w:rFonts w:hint="eastAsia" w:ascii="仿宋" w:hAnsi="仿宋" w:eastAsia="仿宋" w:cs="方正仿宋_GBK"/>
          <w:color w:val="000000" w:themeColor="text1"/>
          <w:sz w:val="28"/>
          <w:szCs w:val="28"/>
          <w14:textFill>
            <w14:solidFill>
              <w14:schemeClr w14:val="tx1"/>
            </w14:solidFill>
          </w14:textFill>
        </w:rPr>
        <w:t>（15906295903）</w:t>
      </w:r>
    </w:p>
    <w:p w14:paraId="402EC7E5">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邮箱：1</w:t>
      </w:r>
      <w:r>
        <w:rPr>
          <w:rFonts w:ascii="仿宋" w:hAnsi="仿宋" w:eastAsia="仿宋" w:cs="方正仿宋_GBK"/>
          <w:color w:val="000000" w:themeColor="text1"/>
          <w:sz w:val="28"/>
          <w:szCs w:val="28"/>
          <w14:textFill>
            <w14:solidFill>
              <w14:schemeClr w14:val="tx1"/>
            </w14:solidFill>
          </w14:textFill>
        </w:rPr>
        <w:t>013963231@</w:t>
      </w:r>
      <w:r>
        <w:rPr>
          <w:rFonts w:hint="eastAsia" w:ascii="仿宋" w:hAnsi="仿宋" w:eastAsia="仿宋" w:cs="方正仿宋_GBK"/>
          <w:color w:val="000000" w:themeColor="text1"/>
          <w:sz w:val="28"/>
          <w:szCs w:val="28"/>
          <w14:textFill>
            <w14:solidFill>
              <w14:schemeClr w14:val="tx1"/>
            </w14:solidFill>
          </w14:textFill>
        </w:rPr>
        <w:t>qq</w:t>
      </w:r>
      <w:r>
        <w:rPr>
          <w:rFonts w:ascii="仿宋" w:hAnsi="仿宋" w:eastAsia="仿宋" w:cs="方正仿宋_GBK"/>
          <w:color w:val="000000" w:themeColor="text1"/>
          <w:sz w:val="28"/>
          <w:szCs w:val="28"/>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com</w:t>
      </w:r>
    </w:p>
    <w:p w14:paraId="31B6B41B">
      <w:pPr>
        <w:snapToGrid w:val="0"/>
        <w:spacing w:line="460" w:lineRule="exact"/>
        <w:ind w:firstLine="560" w:firstLineChars="200"/>
        <w:jc w:val="left"/>
        <w:rPr>
          <w:rFonts w:hint="eastAsia" w:ascii="仿宋" w:hAnsi="仿宋" w:eastAsia="仿宋" w:cs="方正仿宋_GBK"/>
          <w:color w:val="000000" w:themeColor="text1"/>
          <w:sz w:val="28"/>
          <w:szCs w:val="28"/>
          <w:u w:val="single"/>
          <w14:textFill>
            <w14:solidFill>
              <w14:schemeClr w14:val="tx1"/>
            </w14:solidFill>
          </w14:textFill>
        </w:rPr>
      </w:pPr>
    </w:p>
    <w:bookmarkEnd w:id="2"/>
    <w:p w14:paraId="5DB76AF1">
      <w:pPr>
        <w:pStyle w:val="7"/>
        <w:spacing w:line="460" w:lineRule="exact"/>
        <w:ind w:firstLine="281"/>
        <w:rPr>
          <w:rFonts w:hint="eastAsia" w:ascii="仿宋" w:hAnsi="仿宋" w:eastAsia="仿宋" w:cs="方正仿宋_GBK"/>
          <w:b/>
          <w:bCs/>
          <w:color w:val="000000" w:themeColor="text1"/>
          <w:sz w:val="28"/>
          <w:szCs w:val="28"/>
          <w14:textFill>
            <w14:solidFill>
              <w14:schemeClr w14:val="tx1"/>
            </w14:solidFill>
          </w14:textFill>
        </w:rPr>
      </w:pPr>
    </w:p>
    <w:bookmarkEnd w:id="3"/>
    <w:p w14:paraId="459DCA20">
      <w:pPr>
        <w:widowControl/>
        <w:jc w:val="left"/>
        <w:rPr>
          <w:rFonts w:hint="eastAsia" w:ascii="仿宋" w:hAnsi="仿宋" w:eastAsia="仿宋" w:cs="宋体"/>
          <w:b/>
          <w:color w:val="000000" w:themeColor="text1"/>
          <w:sz w:val="32"/>
          <w:szCs w:val="32"/>
          <w14:textFill>
            <w14:solidFill>
              <w14:schemeClr w14:val="tx1"/>
            </w14:solidFill>
          </w14:textFill>
        </w:rPr>
      </w:pPr>
      <w:bookmarkStart w:id="4" w:name="_Toc17439"/>
      <w:r>
        <w:rPr>
          <w:rFonts w:ascii="仿宋" w:hAnsi="仿宋" w:eastAsia="仿宋" w:cs="宋体"/>
          <w:b/>
          <w:color w:val="000000" w:themeColor="text1"/>
          <w:sz w:val="32"/>
          <w:szCs w:val="32"/>
          <w14:textFill>
            <w14:solidFill>
              <w14:schemeClr w14:val="tx1"/>
            </w14:solidFill>
          </w14:textFill>
        </w:rPr>
        <w:br w:type="page"/>
      </w:r>
    </w:p>
    <w:p w14:paraId="3F726BBF">
      <w:pPr>
        <w:snapToGrid w:val="0"/>
        <w:spacing w:line="360" w:lineRule="auto"/>
        <w:jc w:val="center"/>
        <w:outlineLvl w:val="0"/>
        <w:rPr>
          <w:rFonts w:hint="eastAsia"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第二部分  比选须知</w:t>
      </w:r>
      <w:bookmarkEnd w:id="4"/>
    </w:p>
    <w:p w14:paraId="239C609F">
      <w:pPr>
        <w:snapToGrid w:val="0"/>
        <w:spacing w:line="460" w:lineRule="exact"/>
        <w:ind w:firstLine="562" w:firstLineChars="200"/>
        <w:outlineLvl w:val="1"/>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一、采购文件由采购人解释</w:t>
      </w:r>
      <w:r>
        <w:rPr>
          <w:rFonts w:hint="eastAsia" w:ascii="仿宋" w:hAnsi="仿宋" w:eastAsia="仿宋" w:cs="方正仿宋_GBK"/>
          <w:color w:val="000000" w:themeColor="text1"/>
          <w:sz w:val="28"/>
          <w:szCs w:val="28"/>
          <w14:textFill>
            <w14:solidFill>
              <w14:schemeClr w14:val="tx1"/>
            </w14:solidFill>
          </w14:textFill>
        </w:rPr>
        <w:t>。</w:t>
      </w:r>
    </w:p>
    <w:p w14:paraId="41336C42">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供应商获取比选文件后，应仔细检查比选文件的所有内容，如有内容或页码残缺、资格要求和技术参数含有倾向性或排他性等表述的，应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6CCCF82A">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2.比选人应认真审阅采购文件中所有的事项、格式、条款和规范要求等，如果比选人没有按照采购文件要求提交比选文件，或者比选文件没有对采购文件做出实质性响应，其比选将被拒绝，比选人自行承担责任。</w:t>
      </w:r>
    </w:p>
    <w:p w14:paraId="1B7362F0">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3.</w:t>
      </w:r>
      <w:r>
        <w:rPr>
          <w:rFonts w:hint="eastAsia"/>
        </w:rPr>
        <w:t xml:space="preserve"> </w:t>
      </w:r>
      <w:r>
        <w:rPr>
          <w:rFonts w:hint="eastAsia" w:ascii="仿宋" w:hAnsi="仿宋" w:eastAsia="仿宋" w:cs="方正仿宋_GBK"/>
          <w:b/>
          <w:color w:val="000000" w:themeColor="text1"/>
          <w:sz w:val="28"/>
          <w:szCs w:val="28"/>
          <w14:textFill>
            <w14:solidFill>
              <w14:schemeClr w14:val="tx1"/>
            </w14:solidFill>
          </w14:textFill>
        </w:rPr>
        <w:t>若符合资格要求的供应商不足三家，采购人有权自动转入竞争性谈判或单一来源谈判。</w:t>
      </w:r>
    </w:p>
    <w:p w14:paraId="0E595B72">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二、采购文件的澄清、修改、答疑</w:t>
      </w:r>
    </w:p>
    <w:p w14:paraId="1515E561">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1.采购人有权对发出的采购文件进行必要的澄清或修改。</w:t>
      </w:r>
    </w:p>
    <w:p w14:paraId="040D803A">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2.采购人可视情取消、延长相关时间。</w:t>
      </w:r>
    </w:p>
    <w:p w14:paraId="14FCD73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3.采购人对采购文件的澄清、修改将构成采购文件的一部分，对比选人具有约束力。</w:t>
      </w:r>
    </w:p>
    <w:p w14:paraId="42D8F78D">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4.比选人由于对采购文件的任何推论和误解以及采购人对有关问题的口头解释所造成的后果，均由比选人自负。</w:t>
      </w:r>
    </w:p>
    <w:p w14:paraId="189DBA43">
      <w:pPr>
        <w:snapToGrid w:val="0"/>
        <w:spacing w:line="460" w:lineRule="exact"/>
        <w:ind w:firstLine="560"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5.采购人视情组织答疑会。</w:t>
      </w:r>
    </w:p>
    <w:p w14:paraId="75FF4E3D">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三、投标项目涉及到的现场勘察</w:t>
      </w:r>
    </w:p>
    <w:p w14:paraId="5E697950">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比选文件所提供的项目相关数据仅做参考，根据自身需要，供应商应在投标文件递交之日前对有关现场和周围环境进行勘察，以获取编制投标文件和签署合同所需的信息。勘察现场所发生的费用由供应商自己承担。</w:t>
      </w:r>
    </w:p>
    <w:p w14:paraId="0F5FD559">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2.采购单位向供应商提供的有关现场的资料和数据，是采购单位现有的并认为能使供应商可利用的资料。采购单位对供应商由此而做出的推论、理解和结论概不负责。</w:t>
      </w:r>
    </w:p>
    <w:p w14:paraId="6A885E4B">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3.经采购单位允许，供应商可为勘察目的进入采购单位的项目现场，但供应商不得因此使采购单位承担有关的责任和蒙受损失。供应商应承担勘察现场的责任和风险。</w:t>
      </w:r>
    </w:p>
    <w:p w14:paraId="0C964E79">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14:paraId="7D4D28A8">
      <w:pPr>
        <w:widowControl/>
        <w:spacing w:line="460" w:lineRule="exact"/>
        <w:ind w:firstLine="560" w:firstLineChars="200"/>
        <w:jc w:val="left"/>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5.采购人不组织集中现场踏勘，请自行前往，根据施工现场情况及文件规定，自行根据可行的施工方案进行报价，结算时一律不作调整。</w:t>
      </w:r>
    </w:p>
    <w:p w14:paraId="141DB7C9">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四、比选报价</w:t>
      </w:r>
    </w:p>
    <w:p w14:paraId="53204C25">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1.本项目不接受任何有选择的报价。</w:t>
      </w:r>
    </w:p>
    <w:p w14:paraId="19161524">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2.比选报价均以人民币为报价的货币单位。</w:t>
      </w:r>
    </w:p>
    <w:p w14:paraId="7F35B68E">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3.报价表必须加盖供应商公章且必须经法定代表人或被委托授权人签署。</w:t>
      </w:r>
    </w:p>
    <w:p w14:paraId="4AA9536E">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4.比选报价出现前后不一致的，按照下列规定修正：</w:t>
      </w:r>
    </w:p>
    <w:p w14:paraId="5CF287E3">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（1）比选文件中报价表内容与比选文件技术响应中内容明细不一致的，以报价表为准；</w:t>
      </w:r>
    </w:p>
    <w:p w14:paraId="5F540301">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（2）比选文件中涉及大写金额和小写金额不一致的，以大写金额为准；</w:t>
      </w:r>
    </w:p>
    <w:p w14:paraId="35041AA6">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（3）单价金额小数点或者百分比有明显错位的，以报价表（投标报价总表）的总价为准，并修改单价；</w:t>
      </w:r>
    </w:p>
    <w:p w14:paraId="797F319C">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（4）总价金额与按单价汇总金额不一致的，以单价金额计算结果为准。</w:t>
      </w:r>
    </w:p>
    <w:p w14:paraId="1F9F2FAD">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同时出现两种以上不一致的，按照前款规定的顺序修正。修正后的报价应当由供应商的法定代表人或其授权的代表签字确认后产生约束力，供应商不确认的，其投标无效。</w:t>
      </w:r>
    </w:p>
    <w:p w14:paraId="38F4B905">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1F6ABEFF">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五、比选文件的编写、份数和签署</w:t>
      </w:r>
    </w:p>
    <w:p w14:paraId="5D2E0FBB">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1.比选人按第七部分“比选文件组成”编写比选文件。</w:t>
      </w:r>
      <w:r>
        <w:rPr>
          <w:rFonts w:hint="eastAsia" w:ascii="仿宋" w:hAnsi="仿宋" w:eastAsia="仿宋" w:cs="方正仿宋_GBK"/>
          <w:color w:val="000000" w:themeColor="text1"/>
          <w:kern w:val="0"/>
          <w:sz w:val="28"/>
          <w:szCs w:val="28"/>
          <w:lang w:val="zh-CN"/>
          <w14:textFill>
            <w14:solidFill>
              <w14:schemeClr w14:val="tx1"/>
            </w14:solidFill>
          </w14:textFill>
        </w:rPr>
        <w:t>比选文件规格幅面</w:t>
      </w:r>
      <w:r>
        <w:rPr>
          <w:rFonts w:hint="eastAsia" w:ascii="仿宋" w:hAnsi="仿宋" w:eastAsia="仿宋" w:cs="方正仿宋_GBK"/>
          <w:color w:val="000000" w:themeColor="text1"/>
          <w:sz w:val="28"/>
          <w:szCs w:val="28"/>
          <w14:textFill>
            <w14:solidFill>
              <w14:schemeClr w14:val="tx1"/>
            </w14:solidFill>
          </w14:textFill>
        </w:rPr>
        <w:t>A4纸（图纸等除外）；</w:t>
      </w:r>
      <w:r>
        <w:rPr>
          <w:rFonts w:hint="eastAsia" w:ascii="仿宋" w:hAnsi="仿宋" w:eastAsia="仿宋" w:cs="方正仿宋_GBK"/>
          <w:color w:val="000000" w:themeColor="text1"/>
          <w:kern w:val="0"/>
          <w:sz w:val="28"/>
          <w:szCs w:val="28"/>
          <w:lang w:val="zh-CN"/>
          <w14:textFill>
            <w14:solidFill>
              <w14:schemeClr w14:val="tx1"/>
            </w14:solidFill>
          </w14:textFill>
        </w:rPr>
        <w:t>正文使用仿宋体四号字；按照采购文件所规定的内容顺序，统一编制目录，逐页编码，由于编排混乱导致比选文件被误读或查找不到，其责任应当由比选人承担；</w:t>
      </w:r>
      <w:r>
        <w:rPr>
          <w:rFonts w:hint="eastAsia" w:ascii="仿宋" w:hAnsi="仿宋" w:eastAsia="仿宋" w:cs="方正仿宋_GBK"/>
          <w:color w:val="000000" w:themeColor="text1"/>
          <w:sz w:val="28"/>
          <w:szCs w:val="28"/>
          <w14:textFill>
            <w14:solidFill>
              <w14:schemeClr w14:val="tx1"/>
            </w14:solidFill>
          </w14:textFill>
        </w:rPr>
        <w:t>牢固装订成册，不允许使用活页夹、拉杆夹、文件夹、塑料方便式书脊（插入式或穿孔式）装订；比选文件不得行间插字、涂改、增删，如修补错漏处，须经比选文件签署人签字并加盖公章。</w:t>
      </w:r>
    </w:p>
    <w:p w14:paraId="4B1E63A2">
      <w:pPr>
        <w:snapToGrid w:val="0"/>
        <w:spacing w:line="460" w:lineRule="exact"/>
        <w:ind w:firstLine="560"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2.比选文件（资格审查文件、商务技术文件、价格标），明确标注比选人全称、“正本”、“副本”字样。</w:t>
      </w:r>
      <w:r>
        <w:rPr>
          <w:rFonts w:hint="eastAsia" w:ascii="仿宋" w:hAnsi="仿宋" w:eastAsia="仿宋" w:cs="方正仿宋_GBK"/>
          <w:b/>
          <w:color w:val="000000" w:themeColor="text1"/>
          <w:sz w:val="28"/>
          <w:szCs w:val="28"/>
          <w14:textFill>
            <w14:solidFill>
              <w14:schemeClr w14:val="tx1"/>
            </w14:solidFill>
          </w14:textFill>
        </w:rPr>
        <w:t>正本份数：1份，副本份数：2份。</w:t>
      </w:r>
    </w:p>
    <w:p w14:paraId="67E10A80">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3.比选文件正本须打印并由比选人法定代表人或授权人签字并加盖单位印章。副本可复印，但须加盖单位印章。</w:t>
      </w:r>
    </w:p>
    <w:p w14:paraId="3F5CC9BC">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六、比选文件的密封及标记</w:t>
      </w:r>
    </w:p>
    <w:p w14:paraId="65B4071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1.比选人应将资格审查证明材料正本、副本合并密封，统一装在一个密封袋内。</w:t>
      </w:r>
    </w:p>
    <w:p w14:paraId="4680D65F">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2.比选人应将商务技术标资料正本、副本及图纸类等（如需提供图纸等其它资料的话）合并密封，统一装在一个密封袋或密封箱内（如有A3大小的图纸类，可单独密封）。</w:t>
      </w:r>
    </w:p>
    <w:p w14:paraId="57ACCC42">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3.价格标须单独密封，不得出现于比选文件其他部分中。</w:t>
      </w:r>
    </w:p>
    <w:p w14:paraId="1B24E05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4.密封后比选文件（资格审查文件、商务技术文件、价格标）封面分别标明采购文件项目名称、项目编号、边缝处加盖单位骑缝章或骑缝签字，并注明于开标前不得启封。</w:t>
      </w:r>
    </w:p>
    <w:p w14:paraId="70BF0D5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5.采购人将拒绝接收未按照采购文件要求密封的比选文件。</w:t>
      </w:r>
    </w:p>
    <w:p w14:paraId="6C6FDB75">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七、比选文件的递交时间</w:t>
      </w:r>
    </w:p>
    <w:p w14:paraId="1A430653">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比选文件必须在规定的接收截止时间前送达采购人。采购人将拒绝接收在比选截止时间后递交的比选文件。</w:t>
      </w:r>
    </w:p>
    <w:p w14:paraId="18566A82">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八、相关费用</w:t>
      </w:r>
    </w:p>
    <w:p w14:paraId="4640B439">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1.供应商承担参与比选可能发生的全部费用，代理机构在任何情况下均无义务和责任承担这些费用。</w:t>
      </w:r>
    </w:p>
    <w:p w14:paraId="5A4D9F10">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w:t>
      </w:r>
      <w:r>
        <w:rPr>
          <w:color w:val="000000" w:themeColor="text1"/>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本项目各标段磋商代理费按照发改价格[2011]534号文*60%标准计收，不足1500元，按照1500元标准计收，供应商须综合考虑在比选响应报价内。供应商报价时需综合考虑以上费用（不单列）。</w:t>
      </w:r>
    </w:p>
    <w:p w14:paraId="2D717A5A">
      <w:pPr>
        <w:snapToGrid w:val="0"/>
        <w:spacing w:line="460" w:lineRule="exact"/>
        <w:jc w:val="center"/>
        <w:rPr>
          <w:rFonts w:hint="eastAsia" w:ascii="仿宋" w:hAnsi="仿宋" w:eastAsia="仿宋" w:cs="方正仿宋_GBK"/>
          <w:b/>
          <w:color w:val="000000" w:themeColor="text1"/>
          <w:sz w:val="28"/>
          <w:szCs w:val="28"/>
          <w14:textFill>
            <w14:solidFill>
              <w14:schemeClr w14:val="tx1"/>
            </w14:solidFill>
          </w14:textFill>
        </w:rPr>
      </w:pPr>
    </w:p>
    <w:p w14:paraId="756F9593">
      <w:pPr>
        <w:snapToGrid w:val="0"/>
        <w:spacing w:line="460" w:lineRule="exact"/>
        <w:jc w:val="center"/>
        <w:rPr>
          <w:rFonts w:hint="eastAsia" w:ascii="仿宋" w:hAnsi="仿宋" w:eastAsia="仿宋"/>
          <w:b/>
          <w:color w:val="000000" w:themeColor="text1"/>
          <w:sz w:val="36"/>
          <w:szCs w:val="36"/>
          <w14:textFill>
            <w14:solidFill>
              <w14:schemeClr w14:val="tx1"/>
            </w14:solidFill>
          </w14:textFill>
        </w:rPr>
      </w:pPr>
    </w:p>
    <w:p w14:paraId="0B5A2C2E">
      <w:pPr>
        <w:snapToGrid w:val="0"/>
        <w:spacing w:line="460" w:lineRule="exact"/>
        <w:jc w:val="center"/>
        <w:rPr>
          <w:rFonts w:hint="eastAsia" w:ascii="仿宋" w:hAnsi="仿宋" w:eastAsia="仿宋"/>
          <w:b/>
          <w:color w:val="000000" w:themeColor="text1"/>
          <w:sz w:val="36"/>
          <w:szCs w:val="36"/>
          <w14:textFill>
            <w14:solidFill>
              <w14:schemeClr w14:val="tx1"/>
            </w14:solidFill>
          </w14:textFill>
        </w:rPr>
      </w:pPr>
    </w:p>
    <w:p w14:paraId="70E32CF8">
      <w:pPr>
        <w:widowControl/>
        <w:jc w:val="left"/>
        <w:rPr>
          <w:rFonts w:hint="eastAsia" w:ascii="仿宋" w:hAnsi="仿宋" w:eastAsia="仿宋" w:cs="宋体"/>
          <w:b/>
          <w:color w:val="000000" w:themeColor="text1"/>
          <w:sz w:val="32"/>
          <w:szCs w:val="32"/>
          <w14:textFill>
            <w14:solidFill>
              <w14:schemeClr w14:val="tx1"/>
            </w14:solidFill>
          </w14:textFill>
        </w:rPr>
      </w:pPr>
      <w:bookmarkStart w:id="5" w:name="_Toc5280"/>
      <w:r>
        <w:rPr>
          <w:rFonts w:hint="eastAsia" w:ascii="仿宋" w:hAnsi="仿宋" w:eastAsia="仿宋" w:cs="宋体"/>
          <w:b/>
          <w:color w:val="000000" w:themeColor="text1"/>
          <w:sz w:val="32"/>
          <w:szCs w:val="32"/>
          <w14:textFill>
            <w14:solidFill>
              <w14:schemeClr w14:val="tx1"/>
            </w14:solidFill>
          </w14:textFill>
        </w:rPr>
        <w:br w:type="page"/>
      </w:r>
    </w:p>
    <w:p w14:paraId="24A1FC6C">
      <w:pPr>
        <w:snapToGrid w:val="0"/>
        <w:spacing w:line="460" w:lineRule="exact"/>
        <w:jc w:val="center"/>
        <w:outlineLvl w:val="0"/>
        <w:rPr>
          <w:rFonts w:hint="eastAsia"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第三部分  项目需求说明</w:t>
      </w:r>
      <w:bookmarkEnd w:id="5"/>
    </w:p>
    <w:p w14:paraId="6643FC4D">
      <w:pPr>
        <w:adjustRightInd w:val="0"/>
        <w:snapToGrid w:val="0"/>
        <w:spacing w:line="460" w:lineRule="exact"/>
        <w:ind w:firstLine="562" w:firstLineChars="200"/>
        <w:rPr>
          <w:rFonts w:hint="eastAsia" w:ascii="仿宋" w:hAnsi="仿宋" w:eastAsia="仿宋" w:cs="方正仿宋_GBK"/>
          <w:b/>
          <w:color w:val="000000" w:themeColor="text1"/>
          <w:sz w:val="28"/>
          <w:szCs w:val="28"/>
          <w:lang w:val="zh-CN"/>
          <w14:textFill>
            <w14:solidFill>
              <w14:schemeClr w14:val="tx1"/>
            </w14:solidFill>
          </w14:textFill>
          <w14:ligatures w14:val="standardContextual"/>
        </w:rPr>
      </w:pPr>
      <w:bookmarkStart w:id="6" w:name="_Toc25121"/>
      <w:r>
        <w:rPr>
          <w:rFonts w:hint="eastAsia" w:ascii="仿宋" w:hAnsi="仿宋" w:eastAsia="仿宋" w:cs="方正仿宋_GBK"/>
          <w:b/>
          <w:color w:val="000000" w:themeColor="text1"/>
          <w:sz w:val="28"/>
          <w:szCs w:val="28"/>
          <w:lang w:val="zh-CN"/>
          <w14:textFill>
            <w14:solidFill>
              <w14:schemeClr w14:val="tx1"/>
            </w14:solidFill>
          </w14:textFill>
          <w14:ligatures w14:val="standardContextual"/>
        </w:rPr>
        <w:t>请供应商在制作响应文件时仔细研究项目需求说明。</w:t>
      </w:r>
      <w:r>
        <w:rPr>
          <w:rFonts w:hint="eastAsia" w:ascii="仿宋" w:hAnsi="仿宋" w:eastAsia="仿宋" w:cs="方正仿宋_GBK"/>
          <w:bCs/>
          <w:color w:val="000000" w:themeColor="text1"/>
          <w:sz w:val="28"/>
          <w:szCs w:val="28"/>
          <w:lang w:val="zh-CN"/>
          <w14:textFill>
            <w14:solidFill>
              <w14:schemeClr w14:val="tx1"/>
            </w14:solidFill>
          </w14:textFill>
          <w14:ligatures w14:val="standardContextual"/>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14:paraId="0DB831A7">
      <w:pPr>
        <w:snapToGrid w:val="0"/>
        <w:spacing w:line="500" w:lineRule="exact"/>
        <w:ind w:firstLine="559" w:firstLineChars="199"/>
        <w:rPr>
          <w:rFonts w:hint="eastAsia" w:ascii="仿宋" w:hAnsi="仿宋" w:eastAsia="仿宋" w:cs="宋体"/>
          <w:kern w:val="0"/>
          <w:sz w:val="28"/>
          <w:szCs w:val="28"/>
        </w:rPr>
      </w:pPr>
      <w:r>
        <w:rPr>
          <w:rFonts w:hint="eastAsia" w:ascii="仿宋" w:hAnsi="仿宋" w:eastAsia="仿宋" w:cs="宋体"/>
          <w:b/>
          <w:bCs/>
          <w:kern w:val="0"/>
          <w:sz w:val="28"/>
          <w:szCs w:val="28"/>
        </w:rPr>
        <w:t>其内容包含：</w:t>
      </w:r>
    </w:p>
    <w:p w14:paraId="6E559561">
      <w:pPr>
        <w:widowControl/>
        <w:spacing w:line="500" w:lineRule="exact"/>
        <w:ind w:firstLine="560" w:firstLineChars="200"/>
        <w:rPr>
          <w:rFonts w:hint="eastAsia" w:ascii="仿宋" w:hAnsi="仿宋" w:eastAsia="仿宋" w:cs="楷体_GB2312"/>
          <w:bCs/>
          <w:kern w:val="0"/>
          <w:sz w:val="28"/>
          <w:szCs w:val="28"/>
        </w:rPr>
      </w:pPr>
      <w:bookmarkStart w:id="7" w:name="_Hlk99542129"/>
      <w:r>
        <w:rPr>
          <w:rFonts w:hint="eastAsia" w:ascii="仿宋" w:hAnsi="仿宋" w:eastAsia="仿宋" w:cs="宋体"/>
          <w:kern w:val="0"/>
          <w:sz w:val="28"/>
          <w:szCs w:val="28"/>
        </w:rPr>
        <w:t>为落实《</w:t>
      </w:r>
      <w:r>
        <w:rPr>
          <w:rFonts w:hint="eastAsia" w:ascii="仿宋" w:hAnsi="仿宋" w:eastAsia="仿宋" w:cs="宋体"/>
          <w:kern w:val="0"/>
          <w:sz w:val="28"/>
          <w:szCs w:val="28"/>
          <w:lang w:eastAsia="zh-CN"/>
        </w:rPr>
        <w:t>中华人民共和国网络安全法</w:t>
      </w:r>
      <w:r>
        <w:rPr>
          <w:rFonts w:hint="eastAsia" w:ascii="仿宋" w:hAnsi="仿宋" w:eastAsia="仿宋" w:cs="宋体"/>
          <w:kern w:val="0"/>
          <w:sz w:val="28"/>
          <w:szCs w:val="28"/>
        </w:rPr>
        <w:t>》第二十一条第三款“网络运营者应当按照网络安全等级保护制度的要求”，</w:t>
      </w:r>
      <w:r>
        <w:rPr>
          <w:rFonts w:hint="eastAsia" w:ascii="仿宋" w:hAnsi="仿宋" w:eastAsia="仿宋" w:cs="仿宋"/>
          <w:sz w:val="28"/>
          <w:szCs w:val="28"/>
        </w:rPr>
        <w:t>南通市交通运输执法支队决定</w:t>
      </w:r>
      <w:r>
        <w:rPr>
          <w:rFonts w:ascii="仿宋" w:hAnsi="仿宋" w:eastAsia="仿宋" w:cs="仿宋"/>
          <w:sz w:val="28"/>
          <w:szCs w:val="28"/>
        </w:rPr>
        <w:t>对单位信息系统</w:t>
      </w:r>
      <w:r>
        <w:rPr>
          <w:rFonts w:hint="eastAsia" w:ascii="仿宋" w:hAnsi="仿宋" w:eastAsia="仿宋" w:cs="仿宋"/>
          <w:sz w:val="28"/>
          <w:szCs w:val="28"/>
        </w:rPr>
        <w:t>进行网络</w:t>
      </w:r>
      <w:r>
        <w:rPr>
          <w:rFonts w:ascii="仿宋" w:hAnsi="仿宋" w:eastAsia="仿宋" w:cs="仿宋"/>
          <w:sz w:val="28"/>
          <w:szCs w:val="28"/>
        </w:rPr>
        <w:t>安全等级保护测评</w:t>
      </w:r>
      <w:r>
        <w:rPr>
          <w:rFonts w:hint="eastAsia" w:ascii="仿宋" w:hAnsi="仿宋" w:eastAsia="仿宋" w:cs="宋体"/>
          <w:kern w:val="0"/>
          <w:sz w:val="28"/>
          <w:szCs w:val="28"/>
        </w:rPr>
        <w:t>，</w:t>
      </w:r>
      <w:r>
        <w:rPr>
          <w:rFonts w:ascii="仿宋" w:hAnsi="仿宋" w:eastAsia="仿宋" w:cs="宋体"/>
          <w:kern w:val="0"/>
          <w:sz w:val="28"/>
          <w:szCs w:val="28"/>
        </w:rPr>
        <w:t>以明确信息系统</w:t>
      </w:r>
      <w:r>
        <w:rPr>
          <w:rFonts w:hint="eastAsia" w:ascii="仿宋" w:hAnsi="仿宋" w:eastAsia="仿宋" w:cs="宋体"/>
          <w:kern w:val="0"/>
          <w:sz w:val="28"/>
          <w:szCs w:val="28"/>
        </w:rPr>
        <w:t>现状</w:t>
      </w:r>
      <w:r>
        <w:rPr>
          <w:rFonts w:ascii="仿宋" w:hAnsi="仿宋" w:eastAsia="仿宋" w:cs="宋体"/>
          <w:kern w:val="0"/>
          <w:sz w:val="28"/>
          <w:szCs w:val="28"/>
        </w:rPr>
        <w:t>，</w:t>
      </w:r>
      <w:r>
        <w:rPr>
          <w:rFonts w:hint="eastAsia" w:ascii="仿宋" w:hAnsi="仿宋" w:eastAsia="仿宋" w:cs="宋体"/>
          <w:kern w:val="0"/>
          <w:sz w:val="28"/>
          <w:szCs w:val="28"/>
        </w:rPr>
        <w:t>发现</w:t>
      </w:r>
      <w:r>
        <w:rPr>
          <w:rFonts w:ascii="仿宋" w:hAnsi="仿宋" w:eastAsia="仿宋" w:cs="宋体"/>
          <w:kern w:val="0"/>
          <w:sz w:val="28"/>
          <w:szCs w:val="28"/>
        </w:rPr>
        <w:t>系统</w:t>
      </w:r>
      <w:r>
        <w:rPr>
          <w:rFonts w:hint="eastAsia" w:ascii="仿宋" w:hAnsi="仿宋" w:eastAsia="仿宋" w:cs="宋体"/>
          <w:kern w:val="0"/>
          <w:sz w:val="28"/>
          <w:szCs w:val="28"/>
        </w:rPr>
        <w:t>内部</w:t>
      </w:r>
      <w:r>
        <w:rPr>
          <w:rFonts w:ascii="仿宋" w:hAnsi="仿宋" w:eastAsia="仿宋" w:cs="宋体"/>
          <w:kern w:val="0"/>
          <w:sz w:val="28"/>
          <w:szCs w:val="28"/>
        </w:rPr>
        <w:t>存在的安全隐患和不足，明确</w:t>
      </w:r>
      <w:r>
        <w:rPr>
          <w:rFonts w:hint="eastAsia" w:ascii="仿宋" w:hAnsi="仿宋" w:eastAsia="仿宋" w:cs="宋体"/>
          <w:kern w:val="0"/>
          <w:sz w:val="28"/>
          <w:szCs w:val="28"/>
        </w:rPr>
        <w:t>整改方向</w:t>
      </w:r>
      <w:r>
        <w:rPr>
          <w:rFonts w:ascii="仿宋" w:hAnsi="仿宋" w:eastAsia="仿宋" w:cs="宋体"/>
          <w:kern w:val="0"/>
          <w:sz w:val="28"/>
          <w:szCs w:val="28"/>
        </w:rPr>
        <w:t>，降低系统被攻击的风险</w:t>
      </w:r>
      <w:r>
        <w:rPr>
          <w:rFonts w:hint="eastAsia" w:ascii="仿宋" w:hAnsi="仿宋" w:eastAsia="仿宋" w:cs="宋体"/>
          <w:kern w:val="0"/>
          <w:sz w:val="28"/>
          <w:szCs w:val="28"/>
        </w:rPr>
        <w:t>。</w:t>
      </w:r>
    </w:p>
    <w:p w14:paraId="64508F8A">
      <w:pPr>
        <w:keepNext/>
        <w:keepLines/>
        <w:spacing w:line="500" w:lineRule="exact"/>
        <w:outlineLvl w:val="1"/>
        <w:rPr>
          <w:rFonts w:hint="eastAsia" w:ascii="仿宋" w:hAnsi="仿宋" w:eastAsia="仿宋"/>
          <w:b/>
          <w:bCs/>
          <w:sz w:val="28"/>
          <w:szCs w:val="28"/>
        </w:rPr>
      </w:pPr>
      <w:r>
        <w:rPr>
          <w:rFonts w:hint="eastAsia" w:ascii="仿宋" w:hAnsi="仿宋" w:eastAsia="仿宋"/>
          <w:b/>
          <w:bCs/>
          <w:sz w:val="28"/>
          <w:szCs w:val="28"/>
        </w:rPr>
        <w:t>一、本项目服务范围</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5295"/>
        <w:gridCol w:w="1186"/>
        <w:gridCol w:w="1812"/>
      </w:tblGrid>
      <w:tr w14:paraId="7D52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019F9128">
            <w:pPr>
              <w:spacing w:line="500" w:lineRule="exact"/>
              <w:jc w:val="center"/>
              <w:rPr>
                <w:rFonts w:hint="eastAsia" w:ascii="仿宋" w:hAnsi="仿宋" w:eastAsia="仿宋"/>
                <w:bCs/>
                <w:sz w:val="28"/>
                <w:szCs w:val="28"/>
              </w:rPr>
            </w:pPr>
            <w:r>
              <w:rPr>
                <w:rFonts w:hint="eastAsia" w:ascii="仿宋" w:hAnsi="仿宋" w:eastAsia="仿宋"/>
                <w:bCs/>
                <w:sz w:val="28"/>
                <w:szCs w:val="28"/>
              </w:rPr>
              <w:t>序号</w:t>
            </w:r>
          </w:p>
        </w:tc>
        <w:tc>
          <w:tcPr>
            <w:tcW w:w="2800" w:type="pct"/>
            <w:vAlign w:val="center"/>
          </w:tcPr>
          <w:p w14:paraId="61904DD9">
            <w:pPr>
              <w:spacing w:line="500" w:lineRule="exact"/>
              <w:jc w:val="center"/>
              <w:rPr>
                <w:rFonts w:hint="eastAsia" w:ascii="仿宋" w:hAnsi="仿宋" w:eastAsia="仿宋"/>
                <w:bCs/>
                <w:sz w:val="28"/>
                <w:szCs w:val="28"/>
              </w:rPr>
            </w:pPr>
            <w:r>
              <w:rPr>
                <w:rFonts w:hint="eastAsia" w:ascii="仿宋" w:hAnsi="仿宋" w:eastAsia="仿宋"/>
                <w:bCs/>
                <w:sz w:val="28"/>
                <w:szCs w:val="28"/>
              </w:rPr>
              <w:t>系统名称</w:t>
            </w:r>
          </w:p>
        </w:tc>
        <w:tc>
          <w:tcPr>
            <w:tcW w:w="627" w:type="pct"/>
          </w:tcPr>
          <w:p w14:paraId="78075F03">
            <w:pPr>
              <w:spacing w:line="500" w:lineRule="exact"/>
              <w:jc w:val="center"/>
              <w:rPr>
                <w:rFonts w:hint="eastAsia" w:ascii="仿宋" w:hAnsi="仿宋" w:eastAsia="仿宋"/>
                <w:bCs/>
                <w:sz w:val="28"/>
                <w:szCs w:val="28"/>
              </w:rPr>
            </w:pPr>
            <w:r>
              <w:rPr>
                <w:rFonts w:hint="eastAsia" w:ascii="仿宋" w:hAnsi="仿宋" w:eastAsia="仿宋"/>
                <w:bCs/>
                <w:sz w:val="28"/>
                <w:szCs w:val="28"/>
              </w:rPr>
              <w:t>数量</w:t>
            </w:r>
          </w:p>
        </w:tc>
        <w:tc>
          <w:tcPr>
            <w:tcW w:w="958" w:type="pct"/>
            <w:vAlign w:val="center"/>
          </w:tcPr>
          <w:p w14:paraId="4DD4F1F2">
            <w:pPr>
              <w:spacing w:line="500" w:lineRule="exact"/>
              <w:jc w:val="center"/>
              <w:rPr>
                <w:rFonts w:hint="eastAsia" w:ascii="仿宋" w:hAnsi="仿宋" w:eastAsia="仿宋"/>
                <w:bCs/>
                <w:sz w:val="28"/>
                <w:szCs w:val="28"/>
              </w:rPr>
            </w:pPr>
            <w:r>
              <w:rPr>
                <w:rFonts w:hint="eastAsia" w:ascii="仿宋" w:hAnsi="仿宋" w:eastAsia="仿宋"/>
                <w:bCs/>
                <w:sz w:val="28"/>
                <w:szCs w:val="28"/>
              </w:rPr>
              <w:t>备注</w:t>
            </w:r>
          </w:p>
        </w:tc>
      </w:tr>
      <w:tr w14:paraId="6C6B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68E32EF8">
            <w:pPr>
              <w:spacing w:line="500" w:lineRule="exact"/>
              <w:jc w:val="center"/>
              <w:rPr>
                <w:rFonts w:hint="eastAsia" w:ascii="仿宋" w:hAnsi="仿宋" w:eastAsia="仿宋"/>
                <w:bCs/>
                <w:sz w:val="28"/>
                <w:szCs w:val="28"/>
              </w:rPr>
            </w:pPr>
            <w:r>
              <w:rPr>
                <w:rFonts w:hint="eastAsia" w:ascii="仿宋" w:hAnsi="仿宋" w:eastAsia="仿宋"/>
                <w:bCs/>
                <w:sz w:val="28"/>
                <w:szCs w:val="28"/>
              </w:rPr>
              <w:t>1</w:t>
            </w:r>
          </w:p>
        </w:tc>
        <w:tc>
          <w:tcPr>
            <w:tcW w:w="2800" w:type="pct"/>
            <w:vAlign w:val="center"/>
          </w:tcPr>
          <w:p w14:paraId="6E8DE131">
            <w:pPr>
              <w:spacing w:line="500" w:lineRule="exact"/>
              <w:jc w:val="center"/>
              <w:rPr>
                <w:rFonts w:hint="eastAsia" w:ascii="仿宋" w:hAnsi="仿宋" w:eastAsia="仿宋"/>
                <w:bCs/>
                <w:sz w:val="28"/>
                <w:szCs w:val="28"/>
              </w:rPr>
            </w:pPr>
            <w:r>
              <w:rPr>
                <w:rFonts w:hint="eastAsia" w:ascii="仿宋" w:hAnsi="仿宋" w:eastAsia="仿宋"/>
                <w:bCs/>
                <w:sz w:val="28"/>
                <w:szCs w:val="28"/>
              </w:rPr>
              <w:t>致远协同管理软件</w:t>
            </w:r>
          </w:p>
        </w:tc>
        <w:tc>
          <w:tcPr>
            <w:tcW w:w="627" w:type="pct"/>
            <w:vAlign w:val="center"/>
          </w:tcPr>
          <w:p w14:paraId="540513BA">
            <w:pPr>
              <w:spacing w:line="500" w:lineRule="exact"/>
              <w:jc w:val="center"/>
              <w:rPr>
                <w:rFonts w:hint="eastAsia" w:ascii="仿宋" w:hAnsi="仿宋" w:eastAsia="仿宋"/>
                <w:bCs/>
                <w:sz w:val="28"/>
                <w:szCs w:val="28"/>
              </w:rPr>
            </w:pPr>
            <w:r>
              <w:rPr>
                <w:rFonts w:hint="eastAsia" w:ascii="仿宋" w:hAnsi="仿宋" w:eastAsia="仿宋"/>
                <w:bCs/>
                <w:sz w:val="28"/>
                <w:szCs w:val="28"/>
              </w:rPr>
              <w:t>1</w:t>
            </w:r>
          </w:p>
        </w:tc>
        <w:tc>
          <w:tcPr>
            <w:tcW w:w="958" w:type="pct"/>
            <w:vAlign w:val="center"/>
          </w:tcPr>
          <w:p w14:paraId="61D2BB62">
            <w:pPr>
              <w:spacing w:line="500" w:lineRule="exact"/>
              <w:jc w:val="center"/>
              <w:rPr>
                <w:rFonts w:hint="eastAsia" w:ascii="仿宋" w:hAnsi="仿宋" w:eastAsia="仿宋"/>
                <w:bCs/>
                <w:sz w:val="28"/>
                <w:szCs w:val="28"/>
              </w:rPr>
            </w:pPr>
            <w:bookmarkStart w:id="8" w:name="OLE_LINK5"/>
            <w:bookmarkStart w:id="9" w:name="OLE_LINK6"/>
            <w:r>
              <w:rPr>
                <w:rFonts w:hint="eastAsia" w:ascii="仿宋" w:hAnsi="仿宋" w:eastAsia="仿宋"/>
                <w:bCs/>
                <w:sz w:val="28"/>
                <w:szCs w:val="28"/>
              </w:rPr>
              <w:t>二级</w:t>
            </w:r>
            <w:bookmarkEnd w:id="8"/>
            <w:bookmarkEnd w:id="9"/>
          </w:p>
        </w:tc>
      </w:tr>
      <w:tr w14:paraId="6507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72FDECF4">
            <w:pPr>
              <w:spacing w:line="500" w:lineRule="exact"/>
              <w:jc w:val="center"/>
              <w:rPr>
                <w:rFonts w:hint="eastAsia" w:ascii="仿宋" w:hAnsi="仿宋" w:eastAsia="仿宋"/>
                <w:bCs/>
                <w:sz w:val="28"/>
                <w:szCs w:val="28"/>
              </w:rPr>
            </w:pPr>
            <w:r>
              <w:rPr>
                <w:rFonts w:hint="eastAsia" w:ascii="仿宋" w:hAnsi="仿宋" w:eastAsia="仿宋"/>
                <w:bCs/>
                <w:sz w:val="28"/>
                <w:szCs w:val="28"/>
              </w:rPr>
              <w:t>2</w:t>
            </w:r>
          </w:p>
        </w:tc>
        <w:tc>
          <w:tcPr>
            <w:tcW w:w="2800" w:type="pct"/>
            <w:vAlign w:val="center"/>
          </w:tcPr>
          <w:p w14:paraId="12782EBA">
            <w:pPr>
              <w:spacing w:line="500" w:lineRule="exact"/>
              <w:jc w:val="center"/>
              <w:rPr>
                <w:rFonts w:hint="eastAsia" w:ascii="仿宋" w:hAnsi="仿宋" w:eastAsia="仿宋"/>
                <w:bCs/>
                <w:sz w:val="28"/>
                <w:szCs w:val="28"/>
              </w:rPr>
            </w:pPr>
            <w:r>
              <w:rPr>
                <w:rFonts w:hint="eastAsia" w:ascii="仿宋" w:hAnsi="仿宋" w:eastAsia="仿宋"/>
                <w:bCs/>
                <w:sz w:val="28"/>
                <w:szCs w:val="28"/>
              </w:rPr>
              <w:t>南通市重点运输企业安全生产协同执法（服务）平台</w:t>
            </w:r>
          </w:p>
        </w:tc>
        <w:tc>
          <w:tcPr>
            <w:tcW w:w="627" w:type="pct"/>
            <w:vAlign w:val="center"/>
          </w:tcPr>
          <w:p w14:paraId="27A54035">
            <w:pPr>
              <w:spacing w:line="500" w:lineRule="exact"/>
              <w:jc w:val="center"/>
              <w:rPr>
                <w:rFonts w:hint="eastAsia" w:ascii="仿宋" w:hAnsi="仿宋" w:eastAsia="仿宋"/>
                <w:bCs/>
                <w:sz w:val="28"/>
                <w:szCs w:val="28"/>
              </w:rPr>
            </w:pPr>
            <w:r>
              <w:rPr>
                <w:rFonts w:hint="eastAsia" w:ascii="仿宋" w:hAnsi="仿宋" w:eastAsia="仿宋"/>
                <w:bCs/>
                <w:sz w:val="28"/>
                <w:szCs w:val="28"/>
              </w:rPr>
              <w:t>1</w:t>
            </w:r>
          </w:p>
        </w:tc>
        <w:tc>
          <w:tcPr>
            <w:tcW w:w="958" w:type="pct"/>
            <w:vAlign w:val="center"/>
          </w:tcPr>
          <w:p w14:paraId="099CF24C">
            <w:pPr>
              <w:spacing w:line="500" w:lineRule="exact"/>
              <w:jc w:val="center"/>
              <w:rPr>
                <w:rFonts w:hint="eastAsia" w:ascii="仿宋" w:hAnsi="仿宋" w:eastAsia="仿宋"/>
                <w:bCs/>
                <w:sz w:val="28"/>
                <w:szCs w:val="28"/>
              </w:rPr>
            </w:pPr>
            <w:r>
              <w:rPr>
                <w:rFonts w:hint="eastAsia" w:ascii="仿宋" w:hAnsi="仿宋" w:eastAsia="仿宋"/>
                <w:bCs/>
                <w:sz w:val="28"/>
                <w:szCs w:val="28"/>
              </w:rPr>
              <w:t>二级</w:t>
            </w:r>
          </w:p>
        </w:tc>
      </w:tr>
      <w:tr w14:paraId="6316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7D3010E8">
            <w:pPr>
              <w:spacing w:line="500" w:lineRule="exact"/>
              <w:jc w:val="center"/>
              <w:rPr>
                <w:rFonts w:hint="eastAsia" w:ascii="仿宋" w:hAnsi="仿宋" w:eastAsia="仿宋"/>
                <w:bCs/>
                <w:sz w:val="28"/>
                <w:szCs w:val="28"/>
              </w:rPr>
            </w:pPr>
            <w:r>
              <w:rPr>
                <w:rFonts w:hint="eastAsia" w:ascii="仿宋" w:hAnsi="仿宋" w:eastAsia="仿宋"/>
                <w:bCs/>
                <w:sz w:val="28"/>
                <w:szCs w:val="28"/>
              </w:rPr>
              <w:t>3</w:t>
            </w:r>
          </w:p>
        </w:tc>
        <w:tc>
          <w:tcPr>
            <w:tcW w:w="2800" w:type="pct"/>
            <w:vAlign w:val="center"/>
          </w:tcPr>
          <w:p w14:paraId="38057FF4">
            <w:pPr>
              <w:spacing w:line="500" w:lineRule="exact"/>
              <w:jc w:val="center"/>
              <w:rPr>
                <w:rFonts w:hint="eastAsia" w:ascii="仿宋" w:hAnsi="仿宋" w:eastAsia="仿宋"/>
                <w:bCs/>
                <w:sz w:val="28"/>
                <w:szCs w:val="28"/>
              </w:rPr>
            </w:pPr>
            <w:r>
              <w:rPr>
                <w:rFonts w:hint="eastAsia" w:ascii="仿宋" w:hAnsi="仿宋" w:eastAsia="仿宋"/>
                <w:bCs/>
                <w:sz w:val="28"/>
                <w:szCs w:val="28"/>
              </w:rPr>
              <w:t>南通市机动车驾驶人培训服务管理平台</w:t>
            </w:r>
          </w:p>
        </w:tc>
        <w:tc>
          <w:tcPr>
            <w:tcW w:w="627" w:type="pct"/>
            <w:vAlign w:val="center"/>
          </w:tcPr>
          <w:p w14:paraId="460A8E3B">
            <w:pPr>
              <w:spacing w:line="500" w:lineRule="exact"/>
              <w:jc w:val="center"/>
              <w:rPr>
                <w:rFonts w:hint="eastAsia" w:ascii="仿宋" w:hAnsi="仿宋" w:eastAsia="仿宋"/>
                <w:bCs/>
                <w:sz w:val="28"/>
                <w:szCs w:val="28"/>
              </w:rPr>
            </w:pPr>
            <w:r>
              <w:rPr>
                <w:rFonts w:hint="eastAsia" w:ascii="仿宋" w:hAnsi="仿宋" w:eastAsia="仿宋"/>
                <w:bCs/>
                <w:sz w:val="28"/>
                <w:szCs w:val="28"/>
              </w:rPr>
              <w:t>1</w:t>
            </w:r>
          </w:p>
        </w:tc>
        <w:tc>
          <w:tcPr>
            <w:tcW w:w="958" w:type="pct"/>
            <w:vAlign w:val="center"/>
          </w:tcPr>
          <w:p w14:paraId="1DFF3811">
            <w:pPr>
              <w:spacing w:line="500" w:lineRule="exact"/>
              <w:jc w:val="center"/>
              <w:rPr>
                <w:rFonts w:hint="eastAsia" w:ascii="仿宋" w:hAnsi="仿宋" w:eastAsia="仿宋"/>
                <w:bCs/>
                <w:sz w:val="28"/>
                <w:szCs w:val="28"/>
              </w:rPr>
            </w:pPr>
            <w:r>
              <w:rPr>
                <w:rFonts w:hint="eastAsia" w:ascii="仿宋" w:hAnsi="仿宋" w:eastAsia="仿宋"/>
                <w:bCs/>
                <w:sz w:val="28"/>
                <w:szCs w:val="28"/>
              </w:rPr>
              <w:t>二级</w:t>
            </w:r>
          </w:p>
        </w:tc>
      </w:tr>
      <w:tr w14:paraId="27D9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74463907">
            <w:pPr>
              <w:spacing w:line="500" w:lineRule="exact"/>
              <w:jc w:val="center"/>
              <w:rPr>
                <w:rFonts w:hint="eastAsia" w:ascii="仿宋" w:hAnsi="仿宋" w:eastAsia="仿宋"/>
                <w:bCs/>
                <w:sz w:val="28"/>
                <w:szCs w:val="28"/>
              </w:rPr>
            </w:pPr>
            <w:r>
              <w:rPr>
                <w:rFonts w:hint="eastAsia" w:ascii="仿宋" w:hAnsi="仿宋" w:eastAsia="仿宋"/>
                <w:bCs/>
                <w:sz w:val="28"/>
                <w:szCs w:val="28"/>
              </w:rPr>
              <w:t>4</w:t>
            </w:r>
          </w:p>
        </w:tc>
        <w:tc>
          <w:tcPr>
            <w:tcW w:w="2800" w:type="pct"/>
            <w:vAlign w:val="center"/>
          </w:tcPr>
          <w:p w14:paraId="4506B6CE">
            <w:pPr>
              <w:spacing w:line="500" w:lineRule="exact"/>
              <w:jc w:val="center"/>
              <w:rPr>
                <w:rFonts w:hint="eastAsia" w:ascii="仿宋" w:hAnsi="仿宋" w:eastAsia="仿宋"/>
                <w:bCs/>
                <w:sz w:val="28"/>
                <w:szCs w:val="28"/>
              </w:rPr>
            </w:pPr>
            <w:r>
              <w:rPr>
                <w:rFonts w:hint="eastAsia" w:ascii="仿宋" w:hAnsi="仿宋" w:eastAsia="仿宋"/>
                <w:bCs/>
                <w:sz w:val="28"/>
                <w:szCs w:val="28"/>
              </w:rPr>
              <w:t>南通市交通运输“云执法”平台</w:t>
            </w:r>
          </w:p>
        </w:tc>
        <w:tc>
          <w:tcPr>
            <w:tcW w:w="627" w:type="pct"/>
            <w:vAlign w:val="center"/>
          </w:tcPr>
          <w:p w14:paraId="2D9FE104">
            <w:pPr>
              <w:spacing w:line="500" w:lineRule="exact"/>
              <w:jc w:val="center"/>
              <w:rPr>
                <w:rFonts w:hint="eastAsia" w:ascii="仿宋" w:hAnsi="仿宋" w:eastAsia="仿宋"/>
                <w:bCs/>
                <w:sz w:val="28"/>
                <w:szCs w:val="28"/>
              </w:rPr>
            </w:pPr>
            <w:r>
              <w:rPr>
                <w:rFonts w:hint="eastAsia" w:ascii="仿宋" w:hAnsi="仿宋" w:eastAsia="仿宋"/>
                <w:bCs/>
                <w:sz w:val="28"/>
                <w:szCs w:val="28"/>
              </w:rPr>
              <w:t>1</w:t>
            </w:r>
          </w:p>
        </w:tc>
        <w:tc>
          <w:tcPr>
            <w:tcW w:w="958" w:type="pct"/>
            <w:vAlign w:val="center"/>
          </w:tcPr>
          <w:p w14:paraId="69882AAC">
            <w:pPr>
              <w:spacing w:line="500" w:lineRule="exact"/>
              <w:jc w:val="center"/>
              <w:rPr>
                <w:rFonts w:hint="eastAsia" w:ascii="仿宋" w:hAnsi="仿宋" w:eastAsia="仿宋"/>
                <w:bCs/>
                <w:sz w:val="28"/>
                <w:szCs w:val="28"/>
              </w:rPr>
            </w:pPr>
            <w:r>
              <w:rPr>
                <w:rFonts w:hint="eastAsia" w:ascii="仿宋" w:hAnsi="仿宋" w:eastAsia="仿宋"/>
                <w:bCs/>
                <w:sz w:val="28"/>
                <w:szCs w:val="28"/>
              </w:rPr>
              <w:t>二级</w:t>
            </w:r>
          </w:p>
        </w:tc>
      </w:tr>
    </w:tbl>
    <w:p w14:paraId="6DBDD0F5">
      <w:pPr>
        <w:keepNext/>
        <w:keepLines/>
        <w:spacing w:line="500" w:lineRule="exact"/>
        <w:outlineLvl w:val="1"/>
        <w:rPr>
          <w:rFonts w:hint="eastAsia" w:ascii="仿宋" w:hAnsi="仿宋" w:eastAsia="仿宋"/>
          <w:b/>
          <w:bCs/>
          <w:sz w:val="28"/>
          <w:szCs w:val="28"/>
        </w:rPr>
      </w:pPr>
      <w:r>
        <w:rPr>
          <w:rFonts w:hint="eastAsia" w:ascii="仿宋" w:hAnsi="仿宋" w:eastAsia="仿宋"/>
          <w:b/>
          <w:bCs/>
          <w:sz w:val="28"/>
          <w:szCs w:val="28"/>
        </w:rPr>
        <w:t>二、测评单位要求</w:t>
      </w:r>
    </w:p>
    <w:p w14:paraId="260645DC">
      <w:pPr>
        <w:spacing w:line="500" w:lineRule="exact"/>
        <w:ind w:firstLine="560" w:firstLineChars="200"/>
        <w:rPr>
          <w:rFonts w:hint="eastAsia" w:ascii="仿宋" w:hAnsi="仿宋" w:eastAsia="仿宋" w:cs="仿宋"/>
          <w:bCs/>
          <w:sz w:val="28"/>
          <w:szCs w:val="28"/>
        </w:rPr>
      </w:pPr>
      <w:r>
        <w:rPr>
          <w:rFonts w:hint="eastAsia" w:ascii="仿宋" w:hAnsi="仿宋" w:eastAsia="仿宋" w:cs="宋体"/>
          <w:bCs/>
          <w:color w:val="000000"/>
          <w:kern w:val="0"/>
          <w:sz w:val="28"/>
          <w:szCs w:val="28"/>
        </w:rPr>
        <w:t>供应商需具有公安部第三研究所颁发的网络安全服务认证证书等级保护测评服务认证或网络安全等级测评与检测评估机构服务认证证书</w:t>
      </w:r>
      <w:r>
        <w:rPr>
          <w:rFonts w:hint="eastAsia" w:ascii="仿宋" w:hAnsi="仿宋" w:eastAsia="仿宋" w:cs="仿宋"/>
          <w:bCs/>
          <w:sz w:val="28"/>
          <w:szCs w:val="28"/>
        </w:rPr>
        <w:t>。</w:t>
      </w:r>
    </w:p>
    <w:p w14:paraId="59B2D054">
      <w:pPr>
        <w:keepNext/>
        <w:keepLines/>
        <w:spacing w:line="500" w:lineRule="exact"/>
        <w:outlineLvl w:val="1"/>
        <w:rPr>
          <w:rFonts w:hint="eastAsia" w:ascii="仿宋" w:hAnsi="仿宋" w:eastAsia="仿宋"/>
          <w:b/>
          <w:bCs/>
          <w:sz w:val="28"/>
          <w:szCs w:val="28"/>
        </w:rPr>
      </w:pPr>
      <w:r>
        <w:rPr>
          <w:rFonts w:hint="eastAsia" w:ascii="仿宋" w:hAnsi="仿宋" w:eastAsia="仿宋"/>
          <w:b/>
          <w:bCs/>
          <w:sz w:val="28"/>
          <w:szCs w:val="28"/>
        </w:rPr>
        <w:t>三、测评内容</w:t>
      </w:r>
    </w:p>
    <w:p w14:paraId="3BEF045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1、总体要求：</w:t>
      </w:r>
    </w:p>
    <w:p w14:paraId="5B85CDE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A．完成上述系统安全等级测评工作，测评后经用户方确认，出具符合</w:t>
      </w:r>
      <w:r>
        <w:rPr>
          <w:rFonts w:hint="eastAsia" w:ascii="仿宋" w:hAnsi="仿宋" w:eastAsia="仿宋"/>
          <w:b/>
          <w:bCs/>
          <w:sz w:val="28"/>
          <w:szCs w:val="28"/>
        </w:rPr>
        <w:t>网络安全等级保护</w:t>
      </w:r>
      <w:r>
        <w:rPr>
          <w:rFonts w:hint="eastAsia" w:ascii="仿宋" w:hAnsi="仿宋" w:eastAsia="仿宋" w:cs="仿宋"/>
          <w:sz w:val="28"/>
          <w:szCs w:val="28"/>
        </w:rPr>
        <w:t>测评要求的测评报告；</w:t>
      </w:r>
    </w:p>
    <w:p w14:paraId="3737EF8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B．对上述系统不符合</w:t>
      </w:r>
      <w:r>
        <w:rPr>
          <w:rFonts w:hint="eastAsia" w:ascii="仿宋" w:hAnsi="仿宋" w:eastAsia="仿宋"/>
          <w:b/>
          <w:bCs/>
          <w:sz w:val="28"/>
          <w:szCs w:val="28"/>
        </w:rPr>
        <w:t>网络安全等级保护</w:t>
      </w:r>
      <w:r>
        <w:rPr>
          <w:rFonts w:hint="eastAsia" w:ascii="仿宋" w:hAnsi="仿宋" w:eastAsia="仿宋" w:cs="仿宋"/>
          <w:sz w:val="28"/>
          <w:szCs w:val="28"/>
        </w:rPr>
        <w:t>有关管理规范和技术标准的，提出可行性整改方案，提供相应的安全整改建议书。</w:t>
      </w:r>
    </w:p>
    <w:p w14:paraId="77ECF01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2、质量要求：</w:t>
      </w:r>
    </w:p>
    <w:p w14:paraId="57C4CC8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A．等级测评及服务原则：符合性原则、标准性原则、规范性原则、可控性原则、整体性原则。</w:t>
      </w:r>
    </w:p>
    <w:p w14:paraId="33E7F74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b/>
          <w:bCs/>
          <w:sz w:val="28"/>
          <w:szCs w:val="28"/>
        </w:rPr>
        <w:t>网络安全等级保护</w:t>
      </w:r>
      <w:r>
        <w:rPr>
          <w:rFonts w:hint="eastAsia" w:ascii="仿宋" w:hAnsi="仿宋" w:eastAsia="仿宋" w:cs="仿宋"/>
          <w:sz w:val="28"/>
          <w:szCs w:val="28"/>
        </w:rPr>
        <w:t>定级及测评服务依据：</w:t>
      </w:r>
    </w:p>
    <w:p w14:paraId="6506C951">
      <w:pPr>
        <w:spacing w:line="500" w:lineRule="exact"/>
        <w:ind w:firstLine="560" w:firstLineChars="200"/>
        <w:rPr>
          <w:rFonts w:hint="eastAsia"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中华人民共和国网络安全法</w:t>
      </w:r>
      <w:r>
        <w:rPr>
          <w:rFonts w:ascii="仿宋" w:hAnsi="仿宋" w:eastAsia="仿宋" w:cs="仿宋"/>
          <w:sz w:val="28"/>
          <w:szCs w:val="28"/>
        </w:rPr>
        <w:t>》</w:t>
      </w:r>
    </w:p>
    <w:p w14:paraId="506616CB">
      <w:pPr>
        <w:spacing w:line="500" w:lineRule="exact"/>
        <w:ind w:firstLine="562" w:firstLineChars="200"/>
        <w:rPr>
          <w:rFonts w:hint="eastAsia" w:ascii="仿宋" w:hAnsi="仿宋" w:eastAsia="仿宋"/>
          <w:sz w:val="28"/>
          <w:szCs w:val="28"/>
        </w:rPr>
      </w:pPr>
      <w:r>
        <w:rPr>
          <w:rFonts w:hint="eastAsia" w:ascii="仿宋" w:hAnsi="仿宋" w:eastAsia="仿宋"/>
          <w:b/>
          <w:bCs/>
          <w:sz w:val="28"/>
          <w:szCs w:val="28"/>
        </w:rPr>
        <w:t>《GB/T22239-2019信息安全技术 网络安全等级保护基本要求》，</w:t>
      </w:r>
    </w:p>
    <w:p w14:paraId="778558F0">
      <w:pPr>
        <w:spacing w:line="500" w:lineRule="exact"/>
        <w:ind w:firstLine="562" w:firstLineChars="200"/>
        <w:rPr>
          <w:rFonts w:hint="eastAsia" w:ascii="仿宋" w:hAnsi="仿宋" w:eastAsia="仿宋"/>
          <w:sz w:val="28"/>
          <w:szCs w:val="28"/>
        </w:rPr>
      </w:pPr>
      <w:r>
        <w:rPr>
          <w:rFonts w:hint="eastAsia" w:ascii="仿宋" w:hAnsi="仿宋" w:eastAsia="仿宋"/>
          <w:b/>
          <w:bCs/>
          <w:sz w:val="28"/>
          <w:szCs w:val="28"/>
        </w:rPr>
        <w:t>《GB/T28448-2019 信息安全技术 网络安全等级保护测评要求》，</w:t>
      </w:r>
    </w:p>
    <w:p w14:paraId="51B1DE4E">
      <w:pPr>
        <w:spacing w:line="500" w:lineRule="exact"/>
        <w:ind w:firstLine="562" w:firstLineChars="200"/>
        <w:rPr>
          <w:rFonts w:hint="eastAsia" w:ascii="仿宋" w:hAnsi="仿宋" w:eastAsia="仿宋"/>
          <w:sz w:val="28"/>
          <w:szCs w:val="28"/>
        </w:rPr>
      </w:pPr>
      <w:r>
        <w:rPr>
          <w:rFonts w:hint="eastAsia" w:ascii="仿宋" w:hAnsi="仿宋" w:eastAsia="仿宋"/>
          <w:b/>
          <w:bCs/>
          <w:sz w:val="28"/>
          <w:szCs w:val="28"/>
        </w:rPr>
        <w:t>《GB/T 28449-2018 信息安全技术 网络安全等级保护测评过程指南》，</w:t>
      </w:r>
    </w:p>
    <w:p w14:paraId="2FAA3E90">
      <w:pPr>
        <w:spacing w:line="500" w:lineRule="exact"/>
        <w:ind w:firstLine="562" w:firstLineChars="200"/>
        <w:rPr>
          <w:rFonts w:hint="eastAsia" w:ascii="仿宋" w:hAnsi="仿宋" w:eastAsia="仿宋"/>
          <w:sz w:val="28"/>
          <w:szCs w:val="28"/>
        </w:rPr>
      </w:pPr>
      <w:r>
        <w:rPr>
          <w:rFonts w:hint="eastAsia" w:ascii="仿宋" w:hAnsi="仿宋" w:eastAsia="仿宋"/>
          <w:b/>
          <w:bCs/>
          <w:sz w:val="28"/>
          <w:szCs w:val="28"/>
        </w:rPr>
        <w:t>《GB/T 25058-2019 信息安全技术 网络安全等级保护实施指南》。</w:t>
      </w:r>
    </w:p>
    <w:p w14:paraId="312EE73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3、网络安全等级保护测评内容：</w:t>
      </w:r>
    </w:p>
    <w:p w14:paraId="6F68043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A．安全技术测评：包括安全物理环境、安全区域边界、安全通信网络、安全计算环境和安全管理中心五个方面的安全测评；</w:t>
      </w:r>
    </w:p>
    <w:p w14:paraId="04767B6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B．安全管理测评：安全管理机构、安全管理制度、安全管理人员、安全建设管理和安全运维管理五个方面的安全控制测评</w:t>
      </w:r>
    </w:p>
    <w:p w14:paraId="5069454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4、提供整改咨询服务，根据所测系统的最终测评报告，对系统现状提出安全整改建议并协助整改工作，以期达到整改目的。</w:t>
      </w:r>
    </w:p>
    <w:p w14:paraId="7193C8B3">
      <w:pPr>
        <w:keepNext/>
        <w:keepLines/>
        <w:spacing w:line="500" w:lineRule="exact"/>
        <w:outlineLvl w:val="1"/>
        <w:rPr>
          <w:rFonts w:hint="eastAsia" w:ascii="仿宋" w:hAnsi="仿宋" w:eastAsia="仿宋"/>
          <w:b/>
          <w:bCs/>
          <w:sz w:val="28"/>
          <w:szCs w:val="28"/>
        </w:rPr>
      </w:pPr>
      <w:r>
        <w:rPr>
          <w:rFonts w:hint="eastAsia" w:ascii="仿宋" w:hAnsi="仿宋" w:eastAsia="仿宋"/>
          <w:b/>
          <w:bCs/>
          <w:sz w:val="28"/>
          <w:szCs w:val="28"/>
        </w:rPr>
        <w:t>四、测评原则</w:t>
      </w:r>
    </w:p>
    <w:p w14:paraId="4D876A4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1、客观性和公正性原则：</w:t>
      </w:r>
    </w:p>
    <w:p w14:paraId="5F05B56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测评人员应当没有偏见，在最小主观判断情形下，按照评估双方相互认可的评估方案，基于明确定义的测评方式和解释，实施评估活动。</w:t>
      </w:r>
    </w:p>
    <w:p w14:paraId="790D41C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2、可重复性和可再现性原则：</w:t>
      </w:r>
    </w:p>
    <w:p w14:paraId="0CA157D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24B2D5C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3、连续性原则：</w:t>
      </w:r>
    </w:p>
    <w:p w14:paraId="7BBF050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6A300AE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4、扩展性原则：</w:t>
      </w:r>
    </w:p>
    <w:p w14:paraId="501EE60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在评估过程结束后，信息安全测评过程要保持扩展性，从扩展的属性上进一步加强测评结束后采购方的安全管理有效性和可用性。</w:t>
      </w:r>
    </w:p>
    <w:p w14:paraId="4C6C926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5、保密原则：</w:t>
      </w:r>
    </w:p>
    <w:p w14:paraId="7C3897A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在测评过程中，需严格遵循保密原则，双方签订保密协议，对服务过程中涉及到的任何用户信息未经允许不向其他任何第三方泄漏，以及不得利用这些信息损害采购方利益。</w:t>
      </w:r>
    </w:p>
    <w:p w14:paraId="221E207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6、互动原则：</w:t>
      </w:r>
    </w:p>
    <w:p w14:paraId="78D0E79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在整个测评过程中，强调采购方的互动参与，每个阶段都能够及时根据采购方的要求和实际情况对测评的内容、方式做出相关调整，进而更好的进行风险评估工作。</w:t>
      </w:r>
    </w:p>
    <w:p w14:paraId="0152AFE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7、最小影响原则：</w:t>
      </w:r>
    </w:p>
    <w:p w14:paraId="5C33158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测评工作应该尽可能小地影响系统和网络的正常运行，不能对业务的正常运行产生明显的影响（包括系统性能明显下降、网络阻塞、服务中断等），如无法避免，则应做出说明。</w:t>
      </w:r>
    </w:p>
    <w:p w14:paraId="2ECE738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8、规范性原则：</w:t>
      </w:r>
    </w:p>
    <w:p w14:paraId="4132D4E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网络安全等级保护测评服务的实施必须由专业的测评服务人员依照规范的操作流程进行，对操作过程和结果要有相应的记录，并提供完整的服务报告。</w:t>
      </w:r>
    </w:p>
    <w:p w14:paraId="561EEAC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9、质量保障原则：</w:t>
      </w:r>
    </w:p>
    <w:p w14:paraId="7B22937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在整个测评过程中，须特别重视项目质量管理。项目的实施将严格按照项目实施方案和流程进行，并由项目协调小组从中监督，控制项目的进度和质量。</w:t>
      </w:r>
    </w:p>
    <w:p w14:paraId="7880F427">
      <w:pPr>
        <w:keepNext/>
        <w:keepLines/>
        <w:spacing w:line="500" w:lineRule="exact"/>
        <w:outlineLvl w:val="1"/>
        <w:rPr>
          <w:rFonts w:hint="eastAsia" w:ascii="仿宋" w:hAnsi="仿宋" w:eastAsia="仿宋"/>
          <w:b/>
          <w:bCs/>
          <w:sz w:val="28"/>
          <w:szCs w:val="28"/>
        </w:rPr>
      </w:pPr>
      <w:r>
        <w:rPr>
          <w:rFonts w:hint="eastAsia" w:ascii="仿宋" w:hAnsi="仿宋" w:eastAsia="仿宋"/>
          <w:b/>
          <w:bCs/>
          <w:sz w:val="28"/>
          <w:szCs w:val="28"/>
        </w:rPr>
        <w:t>五、测评人员和时限要求</w:t>
      </w:r>
    </w:p>
    <w:p w14:paraId="062382F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1B640EE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2、测评时间要求：按照被测单位要求，合同签订完毕一周内启动测评工作。</w:t>
      </w:r>
    </w:p>
    <w:p w14:paraId="689B9CB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3、测评期限要求：</w:t>
      </w:r>
      <w:bookmarkStart w:id="10" w:name="_Hlk207006679"/>
      <w:r>
        <w:rPr>
          <w:rFonts w:hint="eastAsia" w:ascii="仿宋" w:hAnsi="仿宋" w:eastAsia="仿宋" w:cs="仿宋"/>
          <w:sz w:val="28"/>
          <w:szCs w:val="28"/>
        </w:rPr>
        <w:t>签订合同后60天内完成网络安全等级保护测评并出具盖章报告。</w:t>
      </w:r>
      <w:bookmarkEnd w:id="10"/>
    </w:p>
    <w:p w14:paraId="34D7DD31">
      <w:pPr>
        <w:keepNext/>
        <w:keepLines/>
        <w:spacing w:line="500" w:lineRule="exact"/>
        <w:outlineLvl w:val="1"/>
        <w:rPr>
          <w:rFonts w:hint="eastAsia" w:ascii="仿宋" w:hAnsi="仿宋" w:eastAsia="仿宋"/>
          <w:b/>
          <w:bCs/>
          <w:sz w:val="28"/>
          <w:szCs w:val="28"/>
        </w:rPr>
      </w:pPr>
      <w:r>
        <w:rPr>
          <w:rFonts w:hint="eastAsia" w:ascii="仿宋" w:hAnsi="仿宋" w:eastAsia="仿宋"/>
          <w:b/>
          <w:bCs/>
          <w:sz w:val="28"/>
          <w:szCs w:val="28"/>
        </w:rPr>
        <w:t>六、服务地点</w:t>
      </w:r>
    </w:p>
    <w:p w14:paraId="584D69EE">
      <w:pPr>
        <w:spacing w:line="500" w:lineRule="exact"/>
        <w:ind w:firstLine="560" w:firstLineChars="200"/>
        <w:rPr>
          <w:rFonts w:hint="eastAsia" w:ascii="仿宋" w:hAnsi="仿宋" w:eastAsia="仿宋"/>
          <w:sz w:val="28"/>
          <w:szCs w:val="28"/>
        </w:rPr>
      </w:pPr>
      <w:r>
        <w:rPr>
          <w:rFonts w:hint="eastAsia" w:ascii="仿宋" w:hAnsi="仿宋" w:eastAsia="仿宋" w:cs="宋体"/>
          <w:bCs/>
          <w:kern w:val="0"/>
          <w:sz w:val="28"/>
          <w:szCs w:val="28"/>
        </w:rPr>
        <w:t>采购方</w:t>
      </w:r>
      <w:r>
        <w:rPr>
          <w:rFonts w:hint="eastAsia" w:ascii="仿宋" w:hAnsi="仿宋" w:eastAsia="仿宋"/>
          <w:kern w:val="0"/>
          <w:sz w:val="28"/>
          <w:szCs w:val="28"/>
        </w:rPr>
        <w:t>指定地点。</w:t>
      </w:r>
    </w:p>
    <w:p w14:paraId="2CE5B417">
      <w:pPr>
        <w:keepNext/>
        <w:keepLines/>
        <w:spacing w:line="500" w:lineRule="exact"/>
        <w:outlineLvl w:val="1"/>
        <w:rPr>
          <w:rFonts w:hint="eastAsia" w:ascii="仿宋" w:hAnsi="仿宋" w:eastAsia="仿宋"/>
          <w:b/>
          <w:bCs/>
          <w:sz w:val="28"/>
          <w:szCs w:val="28"/>
        </w:rPr>
      </w:pPr>
      <w:r>
        <w:rPr>
          <w:rFonts w:hint="eastAsia" w:ascii="仿宋" w:hAnsi="仿宋" w:eastAsia="仿宋"/>
          <w:b/>
          <w:bCs/>
          <w:sz w:val="28"/>
          <w:szCs w:val="28"/>
        </w:rPr>
        <w:t>七、付款时间和条件</w:t>
      </w:r>
    </w:p>
    <w:bookmarkEnd w:id="7"/>
    <w:p w14:paraId="033AAE07">
      <w:pPr>
        <w:snapToGrid w:val="0"/>
        <w:spacing w:line="500" w:lineRule="exact"/>
        <w:ind w:firstLine="560" w:firstLineChars="200"/>
        <w:rPr>
          <w:rFonts w:hint="eastAsia" w:ascii="仿宋" w:hAnsi="仿宋" w:eastAsia="仿宋"/>
          <w:color w:val="FF0000"/>
          <w:sz w:val="28"/>
          <w:szCs w:val="28"/>
        </w:rPr>
      </w:pPr>
      <w:r>
        <w:rPr>
          <w:rFonts w:hint="eastAsia" w:ascii="仿宋" w:hAnsi="仿宋" w:eastAsia="仿宋"/>
          <w:color w:val="FF0000"/>
          <w:sz w:val="28"/>
          <w:szCs w:val="28"/>
        </w:rPr>
        <w:t>7、</w:t>
      </w:r>
      <w:bookmarkStart w:id="11" w:name="OLE_LINK4"/>
      <w:bookmarkStart w:id="12" w:name="OLE_LINK7"/>
      <w:r>
        <w:rPr>
          <w:rFonts w:hint="eastAsia" w:ascii="仿宋" w:hAnsi="仿宋" w:eastAsia="仿宋"/>
          <w:color w:val="FF0000"/>
          <w:sz w:val="28"/>
          <w:szCs w:val="28"/>
        </w:rPr>
        <w:t>付款方式：提交测评报告后，采购人一次性支付合同金额。款项由采购人按相关财务支付规定办理支付手续。不得故意拖延支付时间。</w:t>
      </w:r>
    </w:p>
    <w:bookmarkEnd w:id="11"/>
    <w:bookmarkEnd w:id="12"/>
    <w:p w14:paraId="7D32E395">
      <w:pPr>
        <w:snapToGrid w:val="0"/>
        <w:spacing w:line="50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rPr>
        <w:t>本《项目需求》是合同的重要组成部分，如成交供应商在响应文件中的承诺等条件优于本《项目需求》，则按成交供应商的响应文件执行。</w:t>
      </w:r>
    </w:p>
    <w:p w14:paraId="69685B6D">
      <w:pPr>
        <w:widowControl/>
        <w:jc w:val="left"/>
        <w:rPr>
          <w:rFonts w:hint="eastAsia" w:ascii="仿宋" w:hAnsi="仿宋" w:eastAsia="仿宋" w:cs="方正仿宋_GBK"/>
          <w:bCs/>
          <w:snapToGrid w:val="0"/>
          <w:color w:val="000000" w:themeColor="text1"/>
          <w:sz w:val="28"/>
          <w:szCs w:val="28"/>
          <w14:textFill>
            <w14:solidFill>
              <w14:schemeClr w14:val="tx1"/>
            </w14:solidFill>
          </w14:textFill>
        </w:rPr>
      </w:pPr>
    </w:p>
    <w:p w14:paraId="2C5A9E30">
      <w:pPr>
        <w:widowControl/>
        <w:jc w:val="left"/>
        <w:rPr>
          <w:rFonts w:hint="eastAsia" w:ascii="仿宋" w:hAnsi="仿宋" w:eastAsia="仿宋" w:cs="方正仿宋_GBK"/>
          <w:bCs/>
          <w:snapToGrid w:val="0"/>
          <w:color w:val="000000" w:themeColor="text1"/>
          <w:sz w:val="28"/>
          <w:szCs w:val="28"/>
          <w14:textFill>
            <w14:solidFill>
              <w14:schemeClr w14:val="tx1"/>
            </w14:solidFill>
          </w14:textFill>
        </w:rPr>
        <w:sectPr>
          <w:pgSz w:w="11905" w:h="16838"/>
          <w:pgMar w:top="1361" w:right="1304" w:bottom="1361" w:left="1361" w:header="850" w:footer="850" w:gutter="0"/>
          <w:cols w:space="720" w:num="1"/>
        </w:sectPr>
      </w:pPr>
      <w:r>
        <w:rPr>
          <w:rFonts w:hint="eastAsia" w:ascii="仿宋" w:hAnsi="仿宋" w:eastAsia="仿宋" w:cs="方正仿宋_GBK"/>
          <w:bCs/>
          <w:snapToGrid w:val="0"/>
          <w:color w:val="000000" w:themeColor="text1"/>
          <w:sz w:val="28"/>
          <w:szCs w:val="28"/>
          <w14:textFill>
            <w14:solidFill>
              <w14:schemeClr w14:val="tx1"/>
            </w14:solidFill>
          </w14:textFill>
        </w:rPr>
        <w:t xml:space="preserve">  </w:t>
      </w:r>
    </w:p>
    <w:p w14:paraId="0FDB4D60">
      <w:pPr>
        <w:snapToGrid w:val="0"/>
        <w:spacing w:line="360" w:lineRule="auto"/>
        <w:jc w:val="center"/>
        <w:outlineLvl w:val="0"/>
        <w:rPr>
          <w:rFonts w:hint="eastAsia"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第四部分  开标和评标</w:t>
      </w:r>
      <w:bookmarkEnd w:id="6"/>
    </w:p>
    <w:p w14:paraId="6B341ABD">
      <w:pPr>
        <w:tabs>
          <w:tab w:val="left" w:pos="3585"/>
        </w:tabs>
        <w:snapToGrid w:val="0"/>
        <w:spacing w:line="460" w:lineRule="exact"/>
        <w:ind w:firstLine="540" w:firstLineChars="192"/>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一、</w:t>
      </w:r>
      <w:r>
        <w:rPr>
          <w:rFonts w:hint="eastAsia" w:ascii="仿宋" w:hAnsi="仿宋" w:eastAsia="仿宋" w:cs="方正仿宋_GBK"/>
          <w:b/>
          <w:color w:val="000000" w:themeColor="text1"/>
          <w:sz w:val="28"/>
          <w:szCs w:val="28"/>
          <w14:textFill>
            <w14:solidFill>
              <w14:schemeClr w14:val="tx1"/>
            </w14:solidFill>
          </w14:textFill>
        </w:rPr>
        <w:t>采购人组织开标。</w:t>
      </w:r>
    </w:p>
    <w:p w14:paraId="48F2ADB6">
      <w:pPr>
        <w:tabs>
          <w:tab w:val="left" w:pos="3585"/>
        </w:tabs>
        <w:snapToGrid w:val="0"/>
        <w:spacing w:line="460" w:lineRule="exact"/>
        <w:ind w:firstLine="537" w:firstLineChars="192"/>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比选人的法定代表人或授权人须持有效身份证参加开标会。</w:t>
      </w:r>
    </w:p>
    <w:p w14:paraId="20FEEC12">
      <w:pPr>
        <w:snapToGrid w:val="0"/>
        <w:spacing w:line="460" w:lineRule="exact"/>
        <w:ind w:firstLine="570"/>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w:t>
      </w:r>
      <w:r>
        <w:rPr>
          <w:rFonts w:hint="eastAsia" w:ascii="仿宋" w:hAnsi="仿宋" w:eastAsia="仿宋" w:cs="方正仿宋_GBK"/>
          <w:b/>
          <w:color w:val="000000" w:themeColor="text1"/>
          <w:sz w:val="28"/>
          <w:szCs w:val="28"/>
          <w14:textFill>
            <w14:solidFill>
              <w14:schemeClr w14:val="tx1"/>
            </w14:solidFill>
          </w14:textFill>
        </w:rPr>
        <w:t>评委会由</w:t>
      </w:r>
      <w:r>
        <w:rPr>
          <w:rFonts w:hint="eastAsia" w:ascii="仿宋" w:hAnsi="仿宋" w:eastAsia="仿宋" w:cs="方正仿宋_GBK"/>
          <w:b/>
          <w:bCs/>
          <w:color w:val="000000" w:themeColor="text1"/>
          <w:sz w:val="28"/>
          <w:szCs w:val="28"/>
          <w14:textFill>
            <w14:solidFill>
              <w14:schemeClr w14:val="tx1"/>
            </w14:solidFill>
          </w14:textFill>
        </w:rPr>
        <w:t>有关专家和</w:t>
      </w:r>
      <w:r>
        <w:rPr>
          <w:rFonts w:hint="eastAsia" w:ascii="仿宋" w:hAnsi="仿宋" w:eastAsia="仿宋" w:cs="方正仿宋_GBK"/>
          <w:b/>
          <w:color w:val="000000" w:themeColor="text1"/>
          <w:sz w:val="28"/>
          <w:szCs w:val="28"/>
          <w14:textFill>
            <w14:solidFill>
              <w14:schemeClr w14:val="tx1"/>
            </w14:solidFill>
          </w14:textFill>
        </w:rPr>
        <w:t>采购人代表</w:t>
      </w:r>
      <w:r>
        <w:rPr>
          <w:rFonts w:hint="eastAsia" w:ascii="仿宋" w:hAnsi="仿宋" w:eastAsia="仿宋" w:cs="方正仿宋_GBK"/>
          <w:b/>
          <w:bCs/>
          <w:color w:val="000000" w:themeColor="text1"/>
          <w:sz w:val="28"/>
          <w:szCs w:val="28"/>
          <w14:textFill>
            <w14:solidFill>
              <w14:schemeClr w14:val="tx1"/>
            </w14:solidFill>
          </w14:textFill>
        </w:rPr>
        <w:t>组成</w:t>
      </w:r>
      <w:r>
        <w:rPr>
          <w:rFonts w:hint="eastAsia" w:ascii="仿宋" w:hAnsi="仿宋" w:eastAsia="仿宋" w:cs="方正仿宋_GBK"/>
          <w:color w:val="000000" w:themeColor="text1"/>
          <w:sz w:val="28"/>
          <w:szCs w:val="28"/>
          <w14:textFill>
            <w14:solidFill>
              <w14:schemeClr w14:val="tx1"/>
            </w14:solidFill>
          </w14:textFill>
        </w:rPr>
        <w:t>，按照</w:t>
      </w:r>
      <w:r>
        <w:rPr>
          <w:rFonts w:hint="eastAsia" w:ascii="仿宋" w:hAnsi="仿宋" w:eastAsia="仿宋" w:cs="方正仿宋_GBK"/>
          <w:bCs/>
          <w:color w:val="000000" w:themeColor="text1"/>
          <w:sz w:val="28"/>
          <w:szCs w:val="28"/>
          <w14:textFill>
            <w14:solidFill>
              <w14:schemeClr w14:val="tx1"/>
            </w14:solidFill>
          </w14:textFill>
        </w:rPr>
        <w:t>公平、公正、择优的原则进行</w:t>
      </w:r>
      <w:r>
        <w:rPr>
          <w:rFonts w:hint="eastAsia" w:ascii="仿宋" w:hAnsi="仿宋" w:eastAsia="仿宋" w:cs="方正仿宋_GBK"/>
          <w:color w:val="000000" w:themeColor="text1"/>
          <w:sz w:val="28"/>
          <w:szCs w:val="28"/>
          <w14:textFill>
            <w14:solidFill>
              <w14:schemeClr w14:val="tx1"/>
            </w14:solidFill>
          </w14:textFill>
        </w:rPr>
        <w:t>独立</w:t>
      </w:r>
      <w:r>
        <w:rPr>
          <w:rFonts w:hint="eastAsia" w:ascii="仿宋" w:hAnsi="仿宋" w:eastAsia="仿宋" w:cs="方正仿宋_GBK"/>
          <w:bCs/>
          <w:color w:val="000000" w:themeColor="text1"/>
          <w:sz w:val="28"/>
          <w:szCs w:val="28"/>
          <w14:textFill>
            <w14:solidFill>
              <w14:schemeClr w14:val="tx1"/>
            </w14:solidFill>
          </w14:textFill>
        </w:rPr>
        <w:t>评标。</w:t>
      </w:r>
    </w:p>
    <w:p w14:paraId="6EB336EB">
      <w:pPr>
        <w:tabs>
          <w:tab w:val="left" w:pos="3585"/>
        </w:tabs>
        <w:snapToGrid w:val="0"/>
        <w:spacing w:line="460" w:lineRule="exact"/>
        <w:ind w:firstLine="537" w:firstLineChars="192"/>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由采购人代表对比选人资格性、符合性审查，对未通过审查的供应商，应现场告知原因。评委会对合格供应商的比选文件进行评审。</w:t>
      </w:r>
    </w:p>
    <w:p w14:paraId="6C4EC10A">
      <w:pPr>
        <w:snapToGrid w:val="0"/>
        <w:spacing w:line="460" w:lineRule="exact"/>
        <w:ind w:firstLine="562"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（一）评审内容</w:t>
      </w:r>
    </w:p>
    <w:p w14:paraId="24509D9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1.比选资格是否符合</w:t>
      </w:r>
    </w:p>
    <w:p w14:paraId="43BA4E32">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2.比选文件是否完整；</w:t>
      </w:r>
    </w:p>
    <w:p w14:paraId="5D56B1AC">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3.比选文件是否恰当地签署；</w:t>
      </w:r>
    </w:p>
    <w:p w14:paraId="61EB07B2">
      <w:pPr>
        <w:snapToGrid w:val="0"/>
        <w:spacing w:line="460" w:lineRule="exact"/>
        <w:ind w:firstLine="54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4.是否作出实质性响应（</w:t>
      </w:r>
      <w:r>
        <w:rPr>
          <w:rFonts w:hint="eastAsia" w:ascii="仿宋" w:hAnsi="仿宋" w:eastAsia="仿宋" w:cs="方正仿宋_GBK"/>
          <w:b/>
          <w:color w:val="000000" w:themeColor="text1"/>
          <w:sz w:val="28"/>
          <w:szCs w:val="28"/>
          <w14:textFill>
            <w14:solidFill>
              <w14:schemeClr w14:val="tx1"/>
            </w14:solidFill>
          </w14:textFill>
        </w:rPr>
        <w:t>是否有实质性响应，只根据比选文件本身，而不寻求外部证据）；</w:t>
      </w:r>
    </w:p>
    <w:p w14:paraId="10932D4E">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5.是否有计算错误。</w:t>
      </w:r>
    </w:p>
    <w:p w14:paraId="793DC38D">
      <w:pPr>
        <w:snapToGrid w:val="0"/>
        <w:spacing w:line="460" w:lineRule="exact"/>
        <w:ind w:firstLine="562" w:firstLineChars="200"/>
        <w:rPr>
          <w:rFonts w:hint="eastAsia"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（二）相应的规定</w:t>
      </w:r>
    </w:p>
    <w:p w14:paraId="5183FD9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w:t>
      </w:r>
      <w:r>
        <w:rPr>
          <w:rFonts w:hint="eastAsia" w:ascii="仿宋" w:hAnsi="仿宋" w:eastAsia="仿宋" w:cs="方正仿宋_GBK"/>
          <w:color w:val="000000" w:themeColor="text1"/>
          <w:sz w:val="28"/>
          <w:szCs w:val="28"/>
          <w14:textFill>
            <w14:solidFill>
              <w14:schemeClr w14:val="tx1"/>
            </w14:solidFill>
          </w14:textFill>
        </w:rPr>
        <w:t>如果单价汇总金额与总价金额有出入，以单价金额计算结果为准；</w:t>
      </w:r>
    </w:p>
    <w:p w14:paraId="4FA4965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2.单价金额小数点有明显错位的，应以总价为准；</w:t>
      </w:r>
    </w:p>
    <w:p w14:paraId="78289DE9">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3.正本与副本有矛盾的，以正本为准；</w:t>
      </w:r>
    </w:p>
    <w:p w14:paraId="493EDBB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4.若文件大写表示的数据与数字表示的有差别，以大写表示的数据为准。</w:t>
      </w:r>
    </w:p>
    <w:p w14:paraId="0B80073A">
      <w:pPr>
        <w:tabs>
          <w:tab w:val="left" w:pos="3585"/>
        </w:tabs>
        <w:snapToGrid w:val="0"/>
        <w:spacing w:line="460" w:lineRule="exact"/>
        <w:ind w:firstLine="562" w:firstLineChars="200"/>
        <w:rPr>
          <w:rFonts w:hint="eastAsia"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三、</w:t>
      </w:r>
      <w:r>
        <w:rPr>
          <w:rFonts w:hint="eastAsia" w:ascii="仿宋" w:hAnsi="仿宋" w:eastAsia="仿宋" w:cs="方正仿宋_GBK"/>
          <w:b/>
          <w:color w:val="000000" w:themeColor="text1"/>
          <w:sz w:val="28"/>
          <w:szCs w:val="28"/>
          <w14:textFill>
            <w14:solidFill>
              <w14:schemeClr w14:val="tx1"/>
            </w14:solidFill>
          </w14:textFill>
        </w:rPr>
        <w:t>陈述、演示、</w:t>
      </w:r>
      <w:r>
        <w:rPr>
          <w:rFonts w:hint="eastAsia" w:ascii="仿宋" w:hAnsi="仿宋" w:eastAsia="仿宋" w:cs="方正仿宋_GBK"/>
          <w:b/>
          <w:bCs/>
          <w:color w:val="000000" w:themeColor="text1"/>
          <w:sz w:val="28"/>
          <w:szCs w:val="28"/>
          <w14:textFill>
            <w14:solidFill>
              <w14:schemeClr w14:val="tx1"/>
            </w14:solidFill>
          </w14:textFill>
        </w:rPr>
        <w:t>答疑、澄清</w:t>
      </w:r>
    </w:p>
    <w:p w14:paraId="49A1E654">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shd w:val="clear" w:color="auto" w:fill="FFFFFF"/>
          <w14:textFill>
            <w14:solidFill>
              <w14:schemeClr w14:val="tx1"/>
            </w14:solidFill>
          </w14:textFill>
        </w:rPr>
        <w:t>如评委会认为有必要，比选人按评委会的要求作陈述、演示、</w:t>
      </w:r>
      <w:r>
        <w:rPr>
          <w:rFonts w:hint="eastAsia" w:ascii="仿宋" w:hAnsi="仿宋" w:eastAsia="仿宋" w:cs="方正仿宋_GBK"/>
          <w:color w:val="000000" w:themeColor="text1"/>
          <w:sz w:val="28"/>
          <w:szCs w:val="28"/>
          <w14:textFill>
            <w14:solidFill>
              <w14:schemeClr w14:val="tx1"/>
            </w14:solidFill>
          </w14:textFill>
        </w:rPr>
        <w:t>答疑及澄清其比选内容。时间由评委会掌握。</w:t>
      </w:r>
    </w:p>
    <w:p w14:paraId="630E0F70">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重要澄清答复应是书面的，但不得对比选内容进行实质性修改。</w:t>
      </w:r>
    </w:p>
    <w:p w14:paraId="2D731D3F">
      <w:pPr>
        <w:tabs>
          <w:tab w:val="left" w:pos="6555"/>
          <w:tab w:val="right" w:pos="8306"/>
        </w:tabs>
        <w:snapToGrid w:val="0"/>
        <w:spacing w:line="460" w:lineRule="exact"/>
        <w:ind w:firstLine="562"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四、出现下列情形之一的，作无效比选处理;</w:t>
      </w:r>
    </w:p>
    <w:p w14:paraId="3435C065">
      <w:pPr>
        <w:tabs>
          <w:tab w:val="left" w:pos="6555"/>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1.未按照采购文件规定要求签署、盖章的；</w:t>
      </w:r>
    </w:p>
    <w:p w14:paraId="0D22B99D">
      <w:pPr>
        <w:tabs>
          <w:tab w:val="left" w:pos="6555"/>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2.不具备采购文件中规定的资格要求的；</w:t>
      </w:r>
    </w:p>
    <w:p w14:paraId="08376420">
      <w:pPr>
        <w:tabs>
          <w:tab w:val="left" w:pos="6555"/>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3.报价超过采购文件中规定的预算金额或者最高限价的；</w:t>
      </w:r>
    </w:p>
    <w:p w14:paraId="5008D9EB">
      <w:pPr>
        <w:tabs>
          <w:tab w:val="left" w:pos="6555"/>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4.比选文件含有采购人不能接受的附加条件的；</w:t>
      </w:r>
    </w:p>
    <w:p w14:paraId="7E9CF258">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5.不符合采购文件中规定的其他实质性要求的。</w:t>
      </w:r>
    </w:p>
    <w:p w14:paraId="660A2256">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五、出现下列情形之一的，作废标处理</w:t>
      </w:r>
    </w:p>
    <w:p w14:paraId="2DD42D90">
      <w:pPr>
        <w:snapToGrid w:val="0"/>
        <w:spacing w:line="460" w:lineRule="exact"/>
        <w:ind w:firstLine="560"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1.符合条件的供应商或者对比选文件作实质响应的供应商不足3家的；</w:t>
      </w:r>
    </w:p>
    <w:p w14:paraId="3FE4AB81">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w:t>
      </w:r>
      <w:r>
        <w:rPr>
          <w:rFonts w:hint="eastAsia" w:ascii="仿宋" w:hAnsi="仿宋" w:eastAsia="仿宋" w:cs="方正仿宋_GBK"/>
          <w:b/>
          <w:color w:val="000000" w:themeColor="text1"/>
          <w:sz w:val="28"/>
          <w:szCs w:val="28"/>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出现影响采购公正的违法违规行为的；</w:t>
      </w:r>
    </w:p>
    <w:p w14:paraId="42944490">
      <w:pPr>
        <w:snapToGrid w:val="0"/>
        <w:spacing w:line="460" w:lineRule="exact"/>
        <w:ind w:firstLine="555"/>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3.比选人的报价均超过了采购预算，采购人不能支付的；</w:t>
      </w:r>
    </w:p>
    <w:p w14:paraId="4D1713D7">
      <w:pPr>
        <w:snapToGrid w:val="0"/>
        <w:spacing w:line="460" w:lineRule="exact"/>
        <w:ind w:firstLine="555"/>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4.因重大变故，采购任务取消的。</w:t>
      </w:r>
    </w:p>
    <w:p w14:paraId="0960FC8B">
      <w:pPr>
        <w:snapToGrid w:val="0"/>
        <w:spacing w:line="460" w:lineRule="exact"/>
        <w:ind w:firstLine="555"/>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上述均保留评委会认定可以确定为无效比选或废标的其他情况。</w:t>
      </w:r>
    </w:p>
    <w:p w14:paraId="68C52760">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w:t>
      </w:r>
      <w:r>
        <w:rPr>
          <w:rFonts w:hint="eastAsia" w:ascii="仿宋" w:hAnsi="仿宋" w:eastAsia="仿宋" w:cs="方正仿宋_GBK"/>
          <w:bCs/>
          <w:color w:val="000000" w:themeColor="text1"/>
          <w:sz w:val="28"/>
          <w:szCs w:val="28"/>
          <w14:textFill>
            <w14:solidFill>
              <w14:schemeClr w14:val="tx1"/>
            </w14:solidFill>
          </w14:textFill>
        </w:rPr>
        <w:t>采用综合评分法。分资格审查、价格标、商务技术标三部分评审，总分值为100分，加分和减分因素除外。</w:t>
      </w:r>
    </w:p>
    <w:p w14:paraId="6E8487A2">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评委在认真审阅比选文件的基础上，根据各比选文件的商务、技术部分的响应情况，对各评分项目进行评分，不得统一打分。</w:t>
      </w:r>
    </w:p>
    <w:p w14:paraId="6D54320F">
      <w:pPr>
        <w:snapToGrid w:val="0"/>
        <w:spacing w:line="460" w:lineRule="exact"/>
        <w:ind w:left="568"/>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（一）比选人资格性、符合性审查</w:t>
      </w:r>
    </w:p>
    <w:p w14:paraId="52114BFB">
      <w:pPr>
        <w:pStyle w:val="19"/>
        <w:snapToGrid w:val="0"/>
        <w:spacing w:line="460" w:lineRule="exact"/>
        <w:ind w:firstLine="577"/>
        <w:rPr>
          <w:rFonts w:hint="eastAsia" w:ascii="仿宋" w:hAnsi="仿宋" w:eastAsia="仿宋" w:cs="方正仿宋_GBK"/>
          <w:color w:val="000000" w:themeColor="text1"/>
          <w:sz w:val="28"/>
          <w14:textFill>
            <w14:solidFill>
              <w14:schemeClr w14:val="tx1"/>
            </w14:solidFill>
          </w14:textFill>
        </w:rPr>
      </w:pPr>
      <w:r>
        <w:rPr>
          <w:rFonts w:hint="eastAsia" w:ascii="仿宋" w:hAnsi="仿宋" w:eastAsia="仿宋" w:cs="方正仿宋_GBK"/>
          <w:color w:val="000000" w:themeColor="text1"/>
          <w:sz w:val="28"/>
          <w14:textFill>
            <w14:solidFill>
              <w14:schemeClr w14:val="tx1"/>
            </w14:solidFill>
          </w14:textFill>
        </w:rPr>
        <w:t>比选人资格性、符合性不合格的，其比选文件判定为无效比选文件。合格的，评委对其比选文件继续评审。</w:t>
      </w:r>
    </w:p>
    <w:p w14:paraId="7C9CB0A0">
      <w:pPr>
        <w:kinsoku w:val="0"/>
        <w:overflowPunct w:val="0"/>
        <w:autoSpaceDE w:val="0"/>
        <w:autoSpaceDN w:val="0"/>
        <w:adjustRightInd w:val="0"/>
        <w:snapToGrid w:val="0"/>
        <w:spacing w:line="460" w:lineRule="exact"/>
        <w:ind w:left="567"/>
        <w:jc w:val="left"/>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lang w:val="zh-CN"/>
          <w14:textFill>
            <w14:solidFill>
              <w14:schemeClr w14:val="tx1"/>
            </w14:solidFill>
          </w14:textFill>
        </w:rPr>
        <w:t xml:space="preserve"> (二)</w:t>
      </w:r>
      <w:r>
        <w:rPr>
          <w:rFonts w:hint="eastAsia" w:ascii="仿宋" w:hAnsi="仿宋" w:eastAsia="仿宋" w:cs="方正仿宋_GBK"/>
          <w:b/>
          <w:color w:val="000000" w:themeColor="text1"/>
          <w:sz w:val="28"/>
          <w:szCs w:val="28"/>
          <w14:textFill>
            <w14:solidFill>
              <w14:schemeClr w14:val="tx1"/>
            </w14:solidFill>
          </w14:textFill>
        </w:rPr>
        <w:t>评分标准与权重</w:t>
      </w:r>
    </w:p>
    <w:p w14:paraId="2230DF2A">
      <w:pPr>
        <w:kinsoku w:val="0"/>
        <w:overflowPunct w:val="0"/>
        <w:autoSpaceDE w:val="0"/>
        <w:autoSpaceDN w:val="0"/>
        <w:adjustRightInd w:val="0"/>
        <w:snapToGrid w:val="0"/>
        <w:spacing w:line="460" w:lineRule="exact"/>
        <w:ind w:firstLine="840" w:firstLineChars="3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kern w:val="0"/>
          <w:sz w:val="28"/>
          <w:szCs w:val="28"/>
          <w14:textFill>
            <w14:solidFill>
              <w14:schemeClr w14:val="tx1"/>
            </w14:solidFill>
          </w14:textFill>
        </w:rPr>
        <w:t>采用综合评分法，根据评分从高到低排序确定成交供应商，评分标准如下：</w:t>
      </w:r>
    </w:p>
    <w:p w14:paraId="47EE1D9B">
      <w:pPr>
        <w:pStyle w:val="8"/>
        <w:numPr>
          <w:ilvl w:val="0"/>
          <w:numId w:val="1"/>
        </w:numPr>
        <w:spacing w:line="460" w:lineRule="exact"/>
        <w:ind w:firstLineChars="0"/>
        <w:rPr>
          <w:rFonts w:hint="eastAsia" w:ascii="仿宋" w:hAnsi="仿宋" w:eastAsia="仿宋" w:cs="方正仿宋_GBK"/>
          <w:color w:val="000000" w:themeColor="text1"/>
          <w:szCs w:val="28"/>
          <w14:textFill>
            <w14:solidFill>
              <w14:schemeClr w14:val="tx1"/>
            </w14:solidFill>
          </w14:textFill>
        </w:rPr>
      </w:pPr>
      <w:r>
        <w:rPr>
          <w:rFonts w:hint="eastAsia" w:ascii="仿宋" w:hAnsi="仿宋" w:eastAsia="仿宋" w:cs="方正仿宋_GBK"/>
          <w:color w:val="000000" w:themeColor="text1"/>
          <w:szCs w:val="28"/>
          <w14:textFill>
            <w14:solidFill>
              <w14:schemeClr w14:val="tx1"/>
            </w14:solidFill>
          </w14:textFill>
        </w:rPr>
        <w:t>商务技术标(80分)</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56"/>
        <w:gridCol w:w="7480"/>
      </w:tblGrid>
      <w:tr w14:paraId="79DF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noWrap/>
            <w:vAlign w:val="center"/>
          </w:tcPr>
          <w:p w14:paraId="09A34C9C">
            <w:pPr>
              <w:snapToGrid w:val="0"/>
              <w:spacing w:line="360" w:lineRule="auto"/>
              <w:jc w:val="center"/>
              <w:rPr>
                <w:rFonts w:hint="eastAsia" w:ascii="仿宋" w:hAnsi="仿宋" w:eastAsia="仿宋" w:cs="仿宋_GB2312"/>
                <w:b/>
                <w:bCs/>
                <w:sz w:val="24"/>
              </w:rPr>
            </w:pPr>
            <w:r>
              <w:rPr>
                <w:rFonts w:hint="eastAsia" w:ascii="仿宋" w:hAnsi="仿宋" w:eastAsia="仿宋" w:cs="仿宋_GB2312"/>
                <w:b/>
                <w:bCs/>
                <w:sz w:val="24"/>
              </w:rPr>
              <w:t>序号</w:t>
            </w:r>
          </w:p>
        </w:tc>
        <w:tc>
          <w:tcPr>
            <w:tcW w:w="664" w:type="pct"/>
            <w:noWrap/>
            <w:vAlign w:val="center"/>
          </w:tcPr>
          <w:p w14:paraId="58BEB0AC">
            <w:pPr>
              <w:snapToGrid w:val="0"/>
              <w:spacing w:line="360" w:lineRule="auto"/>
              <w:rPr>
                <w:rFonts w:hint="eastAsia" w:ascii="仿宋" w:hAnsi="仿宋" w:eastAsia="仿宋" w:cs="仿宋_GB2312"/>
                <w:b/>
                <w:bCs/>
                <w:sz w:val="24"/>
              </w:rPr>
            </w:pPr>
            <w:r>
              <w:rPr>
                <w:rFonts w:hint="eastAsia" w:ascii="仿宋" w:hAnsi="仿宋" w:eastAsia="仿宋" w:cs="仿宋_GB2312"/>
                <w:b/>
                <w:bCs/>
                <w:sz w:val="24"/>
              </w:rPr>
              <w:t>评分因素</w:t>
            </w:r>
          </w:p>
        </w:tc>
        <w:tc>
          <w:tcPr>
            <w:tcW w:w="3954" w:type="pct"/>
            <w:noWrap/>
            <w:vAlign w:val="center"/>
          </w:tcPr>
          <w:p w14:paraId="268C9293">
            <w:pPr>
              <w:snapToGrid w:val="0"/>
              <w:spacing w:line="360" w:lineRule="auto"/>
              <w:jc w:val="center"/>
              <w:rPr>
                <w:rFonts w:hint="eastAsia" w:ascii="仿宋" w:hAnsi="仿宋" w:eastAsia="仿宋" w:cs="仿宋_GB2312"/>
                <w:b/>
                <w:bCs/>
                <w:sz w:val="24"/>
              </w:rPr>
            </w:pPr>
            <w:r>
              <w:rPr>
                <w:rFonts w:hint="eastAsia" w:ascii="仿宋" w:hAnsi="仿宋" w:eastAsia="仿宋" w:cs="仿宋_GB2312"/>
                <w:b/>
                <w:bCs/>
                <w:sz w:val="24"/>
              </w:rPr>
              <w:t>评分标准</w:t>
            </w:r>
          </w:p>
        </w:tc>
      </w:tr>
      <w:tr w14:paraId="02A5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noWrap/>
            <w:vAlign w:val="center"/>
          </w:tcPr>
          <w:p w14:paraId="19EC8DC4">
            <w:pPr>
              <w:snapToGrid w:val="0"/>
              <w:spacing w:line="360" w:lineRule="auto"/>
              <w:jc w:val="left"/>
              <w:rPr>
                <w:rFonts w:hint="eastAsia" w:ascii="仿宋" w:hAnsi="仿宋" w:eastAsia="仿宋" w:cs="仿宋_GB2312"/>
                <w:bCs/>
                <w:sz w:val="24"/>
              </w:rPr>
            </w:pPr>
            <w:r>
              <w:rPr>
                <w:rFonts w:hint="eastAsia" w:ascii="仿宋" w:hAnsi="仿宋" w:eastAsia="仿宋" w:cs="仿宋_GB2312"/>
                <w:bCs/>
                <w:sz w:val="24"/>
              </w:rPr>
              <w:t>1</w:t>
            </w:r>
          </w:p>
        </w:tc>
        <w:tc>
          <w:tcPr>
            <w:tcW w:w="664" w:type="pct"/>
            <w:noWrap/>
            <w:vAlign w:val="center"/>
          </w:tcPr>
          <w:p w14:paraId="23074B62">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企业资质</w:t>
            </w:r>
          </w:p>
          <w:p w14:paraId="69E3A466">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（12分）</w:t>
            </w:r>
          </w:p>
        </w:tc>
        <w:tc>
          <w:tcPr>
            <w:tcW w:w="3954" w:type="pct"/>
            <w:noWrap/>
            <w:vAlign w:val="center"/>
          </w:tcPr>
          <w:p w14:paraId="5D26C6ED">
            <w:pPr>
              <w:spacing w:line="360" w:lineRule="auto"/>
              <w:rPr>
                <w:rFonts w:hint="eastAsia" w:ascii="仿宋" w:hAnsi="仿宋" w:eastAsia="仿宋" w:cs="仿宋_GB2312"/>
                <w:bCs/>
                <w:sz w:val="24"/>
              </w:rPr>
            </w:pPr>
            <w:r>
              <w:rPr>
                <w:rFonts w:hint="eastAsia" w:ascii="仿宋" w:hAnsi="仿宋" w:eastAsia="仿宋" w:cs="仿宋_GB2312"/>
                <w:bCs/>
                <w:sz w:val="24"/>
              </w:rPr>
              <w:t>1、具有ISO27001信息安全管理体系认证证书的得3分。</w:t>
            </w:r>
          </w:p>
          <w:p w14:paraId="33AA6530">
            <w:pPr>
              <w:spacing w:line="360" w:lineRule="auto"/>
              <w:rPr>
                <w:rFonts w:hint="eastAsia" w:ascii="仿宋" w:hAnsi="仿宋" w:eastAsia="仿宋" w:cs="仿宋_GB2312"/>
                <w:bCs/>
                <w:sz w:val="24"/>
              </w:rPr>
            </w:pPr>
            <w:r>
              <w:rPr>
                <w:rFonts w:hint="eastAsia" w:ascii="仿宋" w:hAnsi="仿宋" w:eastAsia="仿宋" w:cs="仿宋_GB2312"/>
                <w:bCs/>
                <w:sz w:val="24"/>
              </w:rPr>
              <w:t>2、具有I</w:t>
            </w:r>
            <w:r>
              <w:rPr>
                <w:rFonts w:ascii="仿宋" w:hAnsi="仿宋" w:eastAsia="仿宋" w:cs="仿宋_GB2312"/>
                <w:bCs/>
                <w:sz w:val="24"/>
              </w:rPr>
              <w:t>SO</w:t>
            </w:r>
            <w:r>
              <w:rPr>
                <w:rFonts w:hint="eastAsia" w:ascii="仿宋" w:hAnsi="仿宋" w:eastAsia="仿宋" w:cs="仿宋_GB2312"/>
                <w:bCs/>
                <w:sz w:val="24"/>
              </w:rPr>
              <w:t>/IEC20000-1信息技术服务管理体系认证证书的得3分。</w:t>
            </w:r>
          </w:p>
          <w:p w14:paraId="2AF8BC47">
            <w:pPr>
              <w:spacing w:line="360" w:lineRule="auto"/>
              <w:rPr>
                <w:rFonts w:hint="eastAsia" w:ascii="仿宋" w:hAnsi="仿宋" w:eastAsia="仿宋"/>
              </w:rPr>
            </w:pPr>
            <w:r>
              <w:rPr>
                <w:rFonts w:hint="eastAsia" w:ascii="仿宋" w:hAnsi="仿宋" w:eastAsia="仿宋" w:cs="仿宋_GB2312"/>
                <w:bCs/>
                <w:sz w:val="24"/>
              </w:rPr>
              <w:t>3、具有ISO9001质量管理体系认证证书的得3。</w:t>
            </w:r>
          </w:p>
          <w:p w14:paraId="235BC178">
            <w:pPr>
              <w:spacing w:line="360" w:lineRule="auto"/>
              <w:rPr>
                <w:rFonts w:hint="eastAsia" w:ascii="仿宋" w:hAnsi="仿宋" w:eastAsia="仿宋"/>
              </w:rPr>
            </w:pPr>
            <w:r>
              <w:rPr>
                <w:rFonts w:hint="eastAsia" w:ascii="仿宋" w:hAnsi="仿宋" w:eastAsia="仿宋" w:cs="仿宋_GB2312"/>
                <w:bCs/>
                <w:sz w:val="24"/>
              </w:rPr>
              <w:t>4、近五年内未因违规行为受到国家网络安全等级保护工作协调小组办公室或江苏省网络安全等级保护协调小组办公室的处罚得3分，其余不得分。（提供无违规处罚信息承诺函并加盖公章，没有不得分）。</w:t>
            </w:r>
          </w:p>
          <w:p w14:paraId="1219CBA0">
            <w:pPr>
              <w:spacing w:line="360" w:lineRule="auto"/>
              <w:rPr>
                <w:rFonts w:hint="eastAsia" w:ascii="仿宋" w:hAnsi="仿宋" w:eastAsia="仿宋" w:cs="仿宋_GB2312"/>
                <w:bCs/>
                <w:sz w:val="24"/>
              </w:rPr>
            </w:pPr>
            <w:r>
              <w:rPr>
                <w:rFonts w:hint="eastAsia" w:ascii="仿宋" w:hAnsi="仿宋" w:eastAsia="仿宋" w:cs="仿宋_GB2312"/>
                <w:bCs/>
                <w:sz w:val="24"/>
              </w:rPr>
              <w:t>提供相关证书复印件，不提供的不得分。</w:t>
            </w:r>
          </w:p>
        </w:tc>
      </w:tr>
      <w:tr w14:paraId="1F75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noWrap/>
            <w:vAlign w:val="center"/>
          </w:tcPr>
          <w:p w14:paraId="1D8695AA">
            <w:pPr>
              <w:snapToGrid w:val="0"/>
              <w:spacing w:line="360" w:lineRule="auto"/>
              <w:jc w:val="left"/>
              <w:rPr>
                <w:rFonts w:hint="eastAsia" w:ascii="仿宋" w:hAnsi="仿宋" w:eastAsia="仿宋" w:cs="仿宋_GB2312"/>
                <w:bCs/>
                <w:sz w:val="24"/>
              </w:rPr>
            </w:pPr>
            <w:r>
              <w:rPr>
                <w:rFonts w:hint="eastAsia" w:ascii="仿宋" w:hAnsi="仿宋" w:eastAsia="仿宋" w:cs="仿宋_GB2312"/>
                <w:bCs/>
                <w:sz w:val="24"/>
              </w:rPr>
              <w:t>2</w:t>
            </w:r>
          </w:p>
        </w:tc>
        <w:tc>
          <w:tcPr>
            <w:tcW w:w="664" w:type="pct"/>
            <w:noWrap/>
            <w:vAlign w:val="center"/>
          </w:tcPr>
          <w:p w14:paraId="4F2866BD">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企业能力（14分）</w:t>
            </w:r>
          </w:p>
        </w:tc>
        <w:tc>
          <w:tcPr>
            <w:tcW w:w="3954" w:type="pct"/>
            <w:noWrap/>
            <w:vAlign w:val="center"/>
          </w:tcPr>
          <w:p w14:paraId="5BFA322E">
            <w:pPr>
              <w:spacing w:line="360" w:lineRule="auto"/>
              <w:rPr>
                <w:rFonts w:hint="eastAsia" w:ascii="仿宋" w:hAnsi="仿宋" w:eastAsia="仿宋" w:cs="仿宋_GB2312"/>
                <w:bCs/>
                <w:sz w:val="24"/>
              </w:rPr>
            </w:pPr>
            <w:r>
              <w:rPr>
                <w:rFonts w:hint="eastAsia" w:ascii="仿宋" w:hAnsi="仿宋" w:eastAsia="仿宋" w:cs="仿宋_GB2312"/>
                <w:bCs/>
                <w:sz w:val="24"/>
              </w:rPr>
              <w:t>1、供应商提供自任意一年的CNAS能力验证计划结果通知单，评审专家对所有供应商结果通知单中的总得分按从高到低进行排序，第一名得8分，第二名得4分，其余得1分，不提供不得分。（提供能力验证计划结果通知单复印件并加盖供应商公章）</w:t>
            </w:r>
          </w:p>
          <w:p w14:paraId="28640087">
            <w:pPr>
              <w:spacing w:line="360" w:lineRule="auto"/>
              <w:rPr>
                <w:rFonts w:hint="eastAsia" w:ascii="仿宋" w:hAnsi="仿宋" w:eastAsia="仿宋" w:cs="仿宋_GB2312"/>
                <w:bCs/>
                <w:sz w:val="24"/>
              </w:rPr>
            </w:pPr>
            <w:r>
              <w:rPr>
                <w:rFonts w:hint="eastAsia" w:ascii="仿宋" w:hAnsi="仿宋" w:eastAsia="仿宋" w:cs="仿宋_GB2312"/>
                <w:bCs/>
                <w:sz w:val="24"/>
              </w:rPr>
              <w:t>2、供应商与信息安全等级保护关键技术国家工程实验室或分实验室有合作的得6分；没有不得分。（提供合作协议复印件并加盖供应商公章）。</w:t>
            </w:r>
          </w:p>
        </w:tc>
      </w:tr>
      <w:tr w14:paraId="51B8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noWrap/>
            <w:vAlign w:val="center"/>
          </w:tcPr>
          <w:p w14:paraId="692D9997">
            <w:pPr>
              <w:snapToGrid w:val="0"/>
              <w:spacing w:line="360" w:lineRule="auto"/>
              <w:jc w:val="left"/>
              <w:rPr>
                <w:rFonts w:hint="eastAsia" w:ascii="仿宋" w:hAnsi="仿宋" w:eastAsia="仿宋" w:cs="仿宋_GB2312"/>
                <w:bCs/>
                <w:sz w:val="24"/>
              </w:rPr>
            </w:pPr>
            <w:r>
              <w:rPr>
                <w:rFonts w:hint="eastAsia" w:ascii="仿宋" w:hAnsi="仿宋" w:eastAsia="仿宋" w:cs="仿宋_GB2312"/>
                <w:bCs/>
                <w:sz w:val="24"/>
              </w:rPr>
              <w:t>3</w:t>
            </w:r>
          </w:p>
        </w:tc>
        <w:tc>
          <w:tcPr>
            <w:tcW w:w="664" w:type="pct"/>
            <w:noWrap/>
            <w:vAlign w:val="center"/>
          </w:tcPr>
          <w:p w14:paraId="156A2F3E">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测评案例（6分）</w:t>
            </w:r>
          </w:p>
        </w:tc>
        <w:tc>
          <w:tcPr>
            <w:tcW w:w="3954" w:type="pct"/>
            <w:noWrap/>
            <w:vAlign w:val="center"/>
          </w:tcPr>
          <w:p w14:paraId="25A31AE4">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2022年1月1日至今等保测评案例合同，每个案例得2分，最高得6分。</w:t>
            </w:r>
          </w:p>
          <w:p w14:paraId="7D4B6D99">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提供合同复印件，不提供的不得分。</w:t>
            </w:r>
          </w:p>
        </w:tc>
      </w:tr>
      <w:tr w14:paraId="27D0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noWrap/>
            <w:vAlign w:val="center"/>
          </w:tcPr>
          <w:p w14:paraId="2DFDEB71">
            <w:pPr>
              <w:snapToGrid w:val="0"/>
              <w:spacing w:line="360" w:lineRule="auto"/>
              <w:jc w:val="left"/>
              <w:rPr>
                <w:rFonts w:hint="eastAsia" w:ascii="仿宋" w:hAnsi="仿宋" w:eastAsia="仿宋" w:cs="仿宋_GB2312"/>
                <w:bCs/>
                <w:sz w:val="24"/>
              </w:rPr>
            </w:pPr>
            <w:r>
              <w:rPr>
                <w:rFonts w:hint="eastAsia" w:ascii="仿宋" w:hAnsi="仿宋" w:eastAsia="仿宋" w:cs="仿宋_GB2312"/>
                <w:bCs/>
                <w:sz w:val="24"/>
              </w:rPr>
              <w:t>4</w:t>
            </w:r>
          </w:p>
        </w:tc>
        <w:tc>
          <w:tcPr>
            <w:tcW w:w="664" w:type="pct"/>
            <w:noWrap/>
            <w:vAlign w:val="center"/>
          </w:tcPr>
          <w:p w14:paraId="013E1C48">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技术方案（16分）</w:t>
            </w:r>
          </w:p>
        </w:tc>
        <w:tc>
          <w:tcPr>
            <w:tcW w:w="3954" w:type="pct"/>
            <w:noWrap/>
            <w:vAlign w:val="center"/>
          </w:tcPr>
          <w:p w14:paraId="46CF9B8C">
            <w:pPr>
              <w:snapToGrid w:val="0"/>
              <w:spacing w:line="360" w:lineRule="auto"/>
              <w:rPr>
                <w:rFonts w:hint="eastAsia" w:ascii="仿宋" w:hAnsi="仿宋" w:eastAsia="仿宋"/>
                <w:sz w:val="24"/>
              </w:rPr>
            </w:pPr>
            <w:r>
              <w:rPr>
                <w:rFonts w:hint="eastAsia" w:ascii="仿宋" w:hAnsi="仿宋" w:eastAsia="仿宋"/>
                <w:sz w:val="24"/>
              </w:rPr>
              <w:t>根据采购需求提供服务方案，供应商能够详细描述信息系统现状，服务方案要科学性、合理性、全面性、可行性。</w:t>
            </w:r>
          </w:p>
          <w:p w14:paraId="258F15D7">
            <w:pPr>
              <w:snapToGrid w:val="0"/>
              <w:spacing w:line="360" w:lineRule="auto"/>
              <w:rPr>
                <w:rFonts w:hint="eastAsia" w:ascii="仿宋" w:hAnsi="仿宋" w:eastAsia="仿宋"/>
                <w:sz w:val="24"/>
              </w:rPr>
            </w:pPr>
            <w:r>
              <w:rPr>
                <w:rFonts w:hint="eastAsia" w:ascii="仿宋" w:hAnsi="仿宋" w:eastAsia="仿宋"/>
                <w:sz w:val="24"/>
              </w:rPr>
              <w:t xml:space="preserve">1、方案具体、合理、可行，且高效可靠，得 16分； </w:t>
            </w:r>
          </w:p>
          <w:p w14:paraId="7D459F16">
            <w:pPr>
              <w:snapToGrid w:val="0"/>
              <w:spacing w:line="360" w:lineRule="auto"/>
              <w:rPr>
                <w:rFonts w:hint="eastAsia" w:ascii="仿宋" w:hAnsi="仿宋" w:eastAsia="仿宋"/>
                <w:sz w:val="24"/>
              </w:rPr>
            </w:pPr>
            <w:r>
              <w:rPr>
                <w:rFonts w:hint="eastAsia" w:ascii="仿宋" w:hAnsi="仿宋" w:eastAsia="仿宋"/>
                <w:sz w:val="24"/>
              </w:rPr>
              <w:t xml:space="preserve">2、方案较具体、基本合理、可行，且效率一般，得12分； </w:t>
            </w:r>
          </w:p>
          <w:p w14:paraId="72F501DB">
            <w:pPr>
              <w:snapToGrid w:val="0"/>
              <w:spacing w:line="360" w:lineRule="auto"/>
              <w:rPr>
                <w:rFonts w:hint="eastAsia" w:ascii="仿宋" w:hAnsi="仿宋" w:eastAsia="仿宋"/>
                <w:sz w:val="24"/>
              </w:rPr>
            </w:pPr>
            <w:r>
              <w:rPr>
                <w:rFonts w:hint="eastAsia" w:ascii="仿宋" w:hAnsi="仿宋" w:eastAsia="仿宋"/>
                <w:sz w:val="24"/>
              </w:rPr>
              <w:t>3、方案不具体，效率较差，得8分；</w:t>
            </w:r>
          </w:p>
          <w:p w14:paraId="3C5519EE">
            <w:pPr>
              <w:snapToGrid w:val="0"/>
              <w:spacing w:line="360" w:lineRule="auto"/>
              <w:rPr>
                <w:rFonts w:hint="eastAsia" w:ascii="仿宋" w:hAnsi="仿宋" w:eastAsia="仿宋" w:cs="仿宋_GB2312"/>
                <w:bCs/>
                <w:sz w:val="24"/>
              </w:rPr>
            </w:pPr>
            <w:r>
              <w:rPr>
                <w:rFonts w:hint="eastAsia" w:ascii="仿宋" w:hAnsi="仿宋" w:eastAsia="仿宋"/>
                <w:sz w:val="24"/>
              </w:rPr>
              <w:t>4、没有提供方案，得 0 分。</w:t>
            </w:r>
          </w:p>
        </w:tc>
      </w:tr>
      <w:tr w14:paraId="64C8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noWrap/>
            <w:vAlign w:val="center"/>
          </w:tcPr>
          <w:p w14:paraId="0A451D40">
            <w:pPr>
              <w:snapToGrid w:val="0"/>
              <w:spacing w:line="360" w:lineRule="auto"/>
              <w:jc w:val="left"/>
              <w:rPr>
                <w:rFonts w:hint="eastAsia" w:ascii="仿宋" w:hAnsi="仿宋" w:eastAsia="仿宋" w:cs="仿宋_GB2312"/>
                <w:bCs/>
                <w:sz w:val="24"/>
              </w:rPr>
            </w:pPr>
            <w:r>
              <w:rPr>
                <w:rFonts w:hint="eastAsia" w:ascii="仿宋" w:hAnsi="仿宋" w:eastAsia="仿宋" w:cs="仿宋_GB2312"/>
                <w:bCs/>
                <w:sz w:val="24"/>
              </w:rPr>
              <w:t>5</w:t>
            </w:r>
          </w:p>
        </w:tc>
        <w:tc>
          <w:tcPr>
            <w:tcW w:w="664" w:type="pct"/>
            <w:noWrap/>
            <w:vAlign w:val="center"/>
          </w:tcPr>
          <w:p w14:paraId="187FCEEF">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人员资质</w:t>
            </w:r>
          </w:p>
          <w:p w14:paraId="7A326084">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（28分）</w:t>
            </w:r>
          </w:p>
        </w:tc>
        <w:tc>
          <w:tcPr>
            <w:tcW w:w="3954" w:type="pct"/>
            <w:noWrap/>
            <w:vAlign w:val="center"/>
          </w:tcPr>
          <w:p w14:paraId="79ADA2E8">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承担本次项目的项目团队人员具备：</w:t>
            </w:r>
          </w:p>
          <w:p w14:paraId="154FA155">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1、本项目拟派团队的项目经理为高级测评师得4分，项目经理有CISP认证的得4分，</w:t>
            </w:r>
            <w:r>
              <w:rPr>
                <w:rFonts w:hint="eastAsia" w:ascii="仿宋" w:hAnsi="仿宋" w:eastAsia="仿宋" w:cs="仿宋"/>
                <w:bCs/>
                <w:sz w:val="24"/>
              </w:rPr>
              <w:t>有国家重要信息系统保护人员证书（CIIP-T）的得4分，</w:t>
            </w:r>
            <w:r>
              <w:rPr>
                <w:rFonts w:hint="eastAsia" w:ascii="仿宋" w:hAnsi="仿宋" w:eastAsia="仿宋" w:cs="仿宋_GB2312"/>
                <w:bCs/>
                <w:sz w:val="24"/>
              </w:rPr>
              <w:t>有网络安全技术权威专家（CompTIA Security+）证书的得4分；</w:t>
            </w:r>
          </w:p>
          <w:p w14:paraId="2AED07E2">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2、除项目经理外，本项目拟派项目组成员中持有高级测评师证书的得4分；</w:t>
            </w:r>
          </w:p>
          <w:p w14:paraId="62541FF3">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3、除项目经理外，本项目拟派项目组成员中持有数据安全工程师的，有一个得2分，最高得4分；</w:t>
            </w:r>
          </w:p>
          <w:p w14:paraId="505A859E">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4、除项目经理外、本项目拟派团队中有人具有注册信息安全专业人员证书（CISP）的，有一个得2分，最高得4分。</w:t>
            </w:r>
          </w:p>
          <w:p w14:paraId="3BC4DE28">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 xml:space="preserve">备注： </w:t>
            </w:r>
          </w:p>
          <w:p w14:paraId="0A8B839E">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1、以上人员提供相关证书复印件并加盖供应商公章；不提供的不得分。</w:t>
            </w:r>
          </w:p>
          <w:p w14:paraId="25450B22">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2、项目成员人员须为本单位正式员工，提供近三个月中任意一个月社保部门出具的供应商为其缴纳养老保险缴纳证明材料并加盖单位公章。不提供的不得分。</w:t>
            </w:r>
          </w:p>
        </w:tc>
      </w:tr>
      <w:tr w14:paraId="0D27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 w:type="pct"/>
            <w:noWrap/>
            <w:vAlign w:val="center"/>
          </w:tcPr>
          <w:p w14:paraId="08CBD9A7">
            <w:pPr>
              <w:snapToGrid w:val="0"/>
              <w:spacing w:line="360" w:lineRule="auto"/>
              <w:jc w:val="left"/>
              <w:rPr>
                <w:rFonts w:hint="eastAsia" w:ascii="仿宋" w:hAnsi="仿宋" w:eastAsia="仿宋" w:cs="仿宋_GB2312"/>
                <w:bCs/>
                <w:sz w:val="24"/>
              </w:rPr>
            </w:pPr>
            <w:r>
              <w:rPr>
                <w:rFonts w:hint="eastAsia" w:ascii="仿宋" w:hAnsi="仿宋" w:eastAsia="仿宋" w:cs="仿宋_GB2312"/>
                <w:bCs/>
                <w:sz w:val="24"/>
              </w:rPr>
              <w:t>6</w:t>
            </w:r>
          </w:p>
        </w:tc>
        <w:tc>
          <w:tcPr>
            <w:tcW w:w="664" w:type="pct"/>
            <w:noWrap/>
            <w:vAlign w:val="center"/>
          </w:tcPr>
          <w:p w14:paraId="0F699717">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应急响应能力（4分）</w:t>
            </w:r>
          </w:p>
        </w:tc>
        <w:tc>
          <w:tcPr>
            <w:tcW w:w="3954" w:type="pct"/>
            <w:noWrap/>
            <w:vAlign w:val="center"/>
          </w:tcPr>
          <w:p w14:paraId="60D60267">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供应商具备网络安全事件应急响应服务能力，当发生安全事件时能1小时内到现场响应得4分，2小时内到现场响应得2分，超过2小时到现场响应不得分。提供应急响应承诺函，响应服务时间以投标企业注册地址至采购人地址主流导航显示时间为准。（提供截图并加盖公章）。</w:t>
            </w:r>
          </w:p>
        </w:tc>
      </w:tr>
    </w:tbl>
    <w:p w14:paraId="4C71258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2.价格分：20分</w:t>
      </w:r>
    </w:p>
    <w:p w14:paraId="2BB96092">
      <w:pPr>
        <w:autoSpaceDE w:val="0"/>
        <w:autoSpaceDN w:val="0"/>
        <w:adjustRightInd w:val="0"/>
        <w:snapToGrid w:val="0"/>
        <w:spacing w:line="460" w:lineRule="exact"/>
        <w:ind w:firstLine="562" w:firstLineChars="200"/>
        <w:rPr>
          <w:rFonts w:hint="eastAsia" w:ascii="仿宋" w:hAnsi="仿宋" w:eastAsia="仿宋" w:cs="仿宋"/>
          <w:b/>
          <w:bCs/>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u w:val="single"/>
          <w14:textFill>
            <w14:solidFill>
              <w14:schemeClr w14:val="tx1"/>
            </w14:solidFill>
          </w14:textFill>
        </w:rPr>
        <w:t>注：投标报价为最终报价，即本次招标项目为一次报价。</w:t>
      </w:r>
    </w:p>
    <w:p w14:paraId="01BA8CA5">
      <w:pPr>
        <w:autoSpaceDE w:val="0"/>
        <w:autoSpaceDN w:val="0"/>
        <w:adjustRightInd w:val="0"/>
        <w:snapToGrid w:val="0"/>
        <w:spacing w:line="460" w:lineRule="exact"/>
        <w:ind w:firstLine="56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综合评分法中的价格分统一采用低价优先法计算，即满足比选文件要求且最后报价最低的供应商的价格为比选基准价，其价格分为满分。其他供应商的价格分统一按照下列公式计算：</w:t>
      </w:r>
    </w:p>
    <w:p w14:paraId="6CB253FB">
      <w:pPr>
        <w:autoSpaceDE w:val="0"/>
        <w:autoSpaceDN w:val="0"/>
        <w:adjustRightInd w:val="0"/>
        <w:snapToGrid w:val="0"/>
        <w:spacing w:line="460" w:lineRule="exact"/>
        <w:ind w:firstLine="56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比选报价得分=（比选基准价/比选报价）×价格权值×100</w:t>
      </w:r>
    </w:p>
    <w:p w14:paraId="104CAD50">
      <w:pPr>
        <w:autoSpaceDE w:val="0"/>
        <w:autoSpaceDN w:val="0"/>
        <w:adjustRightInd w:val="0"/>
        <w:snapToGrid w:val="0"/>
        <w:spacing w:line="460" w:lineRule="exact"/>
        <w:ind w:firstLine="56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项目评审过程中，不得去掉最后报价中的最高报价和最低报价。</w:t>
      </w:r>
    </w:p>
    <w:p w14:paraId="68A19A7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14:paraId="1AAFE794">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6953E783">
      <w:pPr>
        <w:snapToGrid w:val="0"/>
        <w:spacing w:line="460" w:lineRule="exact"/>
        <w:ind w:firstLine="557" w:firstLineChars="198"/>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七、推荐中选服务单位</w:t>
      </w:r>
    </w:p>
    <w:p w14:paraId="52E5891F">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14:paraId="4ACA3FC1">
      <w:pPr>
        <w:snapToGrid w:val="0"/>
        <w:spacing w:line="460" w:lineRule="exact"/>
        <w:ind w:firstLine="557" w:firstLineChars="198"/>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八、其他注意事项</w:t>
      </w:r>
    </w:p>
    <w:p w14:paraId="4BFCB29E">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1.在比选、开标时间，比选人不得向评委询问情况，不得进行旨在影响评标结果的活动。</w:t>
      </w:r>
    </w:p>
    <w:p w14:paraId="385D39A1">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2.评委会不得向比选人解释落标原因。</w:t>
      </w:r>
    </w:p>
    <w:p w14:paraId="6B78B458">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3.在比选、评标过程中，如果比选人联合故意抬高报价或出现其他不正当行为，采购人有权中止比选或评标。</w:t>
      </w:r>
    </w:p>
    <w:p w14:paraId="10AB9287">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2120F094">
      <w:pPr>
        <w:snapToGrid w:val="0"/>
        <w:spacing w:line="460" w:lineRule="exact"/>
        <w:ind w:firstLine="562"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九、中标通知</w:t>
      </w:r>
    </w:p>
    <w:p w14:paraId="1E744871">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中标结果在南通市交通运输局网站公示，公告期限为1个工作日。</w:t>
      </w:r>
    </w:p>
    <w:p w14:paraId="5BB52988">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成交供应商应在公告发布之日起三日内领取成交通知书。</w:t>
      </w:r>
    </w:p>
    <w:p w14:paraId="0B4505E5">
      <w:pPr>
        <w:snapToGrid w:val="0"/>
        <w:spacing w:line="300" w:lineRule="auto"/>
        <w:ind w:firstLine="570"/>
        <w:rPr>
          <w:rFonts w:hint="eastAsia" w:ascii="仿宋" w:hAnsi="仿宋" w:eastAsia="仿宋"/>
          <w:color w:val="000000" w:themeColor="text1"/>
          <w:sz w:val="28"/>
          <w:szCs w:val="28"/>
          <w14:textFill>
            <w14:solidFill>
              <w14:schemeClr w14:val="tx1"/>
            </w14:solidFill>
          </w14:textFill>
        </w:rPr>
      </w:pPr>
    </w:p>
    <w:p w14:paraId="7E0E0D30">
      <w:pPr>
        <w:widowControl/>
        <w:jc w:val="left"/>
        <w:rPr>
          <w:rFonts w:hint="eastAsia" w:ascii="仿宋" w:hAnsi="仿宋" w:eastAsia="仿宋" w:cs="宋体"/>
          <w:b/>
          <w:color w:val="000000" w:themeColor="text1"/>
          <w:sz w:val="32"/>
          <w:szCs w:val="32"/>
          <w14:textFill>
            <w14:solidFill>
              <w14:schemeClr w14:val="tx1"/>
            </w14:solidFill>
          </w14:textFill>
        </w:rPr>
      </w:pPr>
      <w:bookmarkStart w:id="13" w:name="_Toc22274"/>
      <w:r>
        <w:rPr>
          <w:rFonts w:hint="eastAsia" w:ascii="仿宋" w:hAnsi="仿宋" w:eastAsia="仿宋" w:cs="宋体"/>
          <w:b/>
          <w:color w:val="000000" w:themeColor="text1"/>
          <w:sz w:val="32"/>
          <w:szCs w:val="32"/>
          <w14:textFill>
            <w14:solidFill>
              <w14:schemeClr w14:val="tx1"/>
            </w14:solidFill>
          </w14:textFill>
        </w:rPr>
        <w:br w:type="page"/>
      </w:r>
    </w:p>
    <w:p w14:paraId="300B93E4">
      <w:pPr>
        <w:widowControl/>
        <w:jc w:val="center"/>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第五部分  合同签订与验收付款</w:t>
      </w:r>
      <w:bookmarkEnd w:id="13"/>
    </w:p>
    <w:p w14:paraId="47355D35">
      <w:pPr>
        <w:pStyle w:val="19"/>
        <w:tabs>
          <w:tab w:val="right" w:leader="dot" w:pos="9214"/>
        </w:tabs>
        <w:snapToGrid w:val="0"/>
        <w:spacing w:line="460" w:lineRule="exact"/>
        <w:ind w:right="443" w:rightChars="211" w:firstLine="560" w:firstLineChars="200"/>
        <w:contextualSpacing/>
        <w:rPr>
          <w:rFonts w:hint="eastAsia" w:ascii="仿宋" w:hAnsi="仿宋" w:eastAsia="仿宋" w:cs="方正仿宋_GBK"/>
          <w:color w:val="000000" w:themeColor="text1"/>
          <w:sz w:val="28"/>
          <w14:textFill>
            <w14:solidFill>
              <w14:schemeClr w14:val="tx1"/>
            </w14:solidFill>
          </w14:textFill>
        </w:rPr>
      </w:pPr>
      <w:bookmarkStart w:id="14" w:name="_Toc297216215"/>
      <w:bookmarkStart w:id="15" w:name="_Toc296346712"/>
      <w:bookmarkStart w:id="16" w:name="_Toc303539163"/>
      <w:bookmarkStart w:id="17" w:name="_Toc296891039"/>
      <w:bookmarkStart w:id="18" w:name="_Toc296347210"/>
      <w:bookmarkStart w:id="19" w:name="_Toc300935006"/>
      <w:bookmarkStart w:id="20" w:name="_Toc267251442"/>
      <w:bookmarkStart w:id="21" w:name="OLE_LINK1"/>
      <w:bookmarkStart w:id="22" w:name="_Toc296503211"/>
      <w:bookmarkStart w:id="23" w:name="OLE_LINK2"/>
      <w:bookmarkStart w:id="24" w:name="_Toc498006744"/>
      <w:bookmarkStart w:id="25" w:name="_Toc297048397"/>
      <w:bookmarkStart w:id="26" w:name="_Toc297123556"/>
      <w:bookmarkStart w:id="27" w:name="_Toc292559416"/>
      <w:bookmarkStart w:id="28" w:name="_Toc297120511"/>
      <w:bookmarkStart w:id="29" w:name="_Toc296944550"/>
      <w:bookmarkStart w:id="30" w:name="_Toc292559921"/>
      <w:bookmarkStart w:id="31" w:name="_Toc296891251"/>
      <w:r>
        <w:rPr>
          <w:rFonts w:hint="eastAsia" w:ascii="仿宋" w:hAnsi="仿宋" w:eastAsia="仿宋" w:cs="方正仿宋_GBK"/>
          <w:color w:val="000000" w:themeColor="text1"/>
          <w:sz w:val="28"/>
          <w14:textFill>
            <w14:solidFill>
              <w14:schemeClr w14:val="tx1"/>
            </w14:solidFill>
          </w14:textFill>
        </w:rPr>
        <w:t>一、成交供应商和采购人在接到《成交通知书》后30日内按照采购文件确定的事项签订采购合同。</w:t>
      </w:r>
      <w:r>
        <w:rPr>
          <w:rFonts w:hint="eastAsia" w:ascii="仿宋" w:hAnsi="仿宋" w:eastAsia="仿宋" w:cs="方正仿宋_GBK"/>
          <w:color w:val="000000" w:themeColor="text1"/>
          <w:sz w:val="28"/>
          <w:lang w:val="zh-CN"/>
          <w14:textFill>
            <w14:solidFill>
              <w14:schemeClr w14:val="tx1"/>
            </w14:solidFill>
          </w14:textFill>
        </w:rPr>
        <w:t>所签合同不得对采购文件作实质性修改</w:t>
      </w:r>
      <w:r>
        <w:rPr>
          <w:rFonts w:hint="eastAsia" w:ascii="仿宋" w:hAnsi="仿宋" w:eastAsia="仿宋" w:cs="方正仿宋_GBK"/>
          <w:color w:val="000000" w:themeColor="text1"/>
          <w:sz w:val="28"/>
          <w14:textFill>
            <w14:solidFill>
              <w14:schemeClr w14:val="tx1"/>
            </w14:solidFill>
          </w14:textFill>
        </w:rPr>
        <w:t>。采购人不得向成交供应商提出不合理的要求作为签订合同的条件，不得与成交供应商私下订立背离采购文件实质性内容的协议。</w:t>
      </w:r>
      <w:bookmarkStart w:id="32" w:name="_Toc363573858"/>
      <w:bookmarkStart w:id="33" w:name="_Toc94585343"/>
    </w:p>
    <w:p w14:paraId="654589C0">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二、采购文件、成交人的响应文件及评审过程中有关书面澄清、承诺等均应作为合同附件，具有同等的法律效力。</w:t>
      </w:r>
    </w:p>
    <w:p w14:paraId="37C2803D">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三、成交人不得采用转包、分包的形式履行合同，否则，采购人有权终止合同，造成采购人损失的，成交人应承担相应赔偿责任。</w:t>
      </w:r>
    </w:p>
    <w:bookmarkEnd w:id="32"/>
    <w:bookmarkEnd w:id="33"/>
    <w:p w14:paraId="3BBE76CF">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四、采购人和成交人应相互配合，按采购合同约定积极组织本项目的实施，确保项目按时完成。</w:t>
      </w:r>
    </w:p>
    <w:p w14:paraId="14E0A417">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五、成交人履约到位后，应以书面形式向采购人提出验收申请。采购人接到申请后应及时组织验收。</w:t>
      </w:r>
    </w:p>
    <w:p w14:paraId="0903C560">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70B79E22">
      <w:pPr>
        <w:pStyle w:val="2"/>
        <w:tabs>
          <w:tab w:val="right" w:leader="dot" w:pos="9214"/>
        </w:tabs>
        <w:spacing w:line="460" w:lineRule="exact"/>
        <w:ind w:right="443" w:rightChars="211" w:firstLine="560" w:firstLineChars="200"/>
        <w:rPr>
          <w:rFonts w:hint="eastAsia" w:ascii="仿宋" w:hAnsi="仿宋" w:eastAsia="仿宋" w:cs="方正仿宋_GBK"/>
          <w:color w:val="000000" w:themeColor="text1"/>
          <w:kern w:val="2"/>
          <w:sz w:val="28"/>
          <w:szCs w:val="28"/>
          <w14:textFill>
            <w14:solidFill>
              <w14:schemeClr w14:val="tx1"/>
            </w14:solidFill>
          </w14:textFill>
        </w:rPr>
      </w:pPr>
      <w:r>
        <w:rPr>
          <w:rFonts w:hint="eastAsia" w:ascii="仿宋" w:hAnsi="仿宋" w:eastAsia="仿宋" w:cs="方正仿宋_GBK"/>
          <w:color w:val="000000" w:themeColor="text1"/>
          <w:kern w:val="2"/>
          <w:sz w:val="28"/>
          <w:szCs w:val="28"/>
          <w14:textFill>
            <w14:solidFill>
              <w14:schemeClr w14:val="tx1"/>
            </w14:solidFill>
          </w14:textFill>
        </w:rPr>
        <w:t>七、按采购合同约定支付的项目合同价款。</w:t>
      </w:r>
    </w:p>
    <w:p w14:paraId="4F3A6946">
      <w:pPr>
        <w:pStyle w:val="2"/>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p>
    <w:p w14:paraId="0EE58411">
      <w:pPr>
        <w:spacing w:line="460" w:lineRule="exact"/>
        <w:jc w:val="center"/>
        <w:rPr>
          <w:rFonts w:hint="eastAsia" w:ascii="仿宋" w:hAnsi="仿宋" w:eastAsia="仿宋" w:cs="方正仿宋_GBK"/>
          <w:b/>
          <w:bCs/>
          <w:color w:val="000000" w:themeColor="text1"/>
          <w:kern w:val="0"/>
          <w:sz w:val="28"/>
          <w:szCs w:val="28"/>
          <w14:textFill>
            <w14:solidFill>
              <w14:schemeClr w14:val="tx1"/>
            </w14:solidFill>
          </w14:textFill>
        </w:rPr>
      </w:pPr>
    </w:p>
    <w:p w14:paraId="19DEDEC5">
      <w:pPr>
        <w:widowControl/>
        <w:jc w:val="left"/>
        <w:rPr>
          <w:rFonts w:hint="eastAsia" w:ascii="仿宋" w:hAnsi="仿宋" w:eastAsia="仿宋" w:cs="方正仿宋_GBK"/>
          <w:b/>
          <w:bCs/>
          <w:color w:val="000000" w:themeColor="text1"/>
          <w:kern w:val="0"/>
          <w:sz w:val="28"/>
          <w:szCs w:val="28"/>
          <w14:textFill>
            <w14:solidFill>
              <w14:schemeClr w14:val="tx1"/>
            </w14:solidFill>
          </w14:textFill>
        </w:rPr>
        <w:sectPr>
          <w:pgSz w:w="11905" w:h="16838"/>
          <w:pgMar w:top="1361" w:right="1304" w:bottom="1361" w:left="1361" w:header="850" w:footer="850" w:gutter="0"/>
          <w:cols w:space="720" w:num="1"/>
        </w:sect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51D814AE">
      <w:pPr>
        <w:snapToGrid w:val="0"/>
        <w:spacing w:line="360" w:lineRule="auto"/>
        <w:jc w:val="center"/>
        <w:outlineLvl w:val="0"/>
        <w:rPr>
          <w:rFonts w:hint="eastAsia" w:ascii="仿宋" w:hAnsi="仿宋" w:eastAsia="仿宋" w:cs="宋体"/>
          <w:b/>
          <w:color w:val="000000" w:themeColor="text1"/>
          <w:sz w:val="32"/>
          <w:szCs w:val="32"/>
          <w14:textFill>
            <w14:solidFill>
              <w14:schemeClr w14:val="tx1"/>
            </w14:solidFill>
          </w14:textFill>
        </w:rPr>
      </w:pPr>
      <w:bookmarkStart w:id="34" w:name="_Toc20707"/>
      <w:r>
        <w:rPr>
          <w:rFonts w:hint="eastAsia" w:ascii="仿宋" w:hAnsi="仿宋" w:eastAsia="仿宋" w:cs="宋体"/>
          <w:b/>
          <w:color w:val="000000" w:themeColor="text1"/>
          <w:sz w:val="32"/>
          <w:szCs w:val="32"/>
          <w14:textFill>
            <w14:solidFill>
              <w14:schemeClr w14:val="tx1"/>
            </w14:solidFill>
          </w14:textFill>
        </w:rPr>
        <w:t>第六</w:t>
      </w:r>
      <w:bookmarkEnd w:id="34"/>
      <w:bookmarkStart w:id="35" w:name="_Toc18342"/>
      <w:r>
        <w:rPr>
          <w:rFonts w:hint="eastAsia" w:ascii="仿宋" w:hAnsi="仿宋" w:eastAsia="仿宋" w:cs="宋体"/>
          <w:b/>
          <w:color w:val="000000" w:themeColor="text1"/>
          <w:sz w:val="32"/>
          <w:szCs w:val="32"/>
          <w14:textFill>
            <w14:solidFill>
              <w14:schemeClr w14:val="tx1"/>
            </w14:solidFill>
          </w14:textFill>
        </w:rPr>
        <w:t>部分  比选文件组成</w:t>
      </w:r>
      <w:bookmarkEnd w:id="35"/>
    </w:p>
    <w:p w14:paraId="699E2609">
      <w:pPr>
        <w:snapToGrid w:val="0"/>
        <w:spacing w:before="120" w:beforeLines="50" w:line="460" w:lineRule="exact"/>
        <w:ind w:firstLine="556"/>
        <w:jc w:val="left"/>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比选文件由资格审查证明材料、价格标、商务技术标三部分组成。</w:t>
      </w:r>
    </w:p>
    <w:p w14:paraId="73260467">
      <w:pPr>
        <w:snapToGrid w:val="0"/>
        <w:spacing w:line="460" w:lineRule="exact"/>
        <w:ind w:firstLine="562" w:firstLineChars="200"/>
        <w:contextualSpacing/>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一、资格审查证明材料（不能出现报价，</w:t>
      </w:r>
      <w:r>
        <w:rPr>
          <w:rFonts w:hint="eastAsia" w:ascii="仿宋" w:hAnsi="仿宋" w:eastAsia="仿宋" w:cs="方正仿宋_GBK"/>
          <w:b/>
          <w:color w:val="000000" w:themeColor="text1"/>
          <w:sz w:val="28"/>
          <w14:textFill>
            <w14:solidFill>
              <w14:schemeClr w14:val="tx1"/>
            </w14:solidFill>
          </w14:textFill>
        </w:rPr>
        <w:t>一正两副，单独密封并牢固装订）</w:t>
      </w:r>
      <w:r>
        <w:rPr>
          <w:rFonts w:hint="eastAsia" w:ascii="仿宋" w:hAnsi="仿宋" w:eastAsia="仿宋" w:cs="方正仿宋_GBK"/>
          <w:b/>
          <w:color w:val="000000" w:themeColor="text1"/>
          <w:sz w:val="28"/>
          <w:szCs w:val="28"/>
          <w14:textFill>
            <w14:solidFill>
              <w14:schemeClr w14:val="tx1"/>
            </w14:solidFill>
          </w14:textFill>
        </w:rPr>
        <w:t>：</w:t>
      </w:r>
    </w:p>
    <w:p w14:paraId="1483DB28">
      <w:pPr>
        <w:widowControl/>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1.关于资格的响应函；</w:t>
      </w:r>
    </w:p>
    <w:p w14:paraId="217B4B33">
      <w:pPr>
        <w:widowControl/>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2.法定代表人参加投标的，必须提供法定代表人身份证明及法定代表人本人身份证复印件；非法定代表人参加投标的，必须提供法定代表人签名与盖章的授权委托书及被授权人的身份证复印件（格式参见附件）；</w:t>
      </w:r>
    </w:p>
    <w:p w14:paraId="3E7F5293">
      <w:pPr>
        <w:widowControl/>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3．提供有效的营业执照副本复印件（加盖公章）；</w:t>
      </w:r>
    </w:p>
    <w:p w14:paraId="07E42723">
      <w:pPr>
        <w:widowControl/>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未被“信用中国”网站列入失信被执行人、重大税收违法案件当事人名单、采购不良行为记录名单（格式见附件）</w:t>
      </w:r>
      <w:r>
        <w:rPr>
          <w:rFonts w:hint="eastAsia"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w:t>
      </w:r>
    </w:p>
    <w:p w14:paraId="7B96506E">
      <w:pPr>
        <w:snapToGrid w:val="0"/>
        <w:spacing w:line="460" w:lineRule="exact"/>
        <w:ind w:firstLine="560" w:firstLineChars="200"/>
        <w:contextualSpacing/>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w:t>
      </w:r>
      <w:r>
        <w:rPr>
          <w:rFonts w:hint="eastAsia"/>
        </w:rPr>
        <w:t xml:space="preserve"> </w:t>
      </w:r>
      <w:r>
        <w:rPr>
          <w:rFonts w:hint="eastAsia" w:ascii="仿宋" w:hAnsi="仿宋" w:eastAsia="仿宋" w:cs="方正仿宋_GBK"/>
          <w:bCs/>
          <w:color w:val="000000" w:themeColor="text1"/>
          <w:sz w:val="28"/>
          <w:szCs w:val="28"/>
          <w14:textFill>
            <w14:solidFill>
              <w14:schemeClr w14:val="tx1"/>
            </w14:solidFill>
          </w14:textFill>
        </w:rPr>
        <w:t>供应商需具有公安部第三研究所颁发的网络安全服务认证证书等级保护测评服务认证或网络安全等级测评与检测评估机构服务认证证书。</w:t>
      </w:r>
    </w:p>
    <w:p w14:paraId="28B8A371">
      <w:pPr>
        <w:snapToGrid w:val="0"/>
        <w:spacing w:line="460" w:lineRule="exact"/>
        <w:ind w:firstLine="560" w:firstLineChars="200"/>
        <w:contextualSpacing/>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6.其他供应商认为需要提供的资格审查材料。</w:t>
      </w:r>
    </w:p>
    <w:p w14:paraId="56BE1672">
      <w:pPr>
        <w:snapToGrid w:val="0"/>
        <w:spacing w:line="460" w:lineRule="exact"/>
        <w:ind w:left="549"/>
        <w:contextualSpacing/>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二、商务技术标（不能出现报价；</w:t>
      </w:r>
      <w:r>
        <w:rPr>
          <w:rFonts w:hint="eastAsia" w:ascii="仿宋" w:hAnsi="仿宋" w:eastAsia="仿宋" w:cs="方正仿宋_GBK"/>
          <w:b/>
          <w:color w:val="000000" w:themeColor="text1"/>
          <w:sz w:val="28"/>
          <w14:textFill>
            <w14:solidFill>
              <w14:schemeClr w14:val="tx1"/>
            </w14:solidFill>
          </w14:textFill>
        </w:rPr>
        <w:t>一正两副，单独密封牢固装订</w:t>
      </w:r>
      <w:r>
        <w:rPr>
          <w:rFonts w:hint="eastAsia" w:ascii="仿宋" w:hAnsi="仿宋" w:eastAsia="仿宋" w:cs="方正仿宋_GBK"/>
          <w:b/>
          <w:color w:val="000000" w:themeColor="text1"/>
          <w:sz w:val="28"/>
          <w:szCs w:val="28"/>
          <w14:textFill>
            <w14:solidFill>
              <w14:schemeClr w14:val="tx1"/>
            </w14:solidFill>
          </w14:textFill>
        </w:rPr>
        <w:t>）：</w:t>
      </w:r>
    </w:p>
    <w:p w14:paraId="556FFE1C">
      <w:pPr>
        <w:tabs>
          <w:tab w:val="left" w:pos="1260"/>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w:t>
      </w:r>
      <w:r>
        <w:rPr>
          <w:rFonts w:hint="eastAsia" w:ascii="仿宋" w:hAnsi="仿宋" w:eastAsia="仿宋" w:cs="方正仿宋_GBK"/>
          <w:color w:val="000000" w:themeColor="text1"/>
          <w:sz w:val="28"/>
          <w14:textFill>
            <w14:solidFill>
              <w14:schemeClr w14:val="tx1"/>
            </w14:solidFill>
          </w14:textFill>
        </w:rPr>
        <w:t>项目类似业绩、供货方案等评审办法中涉及到的事项</w:t>
      </w:r>
    </w:p>
    <w:p w14:paraId="44746B30">
      <w:pPr>
        <w:tabs>
          <w:tab w:val="left" w:pos="1260"/>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2.评审办法中涉及的事项，为方便比选评审，请供应商按比选评审办法中所涉及的事项顺序进行编制，可以补充相关材料。</w:t>
      </w:r>
    </w:p>
    <w:p w14:paraId="4140E34F">
      <w:pPr>
        <w:snapToGrid w:val="0"/>
        <w:spacing w:line="460" w:lineRule="exact"/>
        <w:ind w:firstLine="562" w:firstLineChars="200"/>
        <w:contextualSpacing/>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w:t>
      </w:r>
      <w:r>
        <w:rPr>
          <w:rFonts w:hint="eastAsia" w:ascii="仿宋" w:hAnsi="仿宋" w:eastAsia="仿宋" w:cs="方正仿宋_GBK"/>
          <w:b/>
          <w:color w:val="000000" w:themeColor="text1"/>
          <w:sz w:val="28"/>
          <w14:textFill>
            <w14:solidFill>
              <w14:schemeClr w14:val="tx1"/>
            </w14:solidFill>
          </w14:textFill>
        </w:rPr>
        <w:t>价格响应文件，一正两副（单独密封并牢固装订），不得出现在商务技术响应文件及资格审查部分：</w:t>
      </w:r>
    </w:p>
    <w:p w14:paraId="715D237D">
      <w:pPr>
        <w:tabs>
          <w:tab w:val="left" w:pos="1260"/>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1.报价函；</w:t>
      </w:r>
    </w:p>
    <w:p w14:paraId="1D2771CA">
      <w:pPr>
        <w:tabs>
          <w:tab w:val="left" w:pos="1260"/>
        </w:tabs>
        <w:snapToGrid w:val="0"/>
        <w:spacing w:line="46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2.分项报价明细。</w:t>
      </w:r>
      <w:r>
        <w:rPr>
          <w:rFonts w:hint="eastAsia" w:ascii="仿宋" w:hAnsi="仿宋" w:eastAsia="仿宋" w:cs="方正仿宋_GBK"/>
          <w:color w:val="000000" w:themeColor="text1"/>
          <w:sz w:val="28"/>
          <w:szCs w:val="28"/>
          <w14:textFill>
            <w14:solidFill>
              <w14:schemeClr w14:val="tx1"/>
            </w14:solidFill>
          </w14:textFill>
        </w:rPr>
        <w:br w:type="page"/>
      </w:r>
      <w:r>
        <w:rPr>
          <w:rFonts w:hint="eastAsia" w:ascii="仿宋" w:hAnsi="仿宋" w:eastAsia="仿宋" w:cs="仿宋"/>
          <w:b/>
          <w:color w:val="000000" w:themeColor="text1"/>
          <w:sz w:val="28"/>
          <w:szCs w:val="28"/>
          <w14:textFill>
            <w14:solidFill>
              <w14:schemeClr w14:val="tx1"/>
            </w14:solidFill>
          </w14:textFill>
        </w:rPr>
        <w:t>资格审查证明材料相关格式</w:t>
      </w:r>
    </w:p>
    <w:p w14:paraId="0D452422">
      <w:pPr>
        <w:spacing w:line="440" w:lineRule="exact"/>
        <w:rPr>
          <w:rFonts w:hint="eastAsia" w:ascii="仿宋" w:hAnsi="仿宋" w:eastAsia="仿宋"/>
          <w:b/>
          <w:color w:val="000000" w:themeColor="text1"/>
          <w:sz w:val="24"/>
          <w14:textFill>
            <w14:solidFill>
              <w14:schemeClr w14:val="tx1"/>
            </w14:solidFill>
          </w14:textFill>
        </w:rPr>
      </w:pPr>
    </w:p>
    <w:p w14:paraId="3087E659">
      <w:pPr>
        <w:rPr>
          <w:rFonts w:hint="eastAsia" w:ascii="仿宋" w:hAnsi="仿宋" w:eastAsia="仿宋"/>
          <w:b/>
          <w:bCs/>
          <w:color w:val="000000" w:themeColor="text1"/>
          <w:szCs w:val="21"/>
          <w14:textFill>
            <w14:solidFill>
              <w14:schemeClr w14:val="tx1"/>
            </w14:solidFill>
          </w14:textFill>
        </w:rPr>
      </w:pPr>
    </w:p>
    <w:p w14:paraId="689CAE6F">
      <w:pPr>
        <w:jc w:val="cente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1.响  应  函</w:t>
      </w:r>
    </w:p>
    <w:p w14:paraId="5DDCCAD0">
      <w:pPr>
        <w:spacing w:line="520" w:lineRule="exact"/>
        <w:ind w:firstLine="482"/>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致：南通市交通运输综合行政执法支队：</w:t>
      </w:r>
    </w:p>
    <w:p w14:paraId="7A5D7C61">
      <w:pPr>
        <w:spacing w:line="52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p>
    <w:p w14:paraId="6F7987E0">
      <w:pPr>
        <w:spacing w:line="52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p>
    <w:p w14:paraId="245E9948">
      <w:pPr>
        <w:spacing w:line="520" w:lineRule="exact"/>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我单位参加</w:t>
      </w:r>
      <w:r>
        <w:rPr>
          <w:rFonts w:hint="eastAsia" w:ascii="仿宋" w:hAnsi="仿宋" w:eastAsia="仿宋" w:cs="仿宋"/>
          <w:bCs/>
          <w:color w:val="000000" w:themeColor="text1"/>
          <w:sz w:val="28"/>
          <w:szCs w:val="28"/>
          <w:u w:val="single"/>
          <w14:textFill>
            <w14:solidFill>
              <w14:schemeClr w14:val="tx1"/>
            </w14:solidFill>
          </w14:textFill>
        </w:rPr>
        <w:t>________________ _</w:t>
      </w:r>
      <w:r>
        <w:rPr>
          <w:rFonts w:hint="eastAsia" w:ascii="仿宋" w:hAnsi="仿宋" w:eastAsia="仿宋" w:cs="仿宋"/>
          <w:bCs/>
          <w:color w:val="000000" w:themeColor="text1"/>
          <w:sz w:val="28"/>
          <w:szCs w:val="28"/>
          <w14:textFill>
            <w14:solidFill>
              <w14:schemeClr w14:val="tx1"/>
            </w14:solidFill>
          </w14:textFill>
        </w:rPr>
        <w:t>（项目名称），</w:t>
      </w:r>
      <w:r>
        <w:rPr>
          <w:rFonts w:hint="eastAsia" w:ascii="仿宋" w:hAnsi="仿宋" w:eastAsia="仿宋" w:cs="仿宋"/>
          <w:bCs/>
          <w:color w:val="000000" w:themeColor="text1"/>
          <w:sz w:val="28"/>
          <w:szCs w:val="28"/>
          <w:u w:val="single"/>
          <w14:textFill>
            <w14:solidFill>
              <w14:schemeClr w14:val="tx1"/>
            </w14:solidFill>
          </w14:textFill>
        </w:rPr>
        <w:t>_______ __________</w:t>
      </w:r>
      <w:r>
        <w:rPr>
          <w:rFonts w:hint="eastAsia" w:ascii="仿宋" w:hAnsi="仿宋" w:eastAsia="仿宋" w:cs="仿宋"/>
          <w:bCs/>
          <w:color w:val="000000" w:themeColor="text1"/>
          <w:sz w:val="28"/>
          <w:szCs w:val="28"/>
          <w14:textFill>
            <w14:solidFill>
              <w14:schemeClr w14:val="tx1"/>
            </w14:solidFill>
          </w14:textFill>
        </w:rPr>
        <w:t>（项目编号）投标活动。针对以下规定做出如下声明：</w:t>
      </w:r>
    </w:p>
    <w:p w14:paraId="5C2B3134">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1.我单位具有独立承担民事责任的能力；</w:t>
      </w:r>
    </w:p>
    <w:p w14:paraId="000B6DC3">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2.我单位具有良好的商业信誉和健全的财务会计制度；</w:t>
      </w:r>
    </w:p>
    <w:p w14:paraId="517E8B75">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3.我单位具有履行合同所必需的设备和专业技术能力；</w:t>
      </w:r>
    </w:p>
    <w:p w14:paraId="7EB8FB7E">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4.我单位有依法缴纳税收和社会保障资金的良好记录。</w:t>
      </w:r>
    </w:p>
    <w:p w14:paraId="1994FF25">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040CF75A">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0079E10F">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5EBBBA1D">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62DFD72E">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404EF38D">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2FE23B05">
      <w:pPr>
        <w:spacing w:line="400" w:lineRule="exact"/>
        <w:rPr>
          <w:rFonts w:hint="eastAsia" w:ascii="仿宋" w:hAnsi="仿宋" w:eastAsia="仿宋" w:cs="仿宋"/>
          <w:color w:val="000000" w:themeColor="text1"/>
          <w:sz w:val="24"/>
          <w14:textFill>
            <w14:solidFill>
              <w14:schemeClr w14:val="tx1"/>
            </w14:solidFill>
          </w14:textFill>
        </w:rPr>
      </w:pPr>
    </w:p>
    <w:p w14:paraId="14FEFDA5">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155559B8">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比选人全称：</w:t>
      </w:r>
    </w:p>
    <w:p w14:paraId="065F92DB">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      章：</w:t>
      </w:r>
    </w:p>
    <w:p w14:paraId="1B919914">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 权 代表：</w:t>
      </w:r>
    </w:p>
    <w:p w14:paraId="3BAA4C9D">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p>
    <w:p w14:paraId="0F49ED4B">
      <w:pPr>
        <w:ind w:firstLine="435"/>
        <w:rPr>
          <w:rFonts w:hint="eastAsia" w:ascii="仿宋" w:hAnsi="仿宋" w:eastAsia="仿宋"/>
          <w:b/>
          <w:color w:val="000000" w:themeColor="text1"/>
          <w:sz w:val="24"/>
          <w14:textFill>
            <w14:solidFill>
              <w14:schemeClr w14:val="tx1"/>
            </w14:solidFill>
          </w14:textFill>
        </w:rPr>
      </w:pPr>
    </w:p>
    <w:p w14:paraId="222109F3">
      <w:pPr>
        <w:spacing w:line="360" w:lineRule="auto"/>
        <w:rPr>
          <w:rFonts w:hint="eastAsia" w:ascii="仿宋" w:hAnsi="仿宋" w:eastAsia="仿宋" w:cs="仿宋"/>
          <w:b/>
          <w:color w:val="000000" w:themeColor="text1"/>
          <w:sz w:val="28"/>
          <w:szCs w:val="28"/>
          <w14:textFill>
            <w14:solidFill>
              <w14:schemeClr w14:val="tx1"/>
            </w14:solidFill>
          </w14:textFill>
        </w:rPr>
      </w:pPr>
    </w:p>
    <w:p w14:paraId="68876F7D">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2ECD01CD">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09CAE4D3">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47B933D7">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270699FF">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2.法定代表人身份证明</w:t>
      </w:r>
    </w:p>
    <w:p w14:paraId="434E8BC7">
      <w:pPr>
        <w:spacing w:line="4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3755175A">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单位名称：</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p>
    <w:p w14:paraId="566DAB2A">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地    址：</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p>
    <w:p w14:paraId="484C516F">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姓    名：</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性   别：</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  龄：</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职  务：</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联系方式：</w:t>
      </w:r>
      <w:r>
        <w:rPr>
          <w:rFonts w:hint="eastAsia" w:ascii="仿宋" w:hAnsi="仿宋" w:eastAsia="仿宋"/>
          <w:color w:val="000000" w:themeColor="text1"/>
          <w:sz w:val="25"/>
          <w:u w:val="single"/>
          <w14:textFill>
            <w14:solidFill>
              <w14:schemeClr w14:val="tx1"/>
            </w14:solidFill>
          </w14:textFill>
        </w:rPr>
        <w:t xml:space="preserve">         </w:t>
      </w:r>
    </w:p>
    <w:p w14:paraId="32DCEDBC">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系</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的法定代表人。为</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项目，签署上述招标申请文件、进行合同谈判、签署合同和处理与之有关的一切事务。</w:t>
      </w:r>
    </w:p>
    <w:p w14:paraId="60991A0A">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6C88DC2E">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特此证明</w:t>
      </w:r>
    </w:p>
    <w:p w14:paraId="5973B5CA">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4711E192">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14077A0E">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7DE220A8">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申请人：</w:t>
      </w:r>
      <w:r>
        <w:rPr>
          <w:rFonts w:hint="eastAsia" w:ascii="仿宋" w:hAnsi="仿宋" w:eastAsia="仿宋"/>
          <w:color w:val="000000" w:themeColor="text1"/>
          <w:sz w:val="25"/>
          <w:u w:val="single"/>
          <w14:textFill>
            <w14:solidFill>
              <w14:schemeClr w14:val="tx1"/>
            </w14:solidFill>
          </w14:textFill>
        </w:rPr>
        <w:t>（盖章）</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p>
    <w:p w14:paraId="670BC85C">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4A127106">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日    期：</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w:t>
      </w:r>
    </w:p>
    <w:tbl>
      <w:tblPr>
        <w:tblStyle w:val="9"/>
        <w:tblpPr w:leftFromText="180" w:rightFromText="180" w:vertAnchor="text" w:horzAnchor="page" w:tblpX="2452"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3606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14:paraId="4086D9D5">
            <w:pPr>
              <w:snapToGrid w:val="0"/>
              <w:spacing w:line="420" w:lineRule="exact"/>
              <w:ind w:left="193" w:firstLine="424" w:firstLineChars="202"/>
              <w:jc w:val="left"/>
              <w:rPr>
                <w:rFonts w:hint="eastAsia" w:ascii="仿宋" w:hAnsi="仿宋" w:eastAsia="仿宋" w:cs="仿宋"/>
                <w:color w:val="000000" w:themeColor="text1"/>
                <w14:textFill>
                  <w14:solidFill>
                    <w14:schemeClr w14:val="tx1"/>
                  </w14:solidFill>
                </w14:textFill>
              </w:rPr>
            </w:pPr>
          </w:p>
          <w:p w14:paraId="105F9460">
            <w:pPr>
              <w:snapToGrid w:val="0"/>
              <w:spacing w:line="420" w:lineRule="exact"/>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法定代表人身份证（正、反面）复印件并加盖公章</w:t>
            </w:r>
            <w:r>
              <w:rPr>
                <w:rFonts w:hint="eastAsia" w:ascii="仿宋" w:hAnsi="仿宋" w:eastAsia="仿宋" w:cs="仿宋"/>
                <w:b/>
                <w:bCs/>
                <w:color w:val="000000" w:themeColor="text1"/>
                <w:u w:val="single"/>
                <w14:textFill>
                  <w14:solidFill>
                    <w14:schemeClr w14:val="tx1"/>
                  </w14:solidFill>
                </w14:textFill>
              </w:rPr>
              <w:t>（黏贴此处）</w:t>
            </w:r>
          </w:p>
          <w:p w14:paraId="3DCBF21A">
            <w:pPr>
              <w:snapToGrid w:val="0"/>
              <w:spacing w:line="420" w:lineRule="exact"/>
              <w:ind w:left="193"/>
              <w:jc w:val="left"/>
              <w:rPr>
                <w:rFonts w:hint="eastAsia" w:ascii="仿宋" w:hAnsi="仿宋" w:eastAsia="仿宋" w:cs="仿宋"/>
                <w:b/>
                <w:bCs/>
                <w:color w:val="000000" w:themeColor="text1"/>
                <w14:textFill>
                  <w14:solidFill>
                    <w14:schemeClr w14:val="tx1"/>
                  </w14:solidFill>
                </w14:textFill>
              </w:rPr>
            </w:pPr>
          </w:p>
          <w:p w14:paraId="5413B75F">
            <w:pPr>
              <w:snapToGrid w:val="0"/>
              <w:spacing w:line="420" w:lineRule="exact"/>
              <w:ind w:left="193"/>
              <w:jc w:val="left"/>
              <w:rPr>
                <w:rFonts w:hint="eastAsia" w:ascii="仿宋" w:hAnsi="仿宋" w:eastAsia="仿宋" w:cs="仿宋"/>
                <w:b/>
                <w:bCs/>
                <w:color w:val="000000" w:themeColor="text1"/>
                <w14:textFill>
                  <w14:solidFill>
                    <w14:schemeClr w14:val="tx1"/>
                  </w14:solidFill>
                </w14:textFill>
              </w:rPr>
            </w:pPr>
          </w:p>
          <w:p w14:paraId="136E8EE2">
            <w:pPr>
              <w:snapToGrid w:val="0"/>
              <w:spacing w:line="420" w:lineRule="exact"/>
              <w:ind w:left="193"/>
              <w:jc w:val="left"/>
              <w:rPr>
                <w:rFonts w:hint="eastAsia" w:ascii="仿宋" w:hAnsi="仿宋" w:eastAsia="仿宋" w:cs="仿宋"/>
                <w:b/>
                <w:bCs/>
                <w:color w:val="000000" w:themeColor="text1"/>
                <w14:textFill>
                  <w14:solidFill>
                    <w14:schemeClr w14:val="tx1"/>
                  </w14:solidFill>
                </w14:textFill>
              </w:rPr>
            </w:pPr>
          </w:p>
          <w:p w14:paraId="136C1FA3">
            <w:pPr>
              <w:snapToGrid w:val="0"/>
              <w:spacing w:line="420" w:lineRule="exact"/>
              <w:ind w:left="193" w:firstLine="424" w:firstLineChars="202"/>
              <w:jc w:val="left"/>
              <w:rPr>
                <w:rFonts w:hint="eastAsia" w:ascii="仿宋" w:hAnsi="仿宋" w:eastAsia="仿宋" w:cs="仿宋"/>
                <w:color w:val="000000" w:themeColor="text1"/>
                <w14:textFill>
                  <w14:solidFill>
                    <w14:schemeClr w14:val="tx1"/>
                  </w14:solidFill>
                </w14:textFill>
              </w:rPr>
            </w:pPr>
          </w:p>
        </w:tc>
      </w:tr>
    </w:tbl>
    <w:p w14:paraId="313C0BAB">
      <w:pPr>
        <w:snapToGrid w:val="0"/>
        <w:spacing w:line="360" w:lineRule="auto"/>
        <w:ind w:firstLine="480" w:firstLineChars="200"/>
        <w:rPr>
          <w:rFonts w:hint="eastAsia" w:ascii="仿宋" w:hAnsi="仿宋" w:eastAsia="仿宋" w:cs="宋体"/>
          <w:color w:val="000000" w:themeColor="text1"/>
          <w:sz w:val="24"/>
          <w14:textFill>
            <w14:solidFill>
              <w14:schemeClr w14:val="tx1"/>
            </w14:solidFill>
          </w14:textFill>
        </w:rPr>
      </w:pPr>
    </w:p>
    <w:p w14:paraId="67986BFF">
      <w:pPr>
        <w:snapToGrid w:val="0"/>
        <w:spacing w:line="360" w:lineRule="auto"/>
        <w:ind w:firstLine="480" w:firstLineChars="200"/>
        <w:rPr>
          <w:rFonts w:hint="eastAsia" w:ascii="仿宋" w:hAnsi="仿宋" w:eastAsia="仿宋" w:cs="宋体"/>
          <w:color w:val="000000" w:themeColor="text1"/>
          <w:sz w:val="24"/>
          <w14:textFill>
            <w14:solidFill>
              <w14:schemeClr w14:val="tx1"/>
            </w14:solidFill>
          </w14:textFill>
        </w:rPr>
      </w:pPr>
    </w:p>
    <w:p w14:paraId="5D73FD69">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br w:type="page"/>
      </w:r>
      <w:r>
        <w:rPr>
          <w:rFonts w:hint="eastAsia" w:ascii="仿宋" w:hAnsi="仿宋" w:eastAsia="仿宋" w:cs="仿宋"/>
          <w:b/>
          <w:bCs/>
          <w:color w:val="000000" w:themeColor="text1"/>
          <w:sz w:val="28"/>
          <w:szCs w:val="28"/>
          <w14:textFill>
            <w14:solidFill>
              <w14:schemeClr w14:val="tx1"/>
            </w14:solidFill>
          </w14:textFill>
        </w:rPr>
        <w:t>3.授权委托书（如需）</w:t>
      </w:r>
    </w:p>
    <w:p w14:paraId="45CD94F0">
      <w:pPr>
        <w:snapToGrid w:val="0"/>
        <w:spacing w:line="360" w:lineRule="auto"/>
        <w:rPr>
          <w:rFonts w:hint="eastAsia" w:ascii="仿宋" w:hAnsi="仿宋" w:eastAsia="仿宋" w:cs="仿宋"/>
          <w:bCs/>
          <w:color w:val="000000" w:themeColor="text1"/>
          <w:sz w:val="28"/>
          <w:szCs w:val="28"/>
          <w14:textFill>
            <w14:solidFill>
              <w14:schemeClr w14:val="tx1"/>
            </w14:solidFill>
          </w14:textFill>
        </w:rPr>
      </w:pPr>
    </w:p>
    <w:p w14:paraId="7AD79553">
      <w:pPr>
        <w:snapToGrid w:val="0"/>
        <w:spacing w:line="500" w:lineRule="exac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南通市交通运输综合行政执法支队：</w:t>
      </w:r>
    </w:p>
    <w:p w14:paraId="3B887EB3">
      <w:pPr>
        <w:spacing w:line="56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本授权书宣告，在下面签字的</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以法定代表人身份代表本单位授权：</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 xml:space="preserve">为本单位的合法授权代表，授权其在 </w:t>
      </w:r>
      <w:r>
        <w:rPr>
          <w:rFonts w:hint="eastAsia" w:ascii="仿宋" w:hAnsi="仿宋" w:eastAsia="仿宋"/>
          <w:color w:val="000000" w:themeColor="text1"/>
          <w:sz w:val="25"/>
          <w:szCs w:val="25"/>
          <w:u w:val="single"/>
          <w14:textFill>
            <w14:solidFill>
              <w14:schemeClr w14:val="tx1"/>
            </w14:solidFill>
          </w14:textFill>
        </w:rPr>
        <w:t xml:space="preserve">    项目</w:t>
      </w:r>
      <w:r>
        <w:rPr>
          <w:rFonts w:hint="eastAsia" w:ascii="仿宋" w:hAnsi="仿宋" w:eastAsia="仿宋"/>
          <w:color w:val="000000" w:themeColor="text1"/>
          <w:sz w:val="25"/>
          <w14:textFill>
            <w14:solidFill>
              <w14:schemeClr w14:val="tx1"/>
            </w14:solidFill>
          </w14:textFill>
        </w:rPr>
        <w:t>招标活动中，以本单位的名义，并代表本人与你们进行询价、签署文件和处理一切与此事有关的事务。授权代表的一切行为均代表本单位，与本人的行为具有同等法律效力。本单位将承担授权代表行为的全部法律责任和后果。</w:t>
      </w:r>
    </w:p>
    <w:p w14:paraId="7E716214">
      <w:pPr>
        <w:spacing w:line="56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本委托书限期自</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日起至</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日止。</w:t>
      </w:r>
    </w:p>
    <w:p w14:paraId="5ECC9D4A">
      <w:pPr>
        <w:spacing w:line="56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授权代表无权转让委托权，特此委托。</w:t>
      </w:r>
    </w:p>
    <w:p w14:paraId="6ABAFBD1">
      <w:pPr>
        <w:spacing w:line="56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投标人：</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(全称、盖章)</w:t>
      </w:r>
    </w:p>
    <w:p w14:paraId="225B7C43">
      <w:pPr>
        <w:spacing w:line="560" w:lineRule="exact"/>
        <w:ind w:firstLine="500" w:firstLineChars="200"/>
        <w:rPr>
          <w:rFonts w:hint="eastAsia"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法定代表人姓名：</w:t>
      </w:r>
      <w:r>
        <w:rPr>
          <w:rFonts w:hint="eastAsia" w:ascii="仿宋" w:hAnsi="仿宋" w:eastAsia="仿宋"/>
          <w:color w:val="000000" w:themeColor="text1"/>
          <w:sz w:val="25"/>
          <w:u w:val="single"/>
          <w14:textFill>
            <w14:solidFill>
              <w14:schemeClr w14:val="tx1"/>
            </w14:solidFill>
          </w14:textFill>
        </w:rPr>
        <w:t xml:space="preserve">               </w:t>
      </w:r>
    </w:p>
    <w:p w14:paraId="2ABAC911">
      <w:pPr>
        <w:spacing w:line="560" w:lineRule="exact"/>
        <w:ind w:firstLine="500" w:firstLineChars="200"/>
        <w:rPr>
          <w:rFonts w:hint="eastAsia"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授权委托人：</w:t>
      </w:r>
      <w:r>
        <w:rPr>
          <w:rFonts w:hint="eastAsia" w:ascii="仿宋" w:hAnsi="仿宋" w:eastAsia="仿宋"/>
          <w:color w:val="000000" w:themeColor="text1"/>
          <w:sz w:val="25"/>
          <w:u w:val="single"/>
          <w14:textFill>
            <w14:solidFill>
              <w14:schemeClr w14:val="tx1"/>
            </w14:solidFill>
          </w14:textFill>
        </w:rPr>
        <w:t xml:space="preserve">                   </w:t>
      </w:r>
    </w:p>
    <w:p w14:paraId="5AC069E4">
      <w:pPr>
        <w:spacing w:line="560" w:lineRule="exact"/>
        <w:ind w:firstLine="500" w:firstLineChars="200"/>
        <w:rPr>
          <w:rFonts w:hint="eastAsia"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联系方式：</w:t>
      </w:r>
      <w:r>
        <w:rPr>
          <w:rFonts w:hint="eastAsia" w:ascii="仿宋" w:hAnsi="仿宋" w:eastAsia="仿宋"/>
          <w:color w:val="000000" w:themeColor="text1"/>
          <w:sz w:val="25"/>
          <w:u w:val="single"/>
          <w14:textFill>
            <w14:solidFill>
              <w14:schemeClr w14:val="tx1"/>
            </w14:solidFill>
          </w14:textFill>
        </w:rPr>
        <w:t xml:space="preserve">                     </w:t>
      </w:r>
    </w:p>
    <w:p w14:paraId="22AB2C11">
      <w:pPr>
        <w:spacing w:line="560" w:lineRule="exact"/>
        <w:ind w:firstLine="500" w:firstLineChars="200"/>
        <w:rPr>
          <w:rFonts w:hint="eastAsia"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日    期：</w:t>
      </w:r>
      <w:r>
        <w:rPr>
          <w:rFonts w:hint="eastAsia" w:ascii="仿宋" w:hAnsi="仿宋" w:eastAsia="仿宋"/>
          <w:color w:val="000000" w:themeColor="text1"/>
          <w:sz w:val="25"/>
          <w:u w:val="single"/>
          <w14:textFill>
            <w14:solidFill>
              <w14:schemeClr w14:val="tx1"/>
            </w14:solidFill>
          </w14:textFill>
        </w:rPr>
        <w:t xml:space="preserve">                      </w:t>
      </w:r>
    </w:p>
    <w:tbl>
      <w:tblPr>
        <w:tblStyle w:val="9"/>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2005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14:paraId="1BC652A8">
            <w:pPr>
              <w:snapToGrid w:val="0"/>
              <w:spacing w:line="420" w:lineRule="exact"/>
              <w:ind w:firstLine="424" w:firstLineChars="202"/>
              <w:jc w:val="left"/>
              <w:rPr>
                <w:rFonts w:hint="eastAsia" w:ascii="仿宋" w:hAnsi="仿宋" w:eastAsia="仿宋" w:cs="仿宋"/>
                <w:color w:val="000000" w:themeColor="text1"/>
                <w14:textFill>
                  <w14:solidFill>
                    <w14:schemeClr w14:val="tx1"/>
                  </w14:solidFill>
                </w14:textFill>
              </w:rPr>
            </w:pPr>
          </w:p>
          <w:p w14:paraId="225DBFA4">
            <w:pPr>
              <w:snapToGrid w:val="0"/>
              <w:spacing w:line="420" w:lineRule="exact"/>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授权委托人身份证（正、反面）复印件并加盖公章</w:t>
            </w:r>
            <w:r>
              <w:rPr>
                <w:rFonts w:hint="eastAsia" w:ascii="仿宋" w:hAnsi="仿宋" w:eastAsia="仿宋" w:cs="仿宋"/>
                <w:b/>
                <w:bCs/>
                <w:color w:val="000000" w:themeColor="text1"/>
                <w:u w:val="single"/>
                <w14:textFill>
                  <w14:solidFill>
                    <w14:schemeClr w14:val="tx1"/>
                  </w14:solidFill>
                </w14:textFill>
              </w:rPr>
              <w:t>（黏贴此处，原件备查）</w:t>
            </w:r>
          </w:p>
          <w:p w14:paraId="018DAA6F">
            <w:pPr>
              <w:snapToGrid w:val="0"/>
              <w:spacing w:line="420" w:lineRule="exact"/>
              <w:jc w:val="center"/>
              <w:rPr>
                <w:rFonts w:hint="eastAsia" w:ascii="仿宋" w:hAnsi="仿宋" w:eastAsia="仿宋" w:cs="仿宋"/>
                <w:b/>
                <w:bCs/>
                <w:color w:val="000000" w:themeColor="text1"/>
                <w14:textFill>
                  <w14:solidFill>
                    <w14:schemeClr w14:val="tx1"/>
                  </w14:solidFill>
                </w14:textFill>
              </w:rPr>
            </w:pPr>
          </w:p>
          <w:p w14:paraId="32D00C1D">
            <w:pPr>
              <w:snapToGrid w:val="0"/>
              <w:spacing w:line="420" w:lineRule="exact"/>
              <w:jc w:val="center"/>
              <w:rPr>
                <w:rFonts w:hint="eastAsia" w:ascii="仿宋" w:hAnsi="仿宋" w:eastAsia="仿宋" w:cs="仿宋"/>
                <w:b/>
                <w:bCs/>
                <w:color w:val="000000" w:themeColor="text1"/>
                <w14:textFill>
                  <w14:solidFill>
                    <w14:schemeClr w14:val="tx1"/>
                  </w14:solidFill>
                </w14:textFill>
              </w:rPr>
            </w:pPr>
          </w:p>
          <w:p w14:paraId="726D7951">
            <w:pPr>
              <w:snapToGrid w:val="0"/>
              <w:spacing w:line="420" w:lineRule="exact"/>
              <w:jc w:val="center"/>
              <w:rPr>
                <w:rFonts w:hint="eastAsia" w:ascii="仿宋" w:hAnsi="仿宋" w:eastAsia="仿宋" w:cs="仿宋"/>
                <w:color w:val="000000" w:themeColor="text1"/>
                <w14:textFill>
                  <w14:solidFill>
                    <w14:schemeClr w14:val="tx1"/>
                  </w14:solidFill>
                </w14:textFill>
              </w:rPr>
            </w:pPr>
          </w:p>
          <w:p w14:paraId="6CD41A63">
            <w:pPr>
              <w:snapToGrid w:val="0"/>
              <w:spacing w:line="420" w:lineRule="exact"/>
              <w:jc w:val="center"/>
              <w:rPr>
                <w:rFonts w:hint="eastAsia" w:ascii="仿宋" w:hAnsi="仿宋" w:eastAsia="仿宋" w:cs="仿宋"/>
                <w:color w:val="000000" w:themeColor="text1"/>
                <w14:textFill>
                  <w14:solidFill>
                    <w14:schemeClr w14:val="tx1"/>
                  </w14:solidFill>
                </w14:textFill>
              </w:rPr>
            </w:pPr>
          </w:p>
        </w:tc>
      </w:tr>
    </w:tbl>
    <w:p w14:paraId="0324C899">
      <w:pPr>
        <w:snapToGrid w:val="0"/>
        <w:spacing w:line="360" w:lineRule="auto"/>
        <w:ind w:firstLine="480" w:firstLineChars="200"/>
        <w:rPr>
          <w:rFonts w:hint="eastAsia" w:ascii="仿宋" w:hAnsi="仿宋" w:eastAsia="仿宋" w:cs="宋体"/>
          <w:color w:val="000000" w:themeColor="text1"/>
          <w:kern w:val="0"/>
          <w:sz w:val="24"/>
          <w14:textFill>
            <w14:solidFill>
              <w14:schemeClr w14:val="tx1"/>
            </w14:solidFill>
          </w14:textFill>
        </w:rPr>
      </w:pPr>
    </w:p>
    <w:p w14:paraId="6EE95C13">
      <w:pPr>
        <w:widowControl/>
        <w:spacing w:line="360" w:lineRule="auto"/>
        <w:jc w:val="left"/>
        <w:rPr>
          <w:rFonts w:hint="eastAsia" w:ascii="仿宋" w:hAnsi="仿宋" w:eastAsia="仿宋" w:cs="宋体"/>
          <w:color w:val="000000" w:themeColor="text1"/>
          <w:kern w:val="0"/>
          <w:sz w:val="24"/>
          <w14:textFill>
            <w14:solidFill>
              <w14:schemeClr w14:val="tx1"/>
            </w14:solidFill>
          </w14:textFill>
        </w:rPr>
        <w:sectPr>
          <w:pgSz w:w="11905" w:h="16838"/>
          <w:pgMar w:top="1361" w:right="1304" w:bottom="1361" w:left="1361" w:header="850" w:footer="850" w:gutter="0"/>
          <w:cols w:space="720" w:num="1"/>
        </w:sectPr>
      </w:pPr>
    </w:p>
    <w:p w14:paraId="1B01D883">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无重大违法记录声明</w:t>
      </w:r>
    </w:p>
    <w:p w14:paraId="30DBCC9E">
      <w:pPr>
        <w:snapToGrid w:val="0"/>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南通市交通运输综合行政执法支队：</w:t>
      </w:r>
    </w:p>
    <w:p w14:paraId="7B45979F">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我公司郑重声明：参加本次采购活动前</w:t>
      </w:r>
      <w:r>
        <w:rPr>
          <w:rFonts w:hint="eastAsia" w:ascii="仿宋" w:hAnsi="仿宋" w:eastAsia="仿宋" w:cs="仿宋"/>
          <w:color w:val="000000" w:themeColor="text1"/>
          <w:sz w:val="28"/>
          <w:szCs w:val="28"/>
          <w:u w:val="single"/>
          <w14:textFill>
            <w14:solidFill>
              <w14:schemeClr w14:val="tx1"/>
            </w14:solidFill>
          </w14:textFill>
        </w:rPr>
        <w:t xml:space="preserve"> 3 </w:t>
      </w:r>
      <w:r>
        <w:rPr>
          <w:rFonts w:hint="eastAsia" w:ascii="仿宋" w:hAnsi="仿宋" w:eastAsia="仿宋" w:cs="仿宋"/>
          <w:color w:val="000000" w:themeColor="text1"/>
          <w:sz w:val="28"/>
          <w:szCs w:val="28"/>
          <w14:textFill>
            <w14:solidFill>
              <w14:schemeClr w14:val="tx1"/>
            </w14:solidFill>
          </w14:textFill>
        </w:rPr>
        <w:t>年内，我公司在经营活动中</w:t>
      </w:r>
      <w:r>
        <w:rPr>
          <w:rFonts w:hint="eastAsia" w:ascii="仿宋" w:hAnsi="仿宋" w:eastAsia="仿宋" w:cs="仿宋"/>
          <w:b/>
          <w:bCs/>
          <w:color w:val="000000" w:themeColor="text1"/>
          <w:sz w:val="28"/>
          <w:szCs w:val="28"/>
          <w:u w:val="single"/>
          <w14:textFill>
            <w14:solidFill>
              <w14:schemeClr w14:val="tx1"/>
            </w14:solidFill>
          </w14:textFill>
        </w:rPr>
        <w:t>有/没有</w:t>
      </w:r>
      <w:r>
        <w:rPr>
          <w:rFonts w:hint="eastAsia" w:ascii="仿宋" w:hAnsi="仿宋" w:eastAsia="仿宋" w:cs="仿宋"/>
          <w:color w:val="000000" w:themeColor="text1"/>
          <w:sz w:val="28"/>
          <w:szCs w:val="28"/>
          <w14:textFill>
            <w14:solidFill>
              <w14:schemeClr w14:val="tx1"/>
            </w14:solidFill>
          </w14:textFill>
        </w:rPr>
        <w:t>因违法经营受到刑事处罚或者责令停产停业、吊销许可证或者执照、较大数额罚款等行政处罚。</w:t>
      </w:r>
    </w:p>
    <w:p w14:paraId="37D6A0E1">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在投标截止时间节点，没有被</w:t>
      </w:r>
      <w:r>
        <w:rPr>
          <w:rFonts w:hint="eastAsia" w:ascii="仿宋" w:hAnsi="仿宋" w:eastAsia="仿宋"/>
          <w:color w:val="000000" w:themeColor="text1"/>
          <w:sz w:val="28"/>
          <w:szCs w:val="32"/>
          <w14:textFill>
            <w14:solidFill>
              <w14:schemeClr w14:val="tx1"/>
            </w14:solidFill>
          </w14:textFill>
        </w:rPr>
        <w:t>“信用江苏”“信用中国”</w:t>
      </w:r>
      <w:r>
        <w:rPr>
          <w:rFonts w:hint="eastAsia" w:ascii="仿宋" w:hAnsi="仿宋" w:eastAsia="仿宋" w:cs="仿宋"/>
          <w:color w:val="000000" w:themeColor="text1"/>
          <w:sz w:val="28"/>
          <w:szCs w:val="28"/>
          <w14:textFill>
            <w14:solidFill>
              <w14:schemeClr w14:val="tx1"/>
            </w14:solidFill>
          </w14:textFill>
        </w:rPr>
        <w:t>网站列入失信被执行人、重大税收违法案件当事人名单、采购严重违法失信行为记录名单。</w:t>
      </w:r>
    </w:p>
    <w:p w14:paraId="3FE6A3CA">
      <w:pPr>
        <w:snapToGrid w:val="0"/>
        <w:spacing w:line="360" w:lineRule="auto"/>
        <w:ind w:firstLine="200"/>
        <w:rPr>
          <w:rFonts w:hint="eastAsia" w:ascii="仿宋" w:hAnsi="仿宋" w:eastAsia="仿宋" w:cs="仿宋"/>
          <w:color w:val="000000" w:themeColor="text1"/>
          <w:sz w:val="28"/>
          <w:szCs w:val="28"/>
          <w14:textFill>
            <w14:solidFill>
              <w14:schemeClr w14:val="tx1"/>
            </w14:solidFill>
          </w14:textFill>
        </w:rPr>
      </w:pPr>
    </w:p>
    <w:p w14:paraId="0E26643D">
      <w:pPr>
        <w:snapToGrid w:val="0"/>
        <w:spacing w:line="480" w:lineRule="auto"/>
        <w:ind w:right="720" w:firstLine="560" w:firstLineChars="200"/>
        <w:contextualSpacing/>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法定代表人或授权委托人签字：</w:t>
      </w:r>
    </w:p>
    <w:p w14:paraId="71E02231">
      <w:pPr>
        <w:snapToGrid w:val="0"/>
        <w:spacing w:line="480" w:lineRule="auto"/>
        <w:ind w:right="720" w:firstLine="560" w:firstLineChars="200"/>
        <w:contextualSpacing/>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供应商名称（盖章）：</w:t>
      </w:r>
    </w:p>
    <w:p w14:paraId="3E8CAE2F">
      <w:pPr>
        <w:snapToGrid w:val="0"/>
        <w:spacing w:line="360" w:lineRule="auto"/>
        <w:ind w:firstLine="560" w:firstLineChars="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日期：</w:t>
      </w:r>
    </w:p>
    <w:p w14:paraId="360308A2">
      <w:pPr>
        <w:spacing w:line="440" w:lineRule="exact"/>
        <w:rPr>
          <w:rFonts w:hint="eastAsia" w:ascii="仿宋" w:hAnsi="仿宋" w:eastAsia="仿宋"/>
          <w:b/>
          <w:color w:val="000000" w:themeColor="text1"/>
          <w:sz w:val="24"/>
          <w14:textFill>
            <w14:solidFill>
              <w14:schemeClr w14:val="tx1"/>
            </w14:solidFill>
          </w14:textFill>
        </w:rPr>
      </w:pPr>
    </w:p>
    <w:p w14:paraId="2D6EF43D">
      <w:pPr>
        <w:spacing w:line="440" w:lineRule="exact"/>
        <w:rPr>
          <w:rFonts w:hint="eastAsia" w:ascii="仿宋" w:hAnsi="仿宋" w:eastAsia="仿宋"/>
          <w:b/>
          <w:color w:val="000000" w:themeColor="text1"/>
          <w:sz w:val="24"/>
          <w14:textFill>
            <w14:solidFill>
              <w14:schemeClr w14:val="tx1"/>
            </w14:solidFill>
          </w14:textFill>
        </w:rPr>
      </w:pPr>
    </w:p>
    <w:p w14:paraId="149C8348">
      <w:pPr>
        <w:spacing w:line="440" w:lineRule="exact"/>
        <w:rPr>
          <w:rFonts w:hint="eastAsia" w:ascii="仿宋" w:hAnsi="仿宋" w:eastAsia="仿宋"/>
          <w:b/>
          <w:color w:val="000000" w:themeColor="text1"/>
          <w:sz w:val="24"/>
          <w14:textFill>
            <w14:solidFill>
              <w14:schemeClr w14:val="tx1"/>
            </w14:solidFill>
          </w14:textFill>
        </w:rPr>
      </w:pPr>
    </w:p>
    <w:p w14:paraId="536520B2">
      <w:pPr>
        <w:spacing w:line="440" w:lineRule="exact"/>
        <w:rPr>
          <w:rFonts w:hint="eastAsia" w:ascii="仿宋" w:hAnsi="仿宋" w:eastAsia="仿宋"/>
          <w:b/>
          <w:color w:val="000000" w:themeColor="text1"/>
          <w:sz w:val="24"/>
          <w14:textFill>
            <w14:solidFill>
              <w14:schemeClr w14:val="tx1"/>
            </w14:solidFill>
          </w14:textFill>
        </w:rPr>
      </w:pPr>
    </w:p>
    <w:p w14:paraId="69A427B3">
      <w:pPr>
        <w:spacing w:line="440" w:lineRule="exact"/>
        <w:rPr>
          <w:rFonts w:hint="eastAsia" w:ascii="仿宋" w:hAnsi="仿宋" w:eastAsia="仿宋"/>
          <w:b/>
          <w:color w:val="000000" w:themeColor="text1"/>
          <w:sz w:val="24"/>
          <w14:textFill>
            <w14:solidFill>
              <w14:schemeClr w14:val="tx1"/>
            </w14:solidFill>
          </w14:textFill>
        </w:rPr>
      </w:pPr>
    </w:p>
    <w:p w14:paraId="5993F277">
      <w:pPr>
        <w:spacing w:line="440" w:lineRule="exact"/>
        <w:rPr>
          <w:rFonts w:hint="eastAsia" w:ascii="仿宋" w:hAnsi="仿宋" w:eastAsia="仿宋"/>
          <w:b/>
          <w:color w:val="000000" w:themeColor="text1"/>
          <w:sz w:val="24"/>
          <w14:textFill>
            <w14:solidFill>
              <w14:schemeClr w14:val="tx1"/>
            </w14:solidFill>
          </w14:textFill>
        </w:rPr>
      </w:pPr>
    </w:p>
    <w:p w14:paraId="1BC9A36A">
      <w:pPr>
        <w:spacing w:line="440" w:lineRule="exact"/>
        <w:rPr>
          <w:rFonts w:hint="eastAsia" w:ascii="仿宋" w:hAnsi="仿宋" w:eastAsia="仿宋"/>
          <w:b/>
          <w:color w:val="000000" w:themeColor="text1"/>
          <w:sz w:val="24"/>
          <w14:textFill>
            <w14:solidFill>
              <w14:schemeClr w14:val="tx1"/>
            </w14:solidFill>
          </w14:textFill>
        </w:rPr>
      </w:pPr>
    </w:p>
    <w:p w14:paraId="218EC75E">
      <w:pPr>
        <w:spacing w:line="440" w:lineRule="exact"/>
        <w:rPr>
          <w:rFonts w:hint="eastAsia" w:ascii="仿宋" w:hAnsi="仿宋" w:eastAsia="仿宋"/>
          <w:b/>
          <w:color w:val="000000" w:themeColor="text1"/>
          <w:sz w:val="24"/>
          <w14:textFill>
            <w14:solidFill>
              <w14:schemeClr w14:val="tx1"/>
            </w14:solidFill>
          </w14:textFill>
        </w:rPr>
      </w:pPr>
    </w:p>
    <w:p w14:paraId="7D831AEA">
      <w:pPr>
        <w:spacing w:line="440" w:lineRule="exact"/>
        <w:rPr>
          <w:rFonts w:hint="eastAsia" w:ascii="仿宋" w:hAnsi="仿宋" w:eastAsia="仿宋"/>
          <w:b/>
          <w:color w:val="000000" w:themeColor="text1"/>
          <w:sz w:val="24"/>
          <w14:textFill>
            <w14:solidFill>
              <w14:schemeClr w14:val="tx1"/>
            </w14:solidFill>
          </w14:textFill>
        </w:rPr>
      </w:pPr>
    </w:p>
    <w:p w14:paraId="29AC84EF">
      <w:pPr>
        <w:spacing w:line="440" w:lineRule="exact"/>
        <w:rPr>
          <w:rFonts w:hint="eastAsia" w:ascii="仿宋" w:hAnsi="仿宋" w:eastAsia="仿宋"/>
          <w:b/>
          <w:color w:val="000000" w:themeColor="text1"/>
          <w:sz w:val="24"/>
          <w14:textFill>
            <w14:solidFill>
              <w14:schemeClr w14:val="tx1"/>
            </w14:solidFill>
          </w14:textFill>
        </w:rPr>
      </w:pPr>
    </w:p>
    <w:p w14:paraId="5A749D77">
      <w:pPr>
        <w:spacing w:line="440" w:lineRule="exact"/>
        <w:rPr>
          <w:rFonts w:hint="eastAsia" w:ascii="仿宋" w:hAnsi="仿宋" w:eastAsia="仿宋"/>
          <w:b/>
          <w:color w:val="000000" w:themeColor="text1"/>
          <w:sz w:val="24"/>
          <w14:textFill>
            <w14:solidFill>
              <w14:schemeClr w14:val="tx1"/>
            </w14:solidFill>
          </w14:textFill>
        </w:rPr>
      </w:pPr>
    </w:p>
    <w:p w14:paraId="46C9B380">
      <w:pPr>
        <w:pStyle w:val="7"/>
        <w:ind w:firstLine="241"/>
        <w:rPr>
          <w:rFonts w:hint="eastAsia" w:ascii="仿宋" w:hAnsi="仿宋" w:eastAsia="仿宋"/>
          <w:b/>
          <w:color w:val="000000" w:themeColor="text1"/>
          <w14:textFill>
            <w14:solidFill>
              <w14:schemeClr w14:val="tx1"/>
            </w14:solidFill>
          </w14:textFill>
        </w:rPr>
      </w:pPr>
    </w:p>
    <w:p w14:paraId="42F8041A">
      <w:pPr>
        <w:pStyle w:val="7"/>
        <w:ind w:firstLine="241"/>
        <w:rPr>
          <w:rFonts w:hint="eastAsia" w:ascii="仿宋" w:hAnsi="仿宋" w:eastAsia="仿宋"/>
          <w:b/>
          <w:color w:val="000000" w:themeColor="text1"/>
          <w14:textFill>
            <w14:solidFill>
              <w14:schemeClr w14:val="tx1"/>
            </w14:solidFill>
          </w14:textFill>
        </w:rPr>
      </w:pPr>
    </w:p>
    <w:p w14:paraId="3FC221AD">
      <w:pPr>
        <w:pStyle w:val="7"/>
        <w:ind w:firstLine="241"/>
        <w:rPr>
          <w:rFonts w:hint="eastAsia" w:ascii="仿宋" w:hAnsi="仿宋" w:eastAsia="仿宋"/>
          <w:b/>
          <w:color w:val="000000" w:themeColor="text1"/>
          <w14:textFill>
            <w14:solidFill>
              <w14:schemeClr w14:val="tx1"/>
            </w14:solidFill>
          </w14:textFill>
        </w:rPr>
      </w:pPr>
    </w:p>
    <w:p w14:paraId="1592C796">
      <w:pPr>
        <w:spacing w:line="360" w:lineRule="auto"/>
        <w:jc w:val="left"/>
        <w:outlineLvl w:val="2"/>
        <w:rPr>
          <w:rFonts w:hint="eastAsia" w:ascii="仿宋" w:hAnsi="仿宋" w:eastAsia="仿宋" w:cs="仿宋"/>
          <w:color w:val="000000" w:themeColor="text1"/>
          <w:sz w:val="28"/>
          <w:szCs w:val="28"/>
          <w14:textFill>
            <w14:solidFill>
              <w14:schemeClr w14:val="tx1"/>
            </w14:solidFill>
          </w14:textFill>
        </w:rPr>
      </w:pPr>
    </w:p>
    <w:p w14:paraId="207CD895">
      <w:pPr>
        <w:spacing w:line="360" w:lineRule="auto"/>
        <w:jc w:val="left"/>
        <w:outlineLvl w:val="2"/>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32"/>
          <w14:textFill>
            <w14:solidFill>
              <w14:schemeClr w14:val="tx1"/>
            </w14:solidFill>
          </w14:textFill>
        </w:rPr>
        <w:t>商务技术响应文件相关格式</w:t>
      </w:r>
    </w:p>
    <w:p w14:paraId="708DA092">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bookmarkStart w:id="36" w:name="_Hlk89675716"/>
      <w:r>
        <w:rPr>
          <w:rFonts w:hint="eastAsia" w:ascii="仿宋" w:hAnsi="仿宋" w:eastAsia="仿宋" w:cs="仿宋"/>
          <w:b/>
          <w:color w:val="000000" w:themeColor="text1"/>
          <w:sz w:val="28"/>
          <w:szCs w:val="28"/>
          <w14:textFill>
            <w14:solidFill>
              <w14:schemeClr w14:val="tx1"/>
            </w14:solidFill>
          </w14:textFill>
        </w:rPr>
        <w:t>1.比选响应函（格式不得变动）</w:t>
      </w:r>
    </w:p>
    <w:p w14:paraId="0455F615">
      <w:pPr>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南通市交通运输综合行政执法支队：</w:t>
      </w:r>
    </w:p>
    <w:p w14:paraId="70CE2C9D">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依据贵单位组织的</w:t>
      </w:r>
      <w:r>
        <w:rPr>
          <w:rFonts w:hint="eastAsia" w:ascii="仿宋" w:hAnsi="仿宋" w:eastAsia="仿宋" w:cs="仿宋"/>
          <w:color w:val="000000" w:themeColor="text1"/>
          <w:sz w:val="28"/>
          <w:szCs w:val="28"/>
          <w:u w:val="single"/>
          <w14:textFill>
            <w14:solidFill>
              <w14:schemeClr w14:val="tx1"/>
            </w14:solidFill>
          </w14:textFill>
        </w:rPr>
        <w:t>（比选项目名称)</w:t>
      </w:r>
      <w:r>
        <w:rPr>
          <w:rFonts w:hint="eastAsia" w:ascii="仿宋" w:hAnsi="仿宋" w:eastAsia="仿宋" w:cs="仿宋"/>
          <w:color w:val="000000" w:themeColor="text1"/>
          <w:sz w:val="28"/>
          <w:szCs w:val="28"/>
          <w14:textFill>
            <w14:solidFill>
              <w14:schemeClr w14:val="tx1"/>
            </w14:solidFill>
          </w14:textFill>
        </w:rPr>
        <w:t>项目比选的邀请，我方授权</w:t>
      </w:r>
      <w:r>
        <w:rPr>
          <w:rFonts w:hint="eastAsia" w:ascii="仿宋" w:hAnsi="仿宋" w:eastAsia="仿宋" w:cs="仿宋"/>
          <w:color w:val="000000" w:themeColor="text1"/>
          <w:sz w:val="28"/>
          <w:szCs w:val="28"/>
          <w:u w:val="single"/>
          <w14:textFill>
            <w14:solidFill>
              <w14:schemeClr w14:val="tx1"/>
            </w14:solidFill>
          </w14:textFill>
        </w:rPr>
        <w:t>（姓名）（职务）</w:t>
      </w:r>
      <w:r>
        <w:rPr>
          <w:rFonts w:hint="eastAsia" w:ascii="仿宋" w:hAnsi="仿宋" w:eastAsia="仿宋" w:cs="仿宋"/>
          <w:color w:val="000000" w:themeColor="text1"/>
          <w:sz w:val="28"/>
          <w:szCs w:val="28"/>
          <w14:textFill>
            <w14:solidFill>
              <w14:schemeClr w14:val="tx1"/>
            </w14:solidFill>
          </w14:textFill>
        </w:rPr>
        <w:t>为全权代表参加该项目的比选工作，全权处理本次比选的有关事宜。同时，我公司声明如下：</w:t>
      </w:r>
    </w:p>
    <w:p w14:paraId="30926A96">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1.同意并接受比选文件的各项要求，遵守比选文件中的各项规定，按比选文件的要求提供报价。</w:t>
      </w:r>
    </w:p>
    <w:p w14:paraId="7C0FD787">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2.我公司已经详细阅读了比选文件的全部内容，我方已完全清晰理解比选文件的要求，不存在任何含糊不清和误解之处，同意放弃对比选文件所表述的内容提出异议和质疑的权利。</w:t>
      </w:r>
    </w:p>
    <w:p w14:paraId="06CC4A7C">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3.我公司已毫无保留地向贵方提供一切所需的证明材料。</w:t>
      </w:r>
    </w:p>
    <w:p w14:paraId="66523503">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4.我公司承诺在本次比选响应中提供的一切文件，无论是原件还是复印件均真实有效，绝无任何虚假、伪造和夸大</w:t>
      </w:r>
      <w:r>
        <w:rPr>
          <w:rFonts w:hint="eastAsia" w:ascii="仿宋" w:hAnsi="仿宋" w:eastAsia="仿宋" w:cs="仿宋"/>
          <w:color w:val="000000" w:themeColor="text1"/>
          <w:sz w:val="28"/>
          <w:szCs w:val="28"/>
          <w:lang w:eastAsia="zh-CN"/>
          <w14:textFill>
            <w14:solidFill>
              <w14:schemeClr w14:val="tx1"/>
            </w14:solidFill>
          </w14:textFill>
        </w:rPr>
        <w:t>的成分</w:t>
      </w:r>
      <w:r>
        <w:rPr>
          <w:rFonts w:hint="eastAsia" w:ascii="仿宋" w:hAnsi="仿宋" w:eastAsia="仿宋" w:cs="仿宋"/>
          <w:color w:val="000000" w:themeColor="text1"/>
          <w:sz w:val="28"/>
          <w:szCs w:val="28"/>
          <w14:textFill>
            <w14:solidFill>
              <w14:schemeClr w14:val="tx1"/>
            </w14:solidFill>
          </w14:textFill>
        </w:rPr>
        <w:t>。否则，愿承担相应的后果和法律责任。</w:t>
      </w:r>
    </w:p>
    <w:p w14:paraId="7AC8963E">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我公司尊重比选小组所作的评定结果，同时清楚理解到报价最低并非意味着必定获得成交资格。</w:t>
      </w:r>
    </w:p>
    <w:p w14:paraId="7C38C6C6">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b/>
          <w:color w:val="000000" w:themeColor="text1"/>
          <w:sz w:val="28"/>
          <w:szCs w:val="28"/>
          <w14:textFill>
            <w14:solidFill>
              <w14:schemeClr w14:val="tx1"/>
            </w14:solidFill>
          </w14:textFill>
        </w:rPr>
        <w:t>一旦成交，我方将根据比选文件的规定，严格履行合同规定的责任和义务，并保证在比选文件中规定的时间期限内完成合同项目。</w:t>
      </w:r>
    </w:p>
    <w:p w14:paraId="292E9CAE">
      <w:pPr>
        <w:snapToGrid w:val="0"/>
        <w:spacing w:line="360" w:lineRule="auto"/>
        <w:ind w:firstLine="560" w:firstLineChars="2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供应商名称（盖章）：</w:t>
      </w:r>
    </w:p>
    <w:p w14:paraId="7C3D97B3">
      <w:pPr>
        <w:snapToGrid w:val="0"/>
        <w:spacing w:line="360" w:lineRule="auto"/>
        <w:ind w:firstLine="560" w:firstLineChars="2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w:t>
      </w:r>
      <w:bookmarkStart w:id="37" w:name="_GoBack"/>
      <w:bookmarkEnd w:id="37"/>
      <w:r>
        <w:rPr>
          <w:rFonts w:hint="eastAsia" w:ascii="仿宋" w:hAnsi="仿宋" w:eastAsia="仿宋" w:cs="仿宋"/>
          <w:color w:val="000000" w:themeColor="text1"/>
          <w:sz w:val="28"/>
          <w:szCs w:val="28"/>
          <w14:textFill>
            <w14:solidFill>
              <w14:schemeClr w14:val="tx1"/>
            </w14:solidFill>
          </w14:textFill>
        </w:rPr>
        <w:t>委托人（签字或盖章）：</w:t>
      </w:r>
    </w:p>
    <w:p w14:paraId="61F19BB8">
      <w:pPr>
        <w:pStyle w:val="2"/>
        <w:ind w:firstLine="6480" w:firstLineChars="270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日期：</w:t>
      </w:r>
    </w:p>
    <w:p w14:paraId="0CEFDF0D">
      <w:pPr>
        <w:pStyle w:val="20"/>
        <w:widowControl/>
        <w:rPr>
          <w:rFonts w:hint="eastAsia" w:ascii="仿宋" w:hAnsi="仿宋" w:eastAsia="仿宋" w:cs="仿宋"/>
          <w:color w:val="000000" w:themeColor="text1"/>
          <w:sz w:val="28"/>
          <w:szCs w:val="28"/>
          <w:lang w:eastAsia="zh-CN"/>
          <w14:textFill>
            <w14:solidFill>
              <w14:schemeClr w14:val="tx1"/>
            </w14:solidFill>
          </w14:textFill>
        </w:rPr>
      </w:pPr>
    </w:p>
    <w:p w14:paraId="694CBD34">
      <w:pPr>
        <w:pStyle w:val="19"/>
        <w:snapToGrid w:val="0"/>
        <w:spacing w:line="300" w:lineRule="auto"/>
        <w:ind w:firstLine="562" w:firstLineChars="200"/>
        <w:jc w:val="center"/>
        <w:rPr>
          <w:rFonts w:hint="eastAsia" w:ascii="仿宋" w:hAnsi="仿宋" w:eastAsia="仿宋" w:cs="宋体"/>
          <w:b/>
          <w:color w:val="000000" w:themeColor="text1"/>
          <w:sz w:val="28"/>
          <w14:textFill>
            <w14:solidFill>
              <w14:schemeClr w14:val="tx1"/>
            </w14:solidFill>
          </w14:textFill>
        </w:rPr>
      </w:pPr>
    </w:p>
    <w:p w14:paraId="400358AB">
      <w:pPr>
        <w:pStyle w:val="19"/>
        <w:snapToGrid w:val="0"/>
        <w:spacing w:line="300" w:lineRule="auto"/>
        <w:ind w:firstLine="562" w:firstLineChars="200"/>
        <w:jc w:val="center"/>
        <w:rPr>
          <w:rFonts w:hint="eastAsia" w:ascii="仿宋" w:hAnsi="仿宋" w:eastAsia="仿宋" w:cs="宋体"/>
          <w:b/>
          <w:color w:val="000000" w:themeColor="text1"/>
          <w:sz w:val="28"/>
          <w14:textFill>
            <w14:solidFill>
              <w14:schemeClr w14:val="tx1"/>
            </w14:solidFill>
          </w14:textFill>
        </w:rPr>
      </w:pPr>
    </w:p>
    <w:p w14:paraId="5B6D7DB9">
      <w:pPr>
        <w:pStyle w:val="19"/>
        <w:snapToGrid w:val="0"/>
        <w:spacing w:line="300" w:lineRule="auto"/>
        <w:ind w:firstLine="0" w:firstLineChars="0"/>
        <w:rPr>
          <w:rFonts w:hint="eastAsia" w:ascii="仿宋" w:hAnsi="仿宋" w:eastAsia="仿宋" w:cs="宋体"/>
          <w:b/>
          <w:color w:val="000000" w:themeColor="text1"/>
          <w:sz w:val="28"/>
          <w14:textFill>
            <w14:solidFill>
              <w14:schemeClr w14:val="tx1"/>
            </w14:solidFill>
          </w14:textFill>
        </w:rPr>
      </w:pPr>
    </w:p>
    <w:p w14:paraId="4EDF2720">
      <w:pPr>
        <w:pBdr>
          <w:top w:val="none" w:color="000000" w:sz="0" w:space="0"/>
          <w:left w:val="none" w:color="000000" w:sz="0" w:space="0"/>
          <w:bottom w:val="none" w:color="000000" w:sz="0" w:space="0"/>
          <w:right w:val="none" w:color="000000" w:sz="0" w:space="0"/>
        </w:pBdr>
        <w:spacing w:line="419" w:lineRule="atLeast"/>
        <w:ind w:firstLine="420"/>
        <w:jc w:val="center"/>
        <w:rPr>
          <w:rFonts w:hint="eastAsia" w:ascii="仿宋" w:hAnsi="仿宋" w:eastAsia="仿宋"/>
          <w:kern w:val="0"/>
          <w:szCs w:val="20"/>
        </w:rPr>
      </w:pPr>
      <w:r>
        <w:rPr>
          <w:rFonts w:ascii="仿宋" w:hAnsi="仿宋" w:eastAsia="仿宋" w:cs="宋体"/>
          <w:b/>
          <w:color w:val="000000"/>
          <w:kern w:val="0"/>
          <w:sz w:val="24"/>
          <w:szCs w:val="20"/>
        </w:rPr>
        <w:t>技术</w:t>
      </w:r>
      <w:r>
        <w:rPr>
          <w:rFonts w:hint="eastAsia" w:ascii="仿宋" w:hAnsi="仿宋" w:eastAsia="仿宋" w:cs="宋体"/>
          <w:b/>
          <w:color w:val="000000"/>
          <w:kern w:val="0"/>
          <w:sz w:val="24"/>
          <w:szCs w:val="20"/>
        </w:rPr>
        <w:t>商务</w:t>
      </w:r>
      <w:r>
        <w:rPr>
          <w:rFonts w:ascii="仿宋" w:hAnsi="仿宋" w:eastAsia="仿宋" w:cs="宋体"/>
          <w:b/>
          <w:color w:val="000000"/>
          <w:kern w:val="0"/>
          <w:sz w:val="24"/>
          <w:szCs w:val="20"/>
        </w:rPr>
        <w:t>部分正负偏离表</w:t>
      </w:r>
    </w:p>
    <w:p w14:paraId="61ECCE11">
      <w:pPr>
        <w:pBdr>
          <w:top w:val="none" w:color="000000" w:sz="0" w:space="0"/>
          <w:left w:val="none" w:color="000000" w:sz="0" w:space="0"/>
          <w:bottom w:val="none" w:color="000000" w:sz="0" w:space="0"/>
          <w:right w:val="none" w:color="000000" w:sz="0" w:space="0"/>
        </w:pBdr>
        <w:ind w:firstLine="480"/>
        <w:jc w:val="center"/>
        <w:rPr>
          <w:rFonts w:hint="eastAsia" w:ascii="仿宋" w:hAnsi="仿宋" w:eastAsia="仿宋"/>
          <w:kern w:val="0"/>
          <w:szCs w:val="20"/>
        </w:rPr>
      </w:pPr>
      <w:r>
        <w:rPr>
          <w:rFonts w:ascii="仿宋" w:hAnsi="仿宋" w:eastAsia="仿宋" w:cs="宋体"/>
          <w:color w:val="000000"/>
          <w:kern w:val="0"/>
          <w:sz w:val="24"/>
          <w:szCs w:val="20"/>
        </w:rPr>
        <w:t>（由供应商据实提交，表格不够自行添加）</w:t>
      </w:r>
    </w:p>
    <w:p w14:paraId="54AA3B0A">
      <w:pPr>
        <w:pBdr>
          <w:top w:val="none" w:color="000000" w:sz="0" w:space="0"/>
          <w:left w:val="none" w:color="000000" w:sz="0" w:space="0"/>
          <w:bottom w:val="none" w:color="000000" w:sz="0" w:space="0"/>
          <w:right w:val="none" w:color="000000" w:sz="0" w:space="0"/>
        </w:pBdr>
        <w:spacing w:line="320" w:lineRule="atLeast"/>
        <w:ind w:firstLine="480"/>
        <w:rPr>
          <w:rFonts w:hint="eastAsia" w:ascii="仿宋" w:hAnsi="仿宋" w:eastAsia="仿宋"/>
          <w:kern w:val="0"/>
          <w:szCs w:val="20"/>
        </w:rPr>
      </w:pPr>
      <w:r>
        <w:rPr>
          <w:rFonts w:ascii="仿宋" w:hAnsi="仿宋" w:eastAsia="仿宋" w:cs="宋体"/>
          <w:color w:val="000000"/>
          <w:kern w:val="0"/>
          <w:sz w:val="24"/>
          <w:szCs w:val="20"/>
        </w:rPr>
        <w:t>项目名称：</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751"/>
        <w:gridCol w:w="1236"/>
        <w:gridCol w:w="2492"/>
        <w:gridCol w:w="2504"/>
        <w:gridCol w:w="1337"/>
      </w:tblGrid>
      <w:tr w14:paraId="5F42225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668"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14:paraId="21A7D8CF">
            <w:pPr>
              <w:pBdr>
                <w:top w:val="none" w:color="000000" w:sz="0" w:space="0"/>
                <w:left w:val="none" w:color="000000" w:sz="0" w:space="0"/>
                <w:bottom w:val="none" w:color="000000" w:sz="0" w:space="0"/>
                <w:right w:val="none" w:color="000000" w:sz="0" w:space="0"/>
              </w:pBdr>
              <w:spacing w:line="340" w:lineRule="atLeast"/>
              <w:rPr>
                <w:rFonts w:hint="eastAsia" w:ascii="仿宋" w:hAnsi="仿宋" w:eastAsia="仿宋"/>
                <w:kern w:val="0"/>
                <w:szCs w:val="22"/>
              </w:rPr>
            </w:pPr>
            <w:r>
              <w:rPr>
                <w:rFonts w:ascii="仿宋" w:hAnsi="仿宋" w:eastAsia="仿宋" w:cs="宋体"/>
                <w:color w:val="000000"/>
                <w:kern w:val="0"/>
                <w:sz w:val="24"/>
                <w:szCs w:val="22"/>
              </w:rPr>
              <w:t>序号</w:t>
            </w:r>
          </w:p>
        </w:tc>
        <w:tc>
          <w:tcPr>
            <w:tcW w:w="123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3F353F70">
            <w:pPr>
              <w:pBdr>
                <w:top w:val="none" w:color="000000" w:sz="0" w:space="0"/>
                <w:left w:val="none" w:color="000000" w:sz="0" w:space="0"/>
                <w:bottom w:val="none" w:color="000000" w:sz="0" w:space="0"/>
                <w:right w:val="none" w:color="000000" w:sz="0" w:space="0"/>
              </w:pBdr>
              <w:spacing w:line="340" w:lineRule="atLeast"/>
              <w:ind w:firstLine="480"/>
              <w:rPr>
                <w:rFonts w:hint="eastAsia" w:ascii="仿宋" w:hAnsi="仿宋" w:eastAsia="仿宋"/>
                <w:kern w:val="0"/>
                <w:szCs w:val="22"/>
              </w:rPr>
            </w:pPr>
            <w:r>
              <w:rPr>
                <w:rFonts w:ascii="仿宋" w:hAnsi="仿宋" w:eastAsia="仿宋" w:cs="宋体"/>
                <w:color w:val="000000"/>
                <w:kern w:val="0"/>
                <w:sz w:val="24"/>
                <w:szCs w:val="22"/>
              </w:rPr>
              <w:t>项目</w:t>
            </w:r>
          </w:p>
        </w:tc>
        <w:tc>
          <w:tcPr>
            <w:tcW w:w="2492"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78CF750A">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hint="eastAsia" w:ascii="仿宋" w:hAnsi="仿宋" w:eastAsia="仿宋" w:cs="宋体"/>
                <w:color w:val="000000"/>
                <w:kern w:val="0"/>
                <w:sz w:val="24"/>
                <w:szCs w:val="22"/>
              </w:rPr>
              <w:t>采购</w:t>
            </w:r>
            <w:r>
              <w:rPr>
                <w:rFonts w:ascii="仿宋" w:hAnsi="仿宋" w:eastAsia="仿宋" w:cs="宋体"/>
                <w:color w:val="000000"/>
                <w:kern w:val="0"/>
                <w:sz w:val="24"/>
                <w:szCs w:val="22"/>
              </w:rPr>
              <w:t>文件要求</w:t>
            </w:r>
          </w:p>
        </w:tc>
        <w:tc>
          <w:tcPr>
            <w:tcW w:w="2504"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49C9FA2B">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仿宋" w:hAnsi="仿宋" w:eastAsia="仿宋" w:cs="宋体"/>
                <w:color w:val="000000"/>
                <w:kern w:val="0"/>
                <w:sz w:val="24"/>
                <w:szCs w:val="22"/>
              </w:rPr>
              <w:t>响应文件响应情况</w:t>
            </w:r>
          </w:p>
        </w:tc>
        <w:tc>
          <w:tcPr>
            <w:tcW w:w="1337"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14:paraId="648F0F12">
            <w:pPr>
              <w:pBdr>
                <w:top w:val="none" w:color="000000" w:sz="0" w:space="0"/>
                <w:left w:val="none" w:color="000000" w:sz="0" w:space="0"/>
                <w:bottom w:val="none" w:color="000000" w:sz="0" w:space="0"/>
                <w:right w:val="none" w:color="000000" w:sz="0" w:space="0"/>
              </w:pBdr>
              <w:spacing w:line="340" w:lineRule="atLeast"/>
              <w:rPr>
                <w:rFonts w:hint="eastAsia" w:ascii="仿宋" w:hAnsi="仿宋" w:eastAsia="仿宋"/>
                <w:kern w:val="0"/>
                <w:szCs w:val="22"/>
              </w:rPr>
            </w:pPr>
            <w:r>
              <w:rPr>
                <w:rFonts w:ascii="仿宋" w:hAnsi="仿宋" w:eastAsia="仿宋" w:cs="宋体"/>
                <w:color w:val="000000"/>
                <w:kern w:val="0"/>
                <w:sz w:val="24"/>
                <w:szCs w:val="22"/>
              </w:rPr>
              <w:t>偏离说明</w:t>
            </w:r>
          </w:p>
        </w:tc>
      </w:tr>
      <w:tr w14:paraId="0749BAB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668"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14:paraId="072D6185">
            <w:pPr>
              <w:pBdr>
                <w:top w:val="none" w:color="000000" w:sz="0" w:space="0"/>
                <w:left w:val="none" w:color="000000" w:sz="0" w:space="0"/>
                <w:bottom w:val="none" w:color="000000" w:sz="0" w:space="0"/>
                <w:right w:val="none" w:color="000000" w:sz="0" w:space="0"/>
              </w:pBdr>
              <w:spacing w:line="340" w:lineRule="atLeast"/>
              <w:ind w:firstLine="240"/>
              <w:rPr>
                <w:rFonts w:hint="eastAsia" w:ascii="仿宋" w:hAnsi="仿宋" w:eastAsia="仿宋"/>
                <w:kern w:val="0"/>
                <w:szCs w:val="22"/>
              </w:rPr>
            </w:pPr>
            <w:r>
              <w:rPr>
                <w:rFonts w:ascii="仿宋" w:hAnsi="仿宋" w:eastAsia="仿宋"/>
                <w:color w:val="000000"/>
                <w:kern w:val="0"/>
                <w:sz w:val="24"/>
                <w:szCs w:val="22"/>
              </w:rPr>
              <w:t>1</w:t>
            </w:r>
          </w:p>
        </w:tc>
        <w:tc>
          <w:tcPr>
            <w:tcW w:w="123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302D7F9">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244F30">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EFEB549">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8" w:space="0"/>
              <w:right w:val="single" w:color="000000" w:sz="12" w:space="0"/>
            </w:tcBorders>
            <w:tcMar>
              <w:top w:w="0" w:type="dxa"/>
              <w:left w:w="108" w:type="dxa"/>
              <w:bottom w:w="0" w:type="dxa"/>
              <w:right w:w="108" w:type="dxa"/>
            </w:tcMar>
            <w:vAlign w:val="center"/>
          </w:tcPr>
          <w:p w14:paraId="4C7D8AFC">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r w14:paraId="50EF9F5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668"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14:paraId="328DD2A8">
            <w:pPr>
              <w:pBdr>
                <w:top w:val="none" w:color="000000" w:sz="0" w:space="0"/>
                <w:left w:val="none" w:color="000000" w:sz="0" w:space="0"/>
                <w:bottom w:val="none" w:color="000000" w:sz="0" w:space="0"/>
                <w:right w:val="none" w:color="000000" w:sz="0" w:space="0"/>
              </w:pBdr>
              <w:spacing w:line="340" w:lineRule="atLeast"/>
              <w:ind w:firstLine="240"/>
              <w:rPr>
                <w:rFonts w:hint="eastAsia" w:ascii="仿宋" w:hAnsi="仿宋" w:eastAsia="仿宋"/>
                <w:kern w:val="0"/>
                <w:szCs w:val="22"/>
              </w:rPr>
            </w:pPr>
            <w:r>
              <w:rPr>
                <w:rFonts w:ascii="仿宋" w:hAnsi="仿宋" w:eastAsia="仿宋"/>
                <w:color w:val="000000"/>
                <w:kern w:val="0"/>
                <w:sz w:val="24"/>
                <w:szCs w:val="22"/>
              </w:rPr>
              <w:t>2</w:t>
            </w:r>
          </w:p>
        </w:tc>
        <w:tc>
          <w:tcPr>
            <w:tcW w:w="123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D74363">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E40E3F7">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A763AA6">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8" w:space="0"/>
              <w:right w:val="single" w:color="000000" w:sz="12" w:space="0"/>
            </w:tcBorders>
            <w:tcMar>
              <w:top w:w="0" w:type="dxa"/>
              <w:left w:w="108" w:type="dxa"/>
              <w:bottom w:w="0" w:type="dxa"/>
              <w:right w:w="108" w:type="dxa"/>
            </w:tcMar>
            <w:vAlign w:val="center"/>
          </w:tcPr>
          <w:p w14:paraId="74B4A374">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r w14:paraId="496AD11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668"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14:paraId="13C08C5F">
            <w:pPr>
              <w:pBdr>
                <w:top w:val="none" w:color="000000" w:sz="0" w:space="0"/>
                <w:left w:val="none" w:color="000000" w:sz="0" w:space="0"/>
                <w:bottom w:val="none" w:color="000000" w:sz="0" w:space="0"/>
                <w:right w:val="none" w:color="000000" w:sz="0" w:space="0"/>
              </w:pBdr>
              <w:spacing w:line="340" w:lineRule="atLeast"/>
              <w:ind w:firstLine="240"/>
              <w:rPr>
                <w:rFonts w:hint="eastAsia" w:ascii="仿宋" w:hAnsi="仿宋" w:eastAsia="仿宋"/>
                <w:kern w:val="0"/>
                <w:szCs w:val="22"/>
              </w:rPr>
            </w:pPr>
            <w:r>
              <w:rPr>
                <w:rFonts w:ascii="仿宋" w:hAnsi="仿宋" w:eastAsia="仿宋"/>
                <w:color w:val="000000"/>
                <w:kern w:val="0"/>
                <w:sz w:val="24"/>
                <w:szCs w:val="22"/>
              </w:rPr>
              <w:t>3</w:t>
            </w:r>
          </w:p>
        </w:tc>
        <w:tc>
          <w:tcPr>
            <w:tcW w:w="123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CD5E217">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4F746F">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7328544">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8" w:space="0"/>
              <w:right w:val="single" w:color="000000" w:sz="12" w:space="0"/>
            </w:tcBorders>
            <w:tcMar>
              <w:top w:w="0" w:type="dxa"/>
              <w:left w:w="108" w:type="dxa"/>
              <w:bottom w:w="0" w:type="dxa"/>
              <w:right w:w="108" w:type="dxa"/>
            </w:tcMar>
            <w:vAlign w:val="center"/>
          </w:tcPr>
          <w:p w14:paraId="782F4B5B">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r w14:paraId="1725333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4" w:hRule="atLeast"/>
        </w:trPr>
        <w:tc>
          <w:tcPr>
            <w:tcW w:w="668"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14:paraId="21E4B3C8">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23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DD1B142">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08A1442">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C37F54D">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8" w:space="0"/>
              <w:right w:val="single" w:color="000000" w:sz="12" w:space="0"/>
            </w:tcBorders>
            <w:tcMar>
              <w:top w:w="0" w:type="dxa"/>
              <w:left w:w="108" w:type="dxa"/>
              <w:bottom w:w="0" w:type="dxa"/>
              <w:right w:w="108" w:type="dxa"/>
            </w:tcMar>
            <w:vAlign w:val="center"/>
          </w:tcPr>
          <w:p w14:paraId="69CA7631">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r w14:paraId="3AE1185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4" w:hRule="atLeast"/>
        </w:trPr>
        <w:tc>
          <w:tcPr>
            <w:tcW w:w="668"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14:paraId="092B3AD3">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236"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5A7C62B4">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70E37A1D">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61D0ABDC">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12" w:space="0"/>
              <w:right w:val="single" w:color="000000" w:sz="12" w:space="0"/>
            </w:tcBorders>
            <w:tcMar>
              <w:top w:w="0" w:type="dxa"/>
              <w:left w:w="108" w:type="dxa"/>
              <w:bottom w:w="0" w:type="dxa"/>
              <w:right w:w="108" w:type="dxa"/>
            </w:tcMar>
            <w:vAlign w:val="center"/>
          </w:tcPr>
          <w:p w14:paraId="1D5E048B">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bl>
    <w:p w14:paraId="6870C01D">
      <w:pPr>
        <w:pBdr>
          <w:top w:val="none" w:color="000000" w:sz="0" w:space="0"/>
          <w:left w:val="none" w:color="000000" w:sz="0" w:space="0"/>
          <w:bottom w:val="none" w:color="000000" w:sz="0" w:space="0"/>
          <w:right w:val="none" w:color="000000" w:sz="0" w:space="0"/>
        </w:pBdr>
        <w:spacing w:line="259" w:lineRule="atLeast"/>
        <w:ind w:firstLine="480"/>
        <w:rPr>
          <w:rFonts w:hint="eastAsia" w:ascii="仿宋" w:hAnsi="仿宋" w:eastAsia="仿宋"/>
          <w:kern w:val="0"/>
          <w:szCs w:val="20"/>
        </w:rPr>
      </w:pPr>
      <w:r>
        <w:rPr>
          <w:rFonts w:ascii="Calibri" w:hAnsi="Calibri" w:eastAsia="仿宋" w:cs="Calibri"/>
          <w:color w:val="000000"/>
          <w:kern w:val="0"/>
          <w:sz w:val="24"/>
          <w:szCs w:val="20"/>
          <w:u w:val="single"/>
        </w:rPr>
        <w:t> </w:t>
      </w:r>
    </w:p>
    <w:p w14:paraId="4886FCF0">
      <w:pPr>
        <w:pBdr>
          <w:top w:val="none" w:color="000000" w:sz="0" w:space="0"/>
          <w:left w:val="none" w:color="000000" w:sz="0" w:space="0"/>
          <w:bottom w:val="none" w:color="000000" w:sz="0" w:space="0"/>
          <w:right w:val="none" w:color="000000" w:sz="0" w:space="0"/>
        </w:pBdr>
        <w:spacing w:after="120"/>
        <w:ind w:firstLine="4320"/>
        <w:rPr>
          <w:rFonts w:hint="eastAsia" w:ascii="仿宋" w:hAnsi="仿宋" w:eastAsia="仿宋"/>
          <w:kern w:val="0"/>
          <w:szCs w:val="20"/>
        </w:rPr>
      </w:pPr>
      <w:r>
        <w:rPr>
          <w:rFonts w:ascii="仿宋" w:hAnsi="仿宋" w:eastAsia="仿宋" w:cs="宋体"/>
          <w:color w:val="000000"/>
          <w:kern w:val="0"/>
          <w:sz w:val="24"/>
          <w:szCs w:val="20"/>
        </w:rPr>
        <w:t>供应商名称：（加盖公章）</w:t>
      </w:r>
    </w:p>
    <w:p w14:paraId="7DA26C4F">
      <w:pPr>
        <w:pBdr>
          <w:top w:val="none" w:color="000000" w:sz="0" w:space="0"/>
          <w:left w:val="none" w:color="000000" w:sz="0" w:space="0"/>
          <w:bottom w:val="none" w:color="000000" w:sz="0" w:space="0"/>
          <w:right w:val="none" w:color="000000" w:sz="0" w:space="0"/>
        </w:pBdr>
        <w:ind w:firstLine="3120"/>
        <w:rPr>
          <w:rFonts w:hint="eastAsia" w:ascii="仿宋" w:hAnsi="仿宋" w:eastAsia="仿宋"/>
          <w:kern w:val="0"/>
          <w:szCs w:val="20"/>
        </w:rPr>
      </w:pPr>
      <w:r>
        <w:rPr>
          <w:rFonts w:ascii="仿宋" w:hAnsi="仿宋" w:eastAsia="仿宋" w:cs="宋体"/>
          <w:color w:val="000000"/>
          <w:kern w:val="0"/>
          <w:sz w:val="24"/>
          <w:szCs w:val="20"/>
        </w:rPr>
        <w:t>法定代表人或被授权人：（签字或盖章）</w:t>
      </w:r>
    </w:p>
    <w:p w14:paraId="5B220CD5">
      <w:pPr>
        <w:pBdr>
          <w:top w:val="none" w:color="000000" w:sz="0" w:space="0"/>
          <w:left w:val="none" w:color="000000" w:sz="0" w:space="0"/>
          <w:bottom w:val="none" w:color="000000" w:sz="0" w:space="0"/>
          <w:right w:val="none" w:color="000000" w:sz="0" w:space="0"/>
        </w:pBdr>
        <w:spacing w:line="519" w:lineRule="atLeast"/>
        <w:ind w:firstLine="5040"/>
        <w:rPr>
          <w:rFonts w:hint="eastAsia" w:ascii="仿宋" w:hAnsi="仿宋" w:eastAsia="仿宋"/>
          <w:kern w:val="0"/>
          <w:szCs w:val="20"/>
        </w:rPr>
      </w:pPr>
      <w:r>
        <w:rPr>
          <w:rFonts w:ascii="仿宋" w:hAnsi="仿宋" w:eastAsia="仿宋" w:cs="宋体"/>
          <w:color w:val="000000"/>
          <w:kern w:val="0"/>
          <w:sz w:val="24"/>
          <w:szCs w:val="20"/>
        </w:rPr>
        <w:t>日期：</w:t>
      </w:r>
    </w:p>
    <w:p w14:paraId="44532437">
      <w:pPr>
        <w:pBdr>
          <w:top w:val="none" w:color="000000" w:sz="0" w:space="0"/>
          <w:left w:val="none" w:color="000000" w:sz="0" w:space="0"/>
          <w:bottom w:val="none" w:color="000000" w:sz="0" w:space="0"/>
          <w:right w:val="none" w:color="000000" w:sz="0" w:space="0"/>
        </w:pBdr>
        <w:spacing w:line="71" w:lineRule="atLeast"/>
        <w:ind w:firstLine="482"/>
        <w:rPr>
          <w:rFonts w:hint="eastAsia" w:ascii="仿宋" w:hAnsi="仿宋" w:eastAsia="仿宋"/>
          <w:kern w:val="0"/>
          <w:szCs w:val="20"/>
        </w:rPr>
      </w:pPr>
      <w:r>
        <w:rPr>
          <w:rFonts w:ascii="仿宋" w:hAnsi="仿宋" w:eastAsia="仿宋" w:cs="宋体"/>
          <w:b/>
          <w:color w:val="000000"/>
          <w:kern w:val="0"/>
          <w:sz w:val="24"/>
          <w:szCs w:val="20"/>
        </w:rPr>
        <w:t>注：</w:t>
      </w:r>
    </w:p>
    <w:p w14:paraId="44A12DD8">
      <w:pPr>
        <w:pBdr>
          <w:top w:val="none" w:color="000000" w:sz="0" w:space="0"/>
          <w:left w:val="none" w:color="000000" w:sz="0" w:space="0"/>
          <w:bottom w:val="none" w:color="000000" w:sz="0" w:space="0"/>
          <w:right w:val="none" w:color="000000" w:sz="0" w:space="0"/>
        </w:pBdr>
        <w:spacing w:line="71" w:lineRule="atLeast"/>
        <w:ind w:firstLine="480"/>
        <w:rPr>
          <w:rFonts w:hint="eastAsia" w:ascii="仿宋" w:hAnsi="仿宋" w:eastAsia="仿宋"/>
          <w:kern w:val="0"/>
          <w:szCs w:val="20"/>
        </w:rPr>
      </w:pPr>
      <w:r>
        <w:rPr>
          <w:rFonts w:ascii="仿宋" w:hAnsi="仿宋" w:eastAsia="仿宋"/>
          <w:color w:val="000000"/>
          <w:kern w:val="0"/>
          <w:sz w:val="24"/>
          <w:szCs w:val="20"/>
        </w:rPr>
        <w:t>1</w:t>
      </w:r>
      <w:r>
        <w:rPr>
          <w:rFonts w:ascii="仿宋" w:hAnsi="仿宋" w:eastAsia="仿宋" w:cs="宋体"/>
          <w:b/>
          <w:color w:val="000000"/>
          <w:kern w:val="0"/>
          <w:sz w:val="24"/>
          <w:szCs w:val="20"/>
        </w:rPr>
        <w:t>、</w:t>
      </w:r>
      <w:r>
        <w:rPr>
          <w:rFonts w:ascii="仿宋" w:hAnsi="仿宋" w:eastAsia="仿宋" w:cs="宋体"/>
          <w:color w:val="000000"/>
          <w:kern w:val="0"/>
          <w:sz w:val="24"/>
          <w:szCs w:val="20"/>
        </w:rPr>
        <w:t>供应商提交的响应文件中与</w:t>
      </w:r>
      <w:r>
        <w:rPr>
          <w:rFonts w:hint="eastAsia" w:ascii="仿宋" w:hAnsi="仿宋" w:eastAsia="仿宋" w:cs="宋体"/>
          <w:color w:val="000000"/>
          <w:kern w:val="0"/>
          <w:sz w:val="24"/>
          <w:szCs w:val="20"/>
        </w:rPr>
        <w:t>采购</w:t>
      </w:r>
      <w:r>
        <w:rPr>
          <w:rFonts w:ascii="仿宋" w:hAnsi="仿宋" w:eastAsia="仿宋" w:cs="宋体"/>
          <w:color w:val="000000"/>
          <w:kern w:val="0"/>
          <w:sz w:val="24"/>
          <w:szCs w:val="20"/>
        </w:rPr>
        <w:t>文件第三部分</w:t>
      </w:r>
      <w:r>
        <w:rPr>
          <w:rFonts w:ascii="仿宋" w:hAnsi="仿宋" w:eastAsia="仿宋"/>
          <w:color w:val="000000"/>
          <w:kern w:val="0"/>
          <w:sz w:val="24"/>
          <w:szCs w:val="20"/>
        </w:rPr>
        <w:t>“</w:t>
      </w:r>
      <w:r>
        <w:rPr>
          <w:rFonts w:ascii="仿宋" w:hAnsi="仿宋" w:eastAsia="仿宋" w:cs="宋体"/>
          <w:color w:val="000000"/>
          <w:kern w:val="0"/>
          <w:sz w:val="24"/>
          <w:szCs w:val="20"/>
        </w:rPr>
        <w:t>项目需求说明</w:t>
      </w:r>
      <w:r>
        <w:rPr>
          <w:rFonts w:ascii="仿宋" w:hAnsi="仿宋" w:eastAsia="仿宋"/>
          <w:color w:val="000000"/>
          <w:kern w:val="0"/>
          <w:sz w:val="24"/>
          <w:szCs w:val="20"/>
        </w:rPr>
        <w:t>”</w:t>
      </w:r>
      <w:r>
        <w:rPr>
          <w:rFonts w:ascii="仿宋" w:hAnsi="仿宋" w:eastAsia="仿宋" w:cs="宋体"/>
          <w:color w:val="000000"/>
          <w:kern w:val="0"/>
          <w:sz w:val="24"/>
          <w:szCs w:val="20"/>
        </w:rPr>
        <w:t>中的技术部分的要求有不同时，应逐条填列在偏离表中，否则将认为供应商接受磋商文件的所有要求。</w:t>
      </w:r>
    </w:p>
    <w:p w14:paraId="76688577">
      <w:pPr>
        <w:pBdr>
          <w:top w:val="none" w:color="000000" w:sz="0" w:space="0"/>
          <w:left w:val="none" w:color="000000" w:sz="0" w:space="0"/>
          <w:bottom w:val="none" w:color="000000" w:sz="0" w:space="0"/>
          <w:right w:val="none" w:color="000000" w:sz="0" w:space="0"/>
        </w:pBdr>
        <w:spacing w:line="71" w:lineRule="atLeast"/>
        <w:ind w:firstLine="480"/>
        <w:rPr>
          <w:rFonts w:hint="eastAsia" w:ascii="仿宋" w:hAnsi="仿宋" w:eastAsia="仿宋"/>
          <w:kern w:val="0"/>
          <w:szCs w:val="20"/>
        </w:rPr>
      </w:pPr>
      <w:r>
        <w:rPr>
          <w:rFonts w:ascii="仿宋" w:hAnsi="仿宋" w:eastAsia="仿宋"/>
          <w:color w:val="000000"/>
          <w:kern w:val="0"/>
          <w:sz w:val="24"/>
          <w:szCs w:val="20"/>
        </w:rPr>
        <w:t>2</w:t>
      </w:r>
      <w:r>
        <w:rPr>
          <w:rFonts w:ascii="仿宋" w:hAnsi="仿宋" w:eastAsia="仿宋" w:cs="宋体"/>
          <w:color w:val="000000"/>
          <w:kern w:val="0"/>
          <w:sz w:val="24"/>
          <w:szCs w:val="20"/>
        </w:rPr>
        <w:t>、</w:t>
      </w:r>
      <w:r>
        <w:rPr>
          <w:rFonts w:ascii="仿宋" w:hAnsi="仿宋" w:eastAsia="仿宋"/>
          <w:color w:val="000000"/>
          <w:kern w:val="0"/>
          <w:sz w:val="24"/>
          <w:szCs w:val="20"/>
        </w:rPr>
        <w:t>“</w:t>
      </w:r>
      <w:r>
        <w:rPr>
          <w:rFonts w:ascii="仿宋" w:hAnsi="仿宋" w:eastAsia="仿宋" w:cs="宋体"/>
          <w:color w:val="000000"/>
          <w:kern w:val="0"/>
          <w:sz w:val="24"/>
          <w:szCs w:val="20"/>
        </w:rPr>
        <w:t>偏离说明</w:t>
      </w:r>
      <w:r>
        <w:rPr>
          <w:rFonts w:ascii="仿宋" w:hAnsi="仿宋" w:eastAsia="仿宋"/>
          <w:color w:val="000000"/>
          <w:kern w:val="0"/>
          <w:sz w:val="24"/>
          <w:szCs w:val="20"/>
        </w:rPr>
        <w:t>”</w:t>
      </w:r>
      <w:r>
        <w:rPr>
          <w:rFonts w:ascii="仿宋" w:hAnsi="仿宋" w:eastAsia="仿宋" w:cs="宋体"/>
          <w:color w:val="000000"/>
          <w:kern w:val="0"/>
          <w:sz w:val="24"/>
          <w:szCs w:val="20"/>
        </w:rPr>
        <w:t>一栏选择</w:t>
      </w:r>
      <w:r>
        <w:rPr>
          <w:rFonts w:ascii="仿宋" w:hAnsi="仿宋" w:eastAsia="仿宋"/>
          <w:color w:val="000000"/>
          <w:kern w:val="0"/>
          <w:sz w:val="24"/>
          <w:szCs w:val="20"/>
        </w:rPr>
        <w:t>“</w:t>
      </w:r>
      <w:r>
        <w:rPr>
          <w:rFonts w:ascii="仿宋" w:hAnsi="仿宋" w:eastAsia="仿宋" w:cs="宋体"/>
          <w:color w:val="000000"/>
          <w:kern w:val="0"/>
          <w:sz w:val="24"/>
          <w:szCs w:val="20"/>
        </w:rPr>
        <w:t>正偏离</w:t>
      </w:r>
      <w:r>
        <w:rPr>
          <w:rFonts w:ascii="仿宋" w:hAnsi="仿宋" w:eastAsia="仿宋"/>
          <w:color w:val="000000"/>
          <w:kern w:val="0"/>
          <w:sz w:val="24"/>
          <w:szCs w:val="20"/>
        </w:rPr>
        <w:t>”</w:t>
      </w:r>
      <w:r>
        <w:rPr>
          <w:rFonts w:ascii="仿宋" w:hAnsi="仿宋" w:eastAsia="仿宋" w:cs="宋体"/>
          <w:color w:val="000000"/>
          <w:kern w:val="0"/>
          <w:sz w:val="24"/>
          <w:szCs w:val="20"/>
        </w:rPr>
        <w:t>、</w:t>
      </w:r>
      <w:r>
        <w:rPr>
          <w:rFonts w:ascii="仿宋" w:hAnsi="仿宋" w:eastAsia="仿宋"/>
          <w:color w:val="000000"/>
          <w:kern w:val="0"/>
          <w:sz w:val="24"/>
          <w:szCs w:val="20"/>
        </w:rPr>
        <w:t>“</w:t>
      </w:r>
      <w:r>
        <w:rPr>
          <w:rFonts w:ascii="仿宋" w:hAnsi="仿宋" w:eastAsia="仿宋" w:cs="宋体"/>
          <w:color w:val="000000"/>
          <w:kern w:val="0"/>
          <w:sz w:val="24"/>
          <w:szCs w:val="20"/>
        </w:rPr>
        <w:t>负偏离</w:t>
      </w:r>
      <w:r>
        <w:rPr>
          <w:rFonts w:ascii="仿宋" w:hAnsi="仿宋" w:eastAsia="仿宋"/>
          <w:color w:val="000000"/>
          <w:kern w:val="0"/>
          <w:sz w:val="24"/>
          <w:szCs w:val="20"/>
        </w:rPr>
        <w:t>”</w:t>
      </w:r>
      <w:r>
        <w:rPr>
          <w:rFonts w:ascii="仿宋" w:hAnsi="仿宋" w:eastAsia="仿宋" w:cs="宋体"/>
          <w:color w:val="000000"/>
          <w:kern w:val="0"/>
          <w:sz w:val="24"/>
          <w:szCs w:val="20"/>
        </w:rPr>
        <w:t>进行填写。正偏离的确认和负偏离的是否响应磋商文件，经三分之二评委认定。</w:t>
      </w:r>
    </w:p>
    <w:p w14:paraId="22D529CF">
      <w:pPr>
        <w:pBdr>
          <w:top w:val="none" w:color="000000" w:sz="0" w:space="0"/>
          <w:left w:val="none" w:color="000000" w:sz="0" w:space="0"/>
          <w:bottom w:val="none" w:color="000000" w:sz="0" w:space="0"/>
          <w:right w:val="none" w:color="000000" w:sz="0" w:space="0"/>
        </w:pBdr>
        <w:spacing w:line="71" w:lineRule="atLeast"/>
        <w:ind w:firstLine="480"/>
        <w:rPr>
          <w:rFonts w:hint="eastAsia" w:ascii="仿宋" w:hAnsi="仿宋" w:eastAsia="仿宋"/>
          <w:kern w:val="0"/>
          <w:szCs w:val="20"/>
        </w:rPr>
      </w:pPr>
      <w:r>
        <w:rPr>
          <w:rFonts w:ascii="仿宋" w:hAnsi="仿宋" w:eastAsia="仿宋"/>
          <w:color w:val="000000"/>
          <w:kern w:val="0"/>
          <w:sz w:val="24"/>
          <w:szCs w:val="20"/>
        </w:rPr>
        <w:t>3</w:t>
      </w:r>
      <w:r>
        <w:rPr>
          <w:rFonts w:ascii="仿宋" w:hAnsi="仿宋" w:eastAsia="仿宋" w:cs="宋体"/>
          <w:color w:val="000000"/>
          <w:kern w:val="0"/>
          <w:sz w:val="24"/>
          <w:szCs w:val="20"/>
        </w:rPr>
        <w:t>、供应商如果虚假响应，将承担有关责任及风险。</w:t>
      </w:r>
    </w:p>
    <w:p w14:paraId="66B19C2D">
      <w:pPr>
        <w:pBdr>
          <w:top w:val="none" w:color="000000" w:sz="0" w:space="0"/>
          <w:left w:val="none" w:color="000000" w:sz="0" w:space="0"/>
          <w:bottom w:val="none" w:color="000000" w:sz="0" w:space="0"/>
          <w:right w:val="none" w:color="000000" w:sz="0" w:space="0"/>
        </w:pBdr>
        <w:spacing w:line="71" w:lineRule="atLeast"/>
        <w:ind w:firstLine="480"/>
        <w:rPr>
          <w:rFonts w:hint="eastAsia" w:ascii="仿宋" w:hAnsi="仿宋" w:eastAsia="仿宋"/>
          <w:kern w:val="0"/>
          <w:szCs w:val="20"/>
        </w:rPr>
      </w:pPr>
      <w:r>
        <w:rPr>
          <w:rFonts w:ascii="仿宋" w:hAnsi="仿宋" w:eastAsia="仿宋"/>
          <w:color w:val="000000"/>
          <w:kern w:val="0"/>
          <w:sz w:val="24"/>
          <w:szCs w:val="20"/>
        </w:rPr>
        <w:t>4</w:t>
      </w:r>
      <w:r>
        <w:rPr>
          <w:rFonts w:ascii="仿宋" w:hAnsi="仿宋" w:eastAsia="仿宋" w:cs="宋体"/>
          <w:color w:val="000000"/>
          <w:kern w:val="0"/>
          <w:sz w:val="24"/>
          <w:szCs w:val="20"/>
        </w:rPr>
        <w:t>、供应商若提供其他增值服务，可以在表中自行据实填写。</w:t>
      </w:r>
    </w:p>
    <w:p w14:paraId="7675CDFD">
      <w:pPr>
        <w:spacing w:line="360" w:lineRule="auto"/>
        <w:jc w:val="left"/>
        <w:outlineLvl w:val="2"/>
        <w:rPr>
          <w:rFonts w:hint="eastAsia" w:ascii="仿宋" w:hAnsi="仿宋" w:eastAsia="仿宋" w:cs="仿宋"/>
          <w:b/>
          <w:color w:val="000000" w:themeColor="text1"/>
          <w:sz w:val="28"/>
          <w:szCs w:val="28"/>
          <w14:textFill>
            <w14:solidFill>
              <w14:schemeClr w14:val="tx1"/>
            </w14:solidFill>
          </w14:textFill>
        </w:rPr>
      </w:pPr>
    </w:p>
    <w:p w14:paraId="115818CA">
      <w:pPr>
        <w:widowControl/>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619E95DB">
      <w:pPr>
        <w:spacing w:line="360" w:lineRule="auto"/>
        <w:jc w:val="left"/>
        <w:outlineLvl w:val="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价格标响应文件相关格式</w:t>
      </w:r>
    </w:p>
    <w:p w14:paraId="35EDABEB">
      <w:pPr>
        <w:spacing w:line="460" w:lineRule="exact"/>
        <w:ind w:firstLine="482" w:firstLineChars="200"/>
        <w:jc w:val="center"/>
        <w:outlineLvl w:val="1"/>
        <w:rPr>
          <w:rFonts w:hint="eastAsia" w:ascii="仿宋" w:hAnsi="仿宋" w:eastAsia="仿宋" w:cs="宋体"/>
          <w:b/>
          <w:bCs/>
          <w:color w:val="000000" w:themeColor="text1"/>
          <w:sz w:val="24"/>
          <w:szCs w:val="32"/>
          <w14:textFill>
            <w14:solidFill>
              <w14:schemeClr w14:val="tx1"/>
            </w14:solidFill>
          </w14:textFill>
        </w:rPr>
      </w:pPr>
      <w:r>
        <w:rPr>
          <w:rFonts w:hint="eastAsia" w:ascii="仿宋" w:hAnsi="仿宋" w:eastAsia="仿宋" w:cs="宋体"/>
          <w:b/>
          <w:bCs/>
          <w:color w:val="000000" w:themeColor="text1"/>
          <w:sz w:val="24"/>
          <w:szCs w:val="32"/>
          <w14:textFill>
            <w14:solidFill>
              <w14:schemeClr w14:val="tx1"/>
            </w14:solidFill>
          </w14:textFill>
        </w:rPr>
        <w:t>报价总表（格式表）</w:t>
      </w:r>
    </w:p>
    <w:tbl>
      <w:tblPr>
        <w:tblStyle w:val="9"/>
        <w:tblW w:w="938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833"/>
      </w:tblGrid>
      <w:tr w14:paraId="4561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14:paraId="79E91409">
            <w:pPr>
              <w:snapToGrid w:val="0"/>
              <w:spacing w:line="420" w:lineRule="exact"/>
              <w:ind w:left="1137" w:hanging="1137" w:hangingChars="472"/>
              <w:jc w:val="center"/>
              <w:rPr>
                <w:rFonts w:hint="eastAsia" w:ascii="仿宋" w:hAnsi="仿宋" w:eastAsia="仿宋" w:cs="宋体"/>
                <w:b/>
                <w:bCs/>
                <w:color w:val="000000" w:themeColor="text1"/>
                <w:sz w:val="24"/>
                <w:szCs w:val="21"/>
                <w14:textFill>
                  <w14:solidFill>
                    <w14:schemeClr w14:val="tx1"/>
                  </w14:solidFill>
                </w14:textFill>
              </w:rPr>
            </w:pPr>
            <w:r>
              <w:rPr>
                <w:rFonts w:hint="eastAsia" w:ascii="仿宋" w:hAnsi="仿宋" w:eastAsia="仿宋" w:cs="宋体"/>
                <w:b/>
                <w:bCs/>
                <w:color w:val="000000" w:themeColor="text1"/>
                <w:sz w:val="24"/>
                <w:szCs w:val="21"/>
                <w14:textFill>
                  <w14:solidFill>
                    <w14:schemeClr w14:val="tx1"/>
                  </w14:solidFill>
                </w14:textFill>
              </w:rPr>
              <w:t>项目名称</w:t>
            </w:r>
          </w:p>
        </w:tc>
        <w:tc>
          <w:tcPr>
            <w:tcW w:w="6833" w:type="dxa"/>
            <w:vAlign w:val="center"/>
          </w:tcPr>
          <w:p w14:paraId="7DB289EA">
            <w:pPr>
              <w:snapToGrid w:val="0"/>
              <w:spacing w:line="420" w:lineRule="exact"/>
              <w:ind w:left="1137" w:hanging="1137" w:hangingChars="472"/>
              <w:jc w:val="center"/>
              <w:rPr>
                <w:rFonts w:hint="eastAsia" w:ascii="仿宋" w:hAnsi="仿宋" w:eastAsia="仿宋" w:cs="宋体"/>
                <w:b/>
                <w:bCs/>
                <w:color w:val="000000" w:themeColor="text1"/>
                <w:sz w:val="24"/>
                <w:szCs w:val="21"/>
                <w14:textFill>
                  <w14:solidFill>
                    <w14:schemeClr w14:val="tx1"/>
                  </w14:solidFill>
                </w14:textFill>
              </w:rPr>
            </w:pPr>
          </w:p>
        </w:tc>
      </w:tr>
      <w:tr w14:paraId="1306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14:paraId="51D7503B">
            <w:pPr>
              <w:snapToGrid w:val="0"/>
              <w:spacing w:line="420" w:lineRule="exact"/>
              <w:ind w:left="1137" w:hanging="1137" w:hangingChars="472"/>
              <w:jc w:val="center"/>
              <w:rPr>
                <w:rFonts w:hint="eastAsia" w:ascii="仿宋" w:hAnsi="仿宋" w:eastAsia="仿宋" w:cs="宋体"/>
                <w:b/>
                <w:bCs/>
                <w:color w:val="000000" w:themeColor="text1"/>
                <w:sz w:val="24"/>
                <w:szCs w:val="21"/>
                <w14:textFill>
                  <w14:solidFill>
                    <w14:schemeClr w14:val="tx1"/>
                  </w14:solidFill>
                </w14:textFill>
              </w:rPr>
            </w:pPr>
            <w:r>
              <w:rPr>
                <w:rFonts w:hint="eastAsia" w:ascii="仿宋" w:hAnsi="仿宋" w:eastAsia="仿宋" w:cs="宋体"/>
                <w:b/>
                <w:bCs/>
                <w:color w:val="000000" w:themeColor="text1"/>
                <w:sz w:val="24"/>
                <w:szCs w:val="21"/>
                <w14:textFill>
                  <w14:solidFill>
                    <w14:schemeClr w14:val="tx1"/>
                  </w14:solidFill>
                </w14:textFill>
              </w:rPr>
              <w:t>项目编号</w:t>
            </w:r>
          </w:p>
        </w:tc>
        <w:tc>
          <w:tcPr>
            <w:tcW w:w="6833" w:type="dxa"/>
            <w:vAlign w:val="center"/>
          </w:tcPr>
          <w:p w14:paraId="4C2DC5B1">
            <w:pPr>
              <w:snapToGrid w:val="0"/>
              <w:spacing w:line="420" w:lineRule="exact"/>
              <w:ind w:left="1137" w:hanging="1137" w:hangingChars="472"/>
              <w:jc w:val="center"/>
              <w:rPr>
                <w:rFonts w:hint="eastAsia" w:ascii="仿宋" w:hAnsi="仿宋" w:eastAsia="仿宋" w:cs="宋体"/>
                <w:b/>
                <w:bCs/>
                <w:color w:val="000000" w:themeColor="text1"/>
                <w:sz w:val="24"/>
                <w:szCs w:val="21"/>
                <w14:textFill>
                  <w14:solidFill>
                    <w14:schemeClr w14:val="tx1"/>
                  </w14:solidFill>
                </w14:textFill>
              </w:rPr>
            </w:pPr>
          </w:p>
        </w:tc>
      </w:tr>
      <w:tr w14:paraId="50C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552" w:type="dxa"/>
            <w:vAlign w:val="center"/>
          </w:tcPr>
          <w:p w14:paraId="68E66262">
            <w:pPr>
              <w:snapToGrid w:val="0"/>
              <w:spacing w:line="420" w:lineRule="exact"/>
              <w:ind w:left="2" w:firstLine="480" w:firstLineChars="200"/>
              <w:jc w:val="center"/>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报价响应总价</w:t>
            </w:r>
          </w:p>
        </w:tc>
        <w:tc>
          <w:tcPr>
            <w:tcW w:w="6833" w:type="dxa"/>
            <w:vAlign w:val="center"/>
          </w:tcPr>
          <w:p w14:paraId="69592DEE">
            <w:pPr>
              <w:snapToGrid w:val="0"/>
              <w:spacing w:line="420" w:lineRule="exact"/>
              <w:ind w:left="1133" w:hanging="1132" w:hangingChars="472"/>
              <w:jc w:val="left"/>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人民币大写：</w:t>
            </w:r>
          </w:p>
          <w:p w14:paraId="1D43E59F">
            <w:pPr>
              <w:snapToGrid w:val="0"/>
              <w:spacing w:line="420" w:lineRule="exact"/>
              <w:ind w:left="1133" w:hanging="1132" w:hangingChars="472"/>
              <w:jc w:val="left"/>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人民币小写</w:t>
            </w:r>
            <w:r>
              <w:rPr>
                <w:rFonts w:ascii="Calibri" w:hAnsi="Calibri" w:eastAsia="仿宋" w:cs="Calibri"/>
                <w:color w:val="000000" w:themeColor="text1"/>
                <w:sz w:val="24"/>
                <w:szCs w:val="21"/>
                <w14:textFill>
                  <w14:solidFill>
                    <w14:schemeClr w14:val="tx1"/>
                  </w14:solidFill>
                </w14:textFill>
              </w:rPr>
              <w:t>¥</w:t>
            </w:r>
            <w:r>
              <w:rPr>
                <w:rFonts w:hint="eastAsia" w:ascii="仿宋" w:hAnsi="仿宋" w:eastAsia="仿宋" w:cs="宋体"/>
                <w:color w:val="000000" w:themeColor="text1"/>
                <w:sz w:val="24"/>
                <w:szCs w:val="21"/>
                <w14:textFill>
                  <w14:solidFill>
                    <w14:schemeClr w14:val="tx1"/>
                  </w14:solidFill>
                </w14:textFill>
              </w:rPr>
              <w:t>：</w:t>
            </w:r>
          </w:p>
        </w:tc>
      </w:tr>
      <w:tr w14:paraId="7103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2" w:type="dxa"/>
            <w:vAlign w:val="center"/>
          </w:tcPr>
          <w:p w14:paraId="39181230">
            <w:pPr>
              <w:snapToGrid w:val="0"/>
              <w:spacing w:line="420" w:lineRule="exact"/>
              <w:ind w:left="2" w:firstLine="480" w:firstLineChars="200"/>
              <w:jc w:val="center"/>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付款条件</w:t>
            </w:r>
          </w:p>
        </w:tc>
        <w:tc>
          <w:tcPr>
            <w:tcW w:w="6833" w:type="dxa"/>
            <w:vAlign w:val="center"/>
          </w:tcPr>
          <w:p w14:paraId="6B7E8D68">
            <w:pPr>
              <w:snapToGrid w:val="0"/>
              <w:spacing w:line="420" w:lineRule="exact"/>
              <w:ind w:left="2" w:firstLine="480" w:firstLineChars="200"/>
              <w:jc w:val="left"/>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完全接受并响应本项目比选文件的要求。</w:t>
            </w:r>
          </w:p>
        </w:tc>
      </w:tr>
    </w:tbl>
    <w:p w14:paraId="3884BE2D">
      <w:pPr>
        <w:kinsoku w:val="0"/>
        <w:topLinePunct/>
        <w:snapToGrid w:val="0"/>
        <w:spacing w:line="520" w:lineRule="exact"/>
        <w:ind w:firstLine="480" w:firstLineChars="200"/>
        <w:rPr>
          <w:rFonts w:hint="eastAsia" w:ascii="仿宋" w:hAnsi="仿宋" w:eastAsia="仿宋" w:cs="宋体"/>
          <w:color w:val="000000" w:themeColor="text1"/>
          <w:sz w:val="24"/>
          <w14:textFill>
            <w14:solidFill>
              <w14:schemeClr w14:val="tx1"/>
            </w14:solidFill>
          </w14:textFill>
        </w:rPr>
      </w:pPr>
    </w:p>
    <w:p w14:paraId="578098A4">
      <w:pPr>
        <w:kinsoku w:val="0"/>
        <w:topLinePunct/>
        <w:snapToGrid w:val="0"/>
        <w:spacing w:line="520" w:lineRule="exact"/>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竞争性磋商响应单位：（盖章）</w:t>
      </w:r>
    </w:p>
    <w:p w14:paraId="7B6CB2AD">
      <w:pPr>
        <w:kinsoku w:val="0"/>
        <w:topLinePunct/>
        <w:snapToGrid w:val="0"/>
        <w:spacing w:line="520" w:lineRule="exact"/>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法定代表人或被授权人（签字或盖章）：</w:t>
      </w:r>
    </w:p>
    <w:p w14:paraId="140F94A8">
      <w:pPr>
        <w:kinsoku w:val="0"/>
        <w:topLinePunct/>
        <w:snapToGrid w:val="0"/>
        <w:spacing w:line="520" w:lineRule="exact"/>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日期：</w:t>
      </w:r>
    </w:p>
    <w:p w14:paraId="34C6A39C">
      <w:pPr>
        <w:spacing w:after="156" w:line="460" w:lineRule="exact"/>
        <w:ind w:firstLine="480" w:firstLineChars="200"/>
        <w:rPr>
          <w:rFonts w:hint="eastAsia" w:ascii="仿宋" w:hAnsi="仿宋" w:eastAsia="仿宋" w:cs="宋体"/>
          <w:color w:val="000000" w:themeColor="text1"/>
          <w:sz w:val="24"/>
          <w14:textFill>
            <w14:solidFill>
              <w14:schemeClr w14:val="tx1"/>
            </w14:solidFill>
          </w14:textFill>
        </w:rPr>
      </w:pPr>
    </w:p>
    <w:p w14:paraId="437F6273">
      <w:pPr>
        <w:snapToGrid w:val="0"/>
        <w:spacing w:line="460" w:lineRule="exact"/>
        <w:ind w:firstLine="482" w:firstLineChars="200"/>
        <w:jc w:val="left"/>
        <w:rPr>
          <w:rFonts w:hint="eastAsia"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注：</w:t>
      </w:r>
    </w:p>
    <w:p w14:paraId="08F0BA43">
      <w:pPr>
        <w:snapToGrid w:val="0"/>
        <w:spacing w:line="460" w:lineRule="exact"/>
        <w:ind w:firstLine="482" w:firstLineChars="200"/>
        <w:jc w:val="left"/>
        <w:rPr>
          <w:rFonts w:hint="eastAsia"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（1）本表为格式表，不得自行改动，必须提供，否则视为未实质性响应采购文件。</w:t>
      </w:r>
    </w:p>
    <w:p w14:paraId="5466D267">
      <w:pPr>
        <w:spacing w:line="460" w:lineRule="exact"/>
        <w:ind w:firstLine="482" w:firstLineChars="200"/>
        <w:rPr>
          <w:rFonts w:hint="eastAsia"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（3）投标报价不得高于项目预算价12万元，超过最高限价的为无效投标。</w:t>
      </w:r>
    </w:p>
    <w:p w14:paraId="07A2967C">
      <w:pPr>
        <w:snapToGrid w:val="0"/>
        <w:spacing w:line="460" w:lineRule="exact"/>
        <w:ind w:firstLine="496" w:firstLineChars="206"/>
        <w:contextualSpacing/>
        <w:rPr>
          <w:rFonts w:hint="eastAsia"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4）本项目报价为人民币报价。投标报价是比选文件所确定的全部招标内容的价格，包括前期准备费用以及为完成上述内容所必须的设计、材料、保险、劳务及所需的全部费用。具体包括全部服务的人员（包括工资和补贴）、办公场所及设施、保险、劳保、管理、各种税费、利润、税金、政策性文件规定及合同包含的所有风险、责任等各项应有费用，以及为完成该项目所涉及到的一切相关费用，采购人不再支付其他任何费用。</w:t>
      </w:r>
    </w:p>
    <w:p w14:paraId="4AB4E9ED">
      <w:pPr>
        <w:widowControl/>
        <w:spacing w:line="440" w:lineRule="exact"/>
        <w:ind w:firstLine="210" w:firstLineChars="100"/>
        <w:jc w:val="left"/>
        <w:rPr>
          <w:rFonts w:hint="eastAsia" w:ascii="仿宋" w:hAnsi="仿宋" w:eastAsia="仿宋" w:cs="仿宋"/>
          <w:color w:val="000000" w:themeColor="text1"/>
          <w14:textFill>
            <w14:solidFill>
              <w14:schemeClr w14:val="tx1"/>
            </w14:solidFill>
          </w14:textFill>
        </w:rPr>
      </w:pPr>
    </w:p>
    <w:p w14:paraId="197EFD9F">
      <w:pPr>
        <w:snapToGrid w:val="0"/>
        <w:spacing w:line="500" w:lineRule="exact"/>
        <w:ind w:left="1322" w:hanging="1321" w:hangingChars="472"/>
        <w:rPr>
          <w:rFonts w:hint="eastAsia" w:ascii="仿宋" w:hAnsi="仿宋" w:eastAsia="仿宋" w:cs="仿宋"/>
          <w:color w:val="000000" w:themeColor="text1"/>
          <w:sz w:val="28"/>
          <w:szCs w:val="28"/>
          <w14:textFill>
            <w14:solidFill>
              <w14:schemeClr w14:val="tx1"/>
            </w14:solidFill>
          </w14:textFill>
        </w:rPr>
      </w:pPr>
    </w:p>
    <w:p w14:paraId="37D46C0B">
      <w:pPr>
        <w:snapToGrid w:val="0"/>
        <w:spacing w:line="500" w:lineRule="exact"/>
        <w:ind w:left="1322" w:hanging="1321" w:hangingChars="472"/>
        <w:rPr>
          <w:rFonts w:hint="eastAsia" w:ascii="仿宋" w:hAnsi="仿宋" w:eastAsia="仿宋" w:cs="仿宋"/>
          <w:color w:val="000000" w:themeColor="text1"/>
          <w:sz w:val="28"/>
          <w:szCs w:val="28"/>
          <w14:textFill>
            <w14:solidFill>
              <w14:schemeClr w14:val="tx1"/>
            </w14:solidFill>
          </w14:textFill>
        </w:rPr>
      </w:pPr>
    </w:p>
    <w:bookmarkEnd w:id="36"/>
    <w:p w14:paraId="645F9631">
      <w:pPr>
        <w:widowControl/>
        <w:jc w:val="left"/>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0FD73307">
      <w:pPr>
        <w:pStyle w:val="7"/>
        <w:ind w:firstLine="0" w:firstLineChars="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2. </w:t>
      </w:r>
      <w:r>
        <w:rPr>
          <w:rFonts w:hint="eastAsia" w:ascii="仿宋" w:hAnsi="仿宋" w:eastAsia="仿宋"/>
          <w:b/>
          <w:bCs/>
          <w:color w:val="000000" w:themeColor="text1"/>
          <w:sz w:val="30"/>
          <w:szCs w:val="22"/>
          <w14:textFill>
            <w14:solidFill>
              <w14:schemeClr w14:val="tx1"/>
            </w14:solidFill>
          </w14:textFill>
        </w:rPr>
        <w:t>分项报价明细表（格式自拟）</w:t>
      </w:r>
    </w:p>
    <w:p w14:paraId="3D36D5C2">
      <w:pPr>
        <w:widowControl/>
        <w:spacing w:line="520" w:lineRule="atLeast"/>
        <w:ind w:firstLine="440" w:firstLineChars="200"/>
        <w:jc w:val="left"/>
        <w:rPr>
          <w:rFonts w:hint="eastAsia" w:ascii="仿宋" w:hAnsi="仿宋" w:eastAsia="仿宋"/>
          <w:color w:val="000000" w:themeColor="text1"/>
          <w:sz w:val="22"/>
          <w:szCs w:val="22"/>
          <w14:textFill>
            <w14:solidFill>
              <w14:schemeClr w14:val="tx1"/>
            </w14:solidFill>
          </w14:textFill>
        </w:rPr>
      </w:pPr>
    </w:p>
    <w:p w14:paraId="19601D25">
      <w:pPr>
        <w:tabs>
          <w:tab w:val="left" w:pos="2505"/>
        </w:tabs>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252ED"/>
    <w:multiLevelType w:val="multilevel"/>
    <w:tmpl w:val="033252ED"/>
    <w:lvl w:ilvl="0" w:tentative="0">
      <w:start w:val="1"/>
      <w:numFmt w:val="decimal"/>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xMTA1M2I0MDYxZGFiNjRjNmU1MGIyZGQ1NGRjNTcifQ=="/>
  </w:docVars>
  <w:rsids>
    <w:rsidRoot w:val="004364EE"/>
    <w:rsid w:val="00031CBB"/>
    <w:rsid w:val="0004354D"/>
    <w:rsid w:val="00050A96"/>
    <w:rsid w:val="00067538"/>
    <w:rsid w:val="000700BD"/>
    <w:rsid w:val="00072774"/>
    <w:rsid w:val="000B7377"/>
    <w:rsid w:val="000C12D9"/>
    <w:rsid w:val="000C4039"/>
    <w:rsid w:val="000E1175"/>
    <w:rsid w:val="000E1995"/>
    <w:rsid w:val="00142F06"/>
    <w:rsid w:val="001809CE"/>
    <w:rsid w:val="00183770"/>
    <w:rsid w:val="001A1DAD"/>
    <w:rsid w:val="001E3408"/>
    <w:rsid w:val="001E5679"/>
    <w:rsid w:val="001F584E"/>
    <w:rsid w:val="00200A32"/>
    <w:rsid w:val="0020544A"/>
    <w:rsid w:val="00210F40"/>
    <w:rsid w:val="00223076"/>
    <w:rsid w:val="00245379"/>
    <w:rsid w:val="0025709A"/>
    <w:rsid w:val="0027487A"/>
    <w:rsid w:val="0028596C"/>
    <w:rsid w:val="002C5755"/>
    <w:rsid w:val="002D6BCC"/>
    <w:rsid w:val="002E2749"/>
    <w:rsid w:val="002E412C"/>
    <w:rsid w:val="0030074D"/>
    <w:rsid w:val="00322127"/>
    <w:rsid w:val="00340654"/>
    <w:rsid w:val="0037029E"/>
    <w:rsid w:val="00396422"/>
    <w:rsid w:val="003D45F6"/>
    <w:rsid w:val="003F01AA"/>
    <w:rsid w:val="003F347A"/>
    <w:rsid w:val="00410E44"/>
    <w:rsid w:val="00424DAF"/>
    <w:rsid w:val="004364EE"/>
    <w:rsid w:val="00454319"/>
    <w:rsid w:val="004D4586"/>
    <w:rsid w:val="004F0EA7"/>
    <w:rsid w:val="004F3AD4"/>
    <w:rsid w:val="005245B2"/>
    <w:rsid w:val="005626A1"/>
    <w:rsid w:val="005636FD"/>
    <w:rsid w:val="00581E7A"/>
    <w:rsid w:val="00583176"/>
    <w:rsid w:val="0059495D"/>
    <w:rsid w:val="005B3C5A"/>
    <w:rsid w:val="005C77E4"/>
    <w:rsid w:val="005D0986"/>
    <w:rsid w:val="005E1388"/>
    <w:rsid w:val="0061270E"/>
    <w:rsid w:val="0062204D"/>
    <w:rsid w:val="006275AA"/>
    <w:rsid w:val="00632028"/>
    <w:rsid w:val="006342E3"/>
    <w:rsid w:val="006527DD"/>
    <w:rsid w:val="00676453"/>
    <w:rsid w:val="00681D4D"/>
    <w:rsid w:val="0068751A"/>
    <w:rsid w:val="00692A83"/>
    <w:rsid w:val="0069634E"/>
    <w:rsid w:val="006C6E3B"/>
    <w:rsid w:val="00711E46"/>
    <w:rsid w:val="00744412"/>
    <w:rsid w:val="00746A8F"/>
    <w:rsid w:val="00755274"/>
    <w:rsid w:val="007621EB"/>
    <w:rsid w:val="00766B27"/>
    <w:rsid w:val="00790F5A"/>
    <w:rsid w:val="007A3397"/>
    <w:rsid w:val="007B78D5"/>
    <w:rsid w:val="007E2850"/>
    <w:rsid w:val="007F1E65"/>
    <w:rsid w:val="0080236A"/>
    <w:rsid w:val="00806EB6"/>
    <w:rsid w:val="0081722A"/>
    <w:rsid w:val="0082287E"/>
    <w:rsid w:val="008407CA"/>
    <w:rsid w:val="00842630"/>
    <w:rsid w:val="00851EA8"/>
    <w:rsid w:val="00854414"/>
    <w:rsid w:val="00867AB4"/>
    <w:rsid w:val="00880D15"/>
    <w:rsid w:val="008909A1"/>
    <w:rsid w:val="008A3DC7"/>
    <w:rsid w:val="008C5CF3"/>
    <w:rsid w:val="00925CD0"/>
    <w:rsid w:val="00930F9E"/>
    <w:rsid w:val="00977C79"/>
    <w:rsid w:val="009A0B83"/>
    <w:rsid w:val="009B0422"/>
    <w:rsid w:val="009B60BE"/>
    <w:rsid w:val="009C656C"/>
    <w:rsid w:val="00A20D0C"/>
    <w:rsid w:val="00A210B6"/>
    <w:rsid w:val="00A308D1"/>
    <w:rsid w:val="00A84F1D"/>
    <w:rsid w:val="00AA2F99"/>
    <w:rsid w:val="00AB7E62"/>
    <w:rsid w:val="00AE7B64"/>
    <w:rsid w:val="00B068CA"/>
    <w:rsid w:val="00B14A98"/>
    <w:rsid w:val="00B22180"/>
    <w:rsid w:val="00B452A8"/>
    <w:rsid w:val="00B466BA"/>
    <w:rsid w:val="00B5206F"/>
    <w:rsid w:val="00B566AB"/>
    <w:rsid w:val="00B67200"/>
    <w:rsid w:val="00B722A7"/>
    <w:rsid w:val="00B75285"/>
    <w:rsid w:val="00BB5594"/>
    <w:rsid w:val="00BC6793"/>
    <w:rsid w:val="00BE0BA6"/>
    <w:rsid w:val="00BF656F"/>
    <w:rsid w:val="00C07645"/>
    <w:rsid w:val="00C34900"/>
    <w:rsid w:val="00C45226"/>
    <w:rsid w:val="00C7331A"/>
    <w:rsid w:val="00CA1762"/>
    <w:rsid w:val="00CA224E"/>
    <w:rsid w:val="00CF2CF1"/>
    <w:rsid w:val="00D0306B"/>
    <w:rsid w:val="00D1408F"/>
    <w:rsid w:val="00D40582"/>
    <w:rsid w:val="00D41A19"/>
    <w:rsid w:val="00D54188"/>
    <w:rsid w:val="00D65A43"/>
    <w:rsid w:val="00D85BAF"/>
    <w:rsid w:val="00D938DA"/>
    <w:rsid w:val="00DB757E"/>
    <w:rsid w:val="00DF29DB"/>
    <w:rsid w:val="00E00A45"/>
    <w:rsid w:val="00E00F5E"/>
    <w:rsid w:val="00E24A97"/>
    <w:rsid w:val="00E44ED7"/>
    <w:rsid w:val="00E472F1"/>
    <w:rsid w:val="00E560E7"/>
    <w:rsid w:val="00E63919"/>
    <w:rsid w:val="00E73B48"/>
    <w:rsid w:val="00E76C8F"/>
    <w:rsid w:val="00E840D9"/>
    <w:rsid w:val="00E8742D"/>
    <w:rsid w:val="00E9410B"/>
    <w:rsid w:val="00EA2D09"/>
    <w:rsid w:val="00ED4075"/>
    <w:rsid w:val="00F35E84"/>
    <w:rsid w:val="00F913A7"/>
    <w:rsid w:val="00FA3555"/>
    <w:rsid w:val="00FA66D5"/>
    <w:rsid w:val="00FA78FB"/>
    <w:rsid w:val="00FB05A4"/>
    <w:rsid w:val="00FB2CEF"/>
    <w:rsid w:val="01603CD4"/>
    <w:rsid w:val="21BE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semiHidden/>
    <w:unhideWhenUsed/>
    <w:qFormat/>
    <w:uiPriority w:val="0"/>
    <w:rPr>
      <w:rFonts w:ascii="仿宋_GB2312" w:eastAsia="仿宋_GB2312"/>
      <w:kern w:val="0"/>
      <w:sz w:val="24"/>
      <w:szCs w:val="20"/>
    </w:rPr>
  </w:style>
  <w:style w:type="paragraph" w:styleId="3">
    <w:name w:val="Body Text Indent"/>
    <w:basedOn w:val="1"/>
    <w:link w:val="15"/>
    <w:semiHidden/>
    <w:unhideWhenUsed/>
    <w:qFormat/>
    <w:uiPriority w:val="99"/>
    <w:pPr>
      <w:spacing w:after="120"/>
      <w:ind w:left="420" w:leftChars="200"/>
    </w:p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tabs>
        <w:tab w:val="center" w:pos="4153"/>
        <w:tab w:val="right" w:pos="8306"/>
      </w:tabs>
      <w:snapToGrid w:val="0"/>
      <w:jc w:val="center"/>
    </w:pPr>
    <w:rPr>
      <w:sz w:val="18"/>
      <w:szCs w:val="18"/>
    </w:rPr>
  </w:style>
  <w:style w:type="paragraph" w:styleId="6">
    <w:name w:val="Body Text Indent 3"/>
    <w:basedOn w:val="1"/>
    <w:link w:val="22"/>
    <w:semiHidden/>
    <w:unhideWhenUsed/>
    <w:qFormat/>
    <w:uiPriority w:val="99"/>
    <w:pPr>
      <w:spacing w:after="120"/>
      <w:ind w:left="420" w:leftChars="200"/>
    </w:pPr>
    <w:rPr>
      <w:sz w:val="16"/>
      <w:szCs w:val="16"/>
    </w:rPr>
  </w:style>
  <w:style w:type="paragraph" w:styleId="7">
    <w:name w:val="Body Text First Indent"/>
    <w:basedOn w:val="2"/>
    <w:link w:val="14"/>
    <w:unhideWhenUsed/>
    <w:qFormat/>
    <w:uiPriority w:val="0"/>
    <w:pPr>
      <w:spacing w:after="120"/>
      <w:ind w:firstLine="420" w:firstLineChars="100"/>
    </w:pPr>
    <w:rPr>
      <w:rFonts w:ascii="Times New Roman" w:eastAsia="宋体"/>
      <w:szCs w:val="24"/>
    </w:rPr>
  </w:style>
  <w:style w:type="paragraph" w:styleId="8">
    <w:name w:val="Body Text First Indent 2"/>
    <w:basedOn w:val="3"/>
    <w:next w:val="6"/>
    <w:link w:val="16"/>
    <w:semiHidden/>
    <w:unhideWhenUsed/>
    <w:qFormat/>
    <w:uiPriority w:val="99"/>
    <w:pPr>
      <w:spacing w:after="0"/>
      <w:ind w:left="765" w:leftChars="0" w:firstLine="200" w:firstLineChars="200"/>
    </w:pPr>
    <w:rPr>
      <w:rFonts w:ascii="仿宋_GB2312" w:eastAsia="仿宋_GB2312"/>
      <w:kern w:val="0"/>
      <w:sz w:val="28"/>
      <w:szCs w:val="20"/>
    </w:rPr>
  </w:style>
  <w:style w:type="table" w:styleId="10">
    <w:name w:val="Table Grid"/>
    <w:basedOn w:val="9"/>
    <w:qFormat/>
    <w:uiPriority w:val="59"/>
    <w:rPr>
      <w:rFonts w:ascii="Times New Roman" w:hAnsi="Times New Roman" w:eastAsia="宋体" w:cs="Times New Roman"/>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semiHidden/>
    <w:unhideWhenUsed/>
    <w:qFormat/>
    <w:uiPriority w:val="0"/>
    <w:rPr>
      <w:color w:val="0000FF"/>
      <w:sz w:val="24"/>
      <w:u w:val="none"/>
    </w:rPr>
  </w:style>
  <w:style w:type="character" w:customStyle="1" w:styleId="13">
    <w:name w:val="正文文本 字符"/>
    <w:basedOn w:val="11"/>
    <w:link w:val="2"/>
    <w:semiHidden/>
    <w:qFormat/>
    <w:uiPriority w:val="0"/>
    <w:rPr>
      <w:rFonts w:ascii="仿宋_GB2312" w:hAnsi="Times New Roman" w:eastAsia="仿宋_GB2312" w:cs="Times New Roman"/>
      <w:kern w:val="0"/>
      <w:sz w:val="24"/>
      <w:szCs w:val="20"/>
      <w14:ligatures w14:val="none"/>
    </w:rPr>
  </w:style>
  <w:style w:type="character" w:customStyle="1" w:styleId="14">
    <w:name w:val="正文文本首行缩进 字符"/>
    <w:basedOn w:val="13"/>
    <w:link w:val="7"/>
    <w:qFormat/>
    <w:uiPriority w:val="0"/>
    <w:rPr>
      <w:rFonts w:ascii="Times New Roman" w:hAnsi="Times New Roman" w:eastAsia="宋体" w:cs="Times New Roman"/>
      <w:kern w:val="0"/>
      <w:sz w:val="24"/>
      <w:szCs w:val="24"/>
      <w14:ligatures w14:val="none"/>
    </w:rPr>
  </w:style>
  <w:style w:type="character" w:customStyle="1" w:styleId="15">
    <w:name w:val="正文文本缩进 字符"/>
    <w:basedOn w:val="11"/>
    <w:link w:val="3"/>
    <w:semiHidden/>
    <w:qFormat/>
    <w:uiPriority w:val="99"/>
    <w:rPr>
      <w:rFonts w:ascii="Times New Roman" w:hAnsi="Times New Roman" w:eastAsia="宋体" w:cs="Times New Roman"/>
      <w:szCs w:val="24"/>
      <w14:ligatures w14:val="none"/>
    </w:rPr>
  </w:style>
  <w:style w:type="character" w:customStyle="1" w:styleId="16">
    <w:name w:val="正文文本首行缩进 2 字符"/>
    <w:basedOn w:val="15"/>
    <w:link w:val="8"/>
    <w:semiHidden/>
    <w:uiPriority w:val="99"/>
    <w:rPr>
      <w:rFonts w:ascii="仿宋_GB2312" w:hAnsi="Times New Roman" w:eastAsia="仿宋_GB2312" w:cs="Times New Roman"/>
      <w:kern w:val="0"/>
      <w:sz w:val="28"/>
      <w:szCs w:val="20"/>
      <w14:ligatures w14:val="none"/>
    </w:rPr>
  </w:style>
  <w:style w:type="paragraph" w:customStyle="1" w:styleId="17">
    <w:name w:val="无间隔1"/>
    <w:qFormat/>
    <w:uiPriority w:val="0"/>
    <w:rPr>
      <w:rFonts w:ascii="Times New Roman" w:hAnsi="Times New Roman" w:eastAsia="宋体" w:cs="Times New Roman"/>
      <w:sz w:val="22"/>
      <w:szCs w:val="22"/>
      <w:lang w:val="en-US" w:eastAsia="en-US" w:bidi="en-US"/>
    </w:rPr>
  </w:style>
  <w:style w:type="character" w:customStyle="1" w:styleId="18">
    <w:name w:val="正文缩进2格 Char"/>
    <w:link w:val="19"/>
    <w:locked/>
    <w:uiPriority w:val="0"/>
    <w:rPr>
      <w:rFonts w:ascii="仿宋_GB2312" w:hAnsi="宋体" w:eastAsia="仿宋_GB2312"/>
      <w:sz w:val="31"/>
      <w:szCs w:val="28"/>
    </w:rPr>
  </w:style>
  <w:style w:type="paragraph" w:customStyle="1" w:styleId="19">
    <w:name w:val="正文缩进2格"/>
    <w:basedOn w:val="1"/>
    <w:link w:val="18"/>
    <w:uiPriority w:val="0"/>
    <w:pPr>
      <w:spacing w:line="600" w:lineRule="exact"/>
      <w:ind w:firstLine="639" w:firstLineChars="206"/>
    </w:pPr>
    <w:rPr>
      <w:rFonts w:ascii="仿宋_GB2312" w:hAnsi="宋体" w:eastAsia="仿宋_GB2312" w:cstheme="minorBidi"/>
      <w:sz w:val="31"/>
      <w:szCs w:val="28"/>
      <w14:ligatures w14:val="standardContextual"/>
    </w:rPr>
  </w:style>
  <w:style w:type="paragraph" w:customStyle="1" w:styleId="20">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正文文本缩进 3 字符"/>
    <w:basedOn w:val="11"/>
    <w:link w:val="6"/>
    <w:semiHidden/>
    <w:qFormat/>
    <w:uiPriority w:val="99"/>
    <w:rPr>
      <w:rFonts w:ascii="Times New Roman" w:hAnsi="Times New Roman" w:eastAsia="宋体" w:cs="Times New Roman"/>
      <w:sz w:val="16"/>
      <w:szCs w:val="16"/>
      <w14:ligatures w14:val="none"/>
    </w:rPr>
  </w:style>
  <w:style w:type="character" w:customStyle="1" w:styleId="23">
    <w:name w:val="页眉 字符"/>
    <w:basedOn w:val="11"/>
    <w:link w:val="5"/>
    <w:qFormat/>
    <w:uiPriority w:val="99"/>
    <w:rPr>
      <w:rFonts w:ascii="Times New Roman" w:hAnsi="Times New Roman" w:eastAsia="宋体" w:cs="Times New Roman"/>
      <w:sz w:val="18"/>
      <w:szCs w:val="18"/>
      <w14:ligatures w14:val="none"/>
    </w:rPr>
  </w:style>
  <w:style w:type="character" w:customStyle="1" w:styleId="24">
    <w:name w:val="页脚 字符"/>
    <w:basedOn w:val="11"/>
    <w:link w:val="4"/>
    <w:qFormat/>
    <w:uiPriority w:val="99"/>
    <w:rPr>
      <w:rFonts w:ascii="Times New Roman" w:hAnsi="Times New Roman" w:eastAsia="宋体" w:cs="Times New Roman"/>
      <w:sz w:val="18"/>
      <w:szCs w:val="18"/>
      <w14:ligatures w14:val="none"/>
    </w:rPr>
  </w:style>
  <w:style w:type="character" w:customStyle="1" w:styleId="25">
    <w:name w:val="sh3 Char"/>
    <w:link w:val="26"/>
    <w:qFormat/>
    <w:uiPriority w:val="0"/>
    <w:rPr>
      <w:rFonts w:ascii="宋体" w:hAnsi="宋体"/>
      <w:b/>
      <w:szCs w:val="21"/>
    </w:rPr>
  </w:style>
  <w:style w:type="paragraph" w:customStyle="1" w:styleId="26">
    <w:name w:val="sh3"/>
    <w:basedOn w:val="1"/>
    <w:link w:val="25"/>
    <w:qFormat/>
    <w:uiPriority w:val="0"/>
    <w:pPr>
      <w:widowControl/>
      <w:spacing w:line="460" w:lineRule="exact"/>
      <w:jc w:val="left"/>
    </w:pPr>
    <w:rPr>
      <w:rFonts w:ascii="宋体" w:hAnsi="宋体" w:eastAsiaTheme="minorEastAsia" w:cstheme="minorBidi"/>
      <w:b/>
      <w:szCs w:val="21"/>
      <w14:ligatures w14:val="standardContextual"/>
    </w:rPr>
  </w:style>
  <w:style w:type="character" w:customStyle="1" w:styleId="27">
    <w:name w:val="sh4 Char"/>
    <w:link w:val="28"/>
    <w:qFormat/>
    <w:uiPriority w:val="0"/>
    <w:rPr>
      <w:rFonts w:ascii="宋体" w:hAnsi="宋体"/>
      <w:szCs w:val="21"/>
    </w:rPr>
  </w:style>
  <w:style w:type="paragraph" w:customStyle="1" w:styleId="28">
    <w:name w:val="sh4"/>
    <w:basedOn w:val="1"/>
    <w:link w:val="27"/>
    <w:qFormat/>
    <w:uiPriority w:val="0"/>
    <w:pPr>
      <w:widowControl/>
      <w:spacing w:line="460" w:lineRule="exact"/>
      <w:ind w:firstLine="420" w:firstLineChars="200"/>
      <w:jc w:val="left"/>
    </w:pPr>
    <w:rPr>
      <w:rFonts w:ascii="宋体" w:hAnsi="宋体" w:eastAsiaTheme="minorEastAsia" w:cstheme="minorBidi"/>
      <w:szCs w:val="21"/>
      <w14:ligatures w14:val="standardContextual"/>
    </w:rPr>
  </w:style>
  <w:style w:type="paragraph" w:customStyle="1" w:styleId="29">
    <w:name w:val="无列表1"/>
    <w:semiHidden/>
    <w:qFormat/>
    <w:uiPriority w:val="0"/>
    <w:rPr>
      <w:rFonts w:ascii="Calibri" w:hAnsi="Calibri" w:eastAsia="宋体" w:cs="Times New Roman"/>
      <w:sz w:val="21"/>
      <w:szCs w:val="22"/>
      <w:lang w:val="en-US" w:eastAsia="zh-CN" w:bidi="ar-SA"/>
    </w:rPr>
  </w:style>
  <w:style w:type="paragraph" w:customStyle="1" w:styleId="30">
    <w:name w:val="Table Text"/>
    <w:basedOn w:val="1"/>
    <w:semiHidden/>
    <w:qFormat/>
    <w:uiPriority w:val="0"/>
    <w:rPr>
      <w:rFonts w:ascii="微软雅黑" w:hAnsi="微软雅黑" w:eastAsia="微软雅黑" w:cs="微软雅黑"/>
      <w:sz w:val="20"/>
      <w:szCs w:val="20"/>
      <w:lang w:eastAsia="en-US"/>
    </w:r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F495-F286-416D-8ECB-A5B8E9C0CB41}">
  <ds:schemaRefs/>
</ds:datastoreItem>
</file>

<file path=docProps/app.xml><?xml version="1.0" encoding="utf-8"?>
<Properties xmlns="http://schemas.openxmlformats.org/officeDocument/2006/extended-properties" xmlns:vt="http://schemas.openxmlformats.org/officeDocument/2006/docPropsVTypes">
  <Template>Normal</Template>
  <Pages>27</Pages>
  <Words>10879</Words>
  <Characters>11233</Characters>
  <Lines>439</Lines>
  <Paragraphs>433</Paragraphs>
  <TotalTime>52</TotalTime>
  <ScaleCrop>false</ScaleCrop>
  <LinksUpToDate>false</LinksUpToDate>
  <CharactersWithSpaces>11596</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2024-11-11T02:45:00Z</dcterms:created>
  <dc:creator>yuewen Sun</dc:creator>
  <cp:lastModifiedBy>陆小波</cp:lastModifiedBy>
  <cp:lastPrinted>2023-11-16T01:20:00Z</cp:lastPrinted>
  <dcterms:modified xsi:type="dcterms:W3CDTF">2025-09-05T08:22:57Z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44624E9097534A73886F709A2CC95413_12</vt:lpwstr>
  </property>
</Properties>
</file>