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方正小标宋简体" w:cs="Times New Roman"/>
          <w:spacing w:val="0"/>
          <w:sz w:val="40"/>
          <w:szCs w:val="40"/>
        </w:rPr>
        <w:t>2024年</w:t>
      </w:r>
      <w:r>
        <w:rPr>
          <w:rFonts w:hint="eastAsia" w:eastAsia="方正小标宋简体" w:cs="Times New Roman"/>
          <w:spacing w:val="0"/>
          <w:sz w:val="40"/>
          <w:szCs w:val="40"/>
          <w:lang w:val="en-US" w:eastAsia="zh-CN"/>
        </w:rPr>
        <w:t>四</w:t>
      </w:r>
      <w:r>
        <w:rPr>
          <w:rFonts w:hint="default" w:ascii="Times New Roman" w:hAnsi="Times New Roman" w:eastAsia="方正小标宋简体" w:cs="Times New Roman"/>
          <w:spacing w:val="0"/>
          <w:sz w:val="40"/>
          <w:szCs w:val="40"/>
        </w:rPr>
        <w:t>季度南通交通经济运行分析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  <w:t>一、</w:t>
      </w:r>
      <w:r>
        <w:rPr>
          <w:rFonts w:hint="eastAsia" w:ascii="方正黑体_GBK" w:hAnsi="方正黑体_GBK" w:eastAsia="方正黑体_GBK" w:cs="方正黑体_GBK"/>
          <w:b w:val="0"/>
          <w:bCs w:val="0"/>
          <w:color w:val="auto"/>
          <w:sz w:val="32"/>
          <w:szCs w:val="32"/>
          <w:highlight w:val="none"/>
          <w:lang w:val="en-US" w:eastAsia="zh-CN"/>
        </w:rPr>
        <w:t>固定资产投资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eastAsia="方正仿宋_GBK" w:cs="Times New Roman"/>
          <w:snapToGrid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eastAsia="方正仿宋_GBK" w:cs="Times New Roman"/>
          <w:snapToGrid w:val="0"/>
          <w:color w:val="000000"/>
          <w:kern w:val="0"/>
          <w:sz w:val="32"/>
          <w:szCs w:val="32"/>
          <w:lang w:val="en-US" w:eastAsia="zh-CN"/>
        </w:rPr>
        <w:t>2024年，省厅下达我市交通投资计划286亿元。1-12月，全市累计完成交通投资约286.8亿元，占年度计划100.3%。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  <w:t>二、</w:t>
      </w:r>
      <w:r>
        <w:rPr>
          <w:rFonts w:hint="eastAsia" w:ascii="方正黑体_GBK" w:hAnsi="方正黑体_GBK" w:eastAsia="方正黑体_GBK" w:cs="方正黑体_GBK"/>
          <w:b w:val="0"/>
          <w:bCs w:val="0"/>
          <w:color w:val="auto"/>
          <w:sz w:val="32"/>
          <w:szCs w:val="32"/>
          <w:highlight w:val="none"/>
          <w:lang w:val="en-US" w:eastAsia="zh-CN"/>
        </w:rPr>
        <w:t>客货运输量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Style w:val="5"/>
          <w:rFonts w:hint="eastAsia" w:eastAsia="方正仿宋_GBK" w:cs="Times New Roman"/>
          <w:b w:val="0"/>
          <w:color w:val="auto"/>
          <w:spacing w:val="0"/>
          <w:sz w:val="32"/>
          <w:szCs w:val="32"/>
          <w:highlight w:val="none"/>
          <w:lang w:val="en-US" w:eastAsia="zh-CN"/>
        </w:rPr>
      </w:pPr>
      <w:r>
        <w:rPr>
          <w:rStyle w:val="5"/>
          <w:rFonts w:hint="default" w:ascii="Times New Roman" w:hAnsi="Times New Roman" w:eastAsia="方正仿宋_GBK" w:cs="Times New Roman"/>
          <w:b w:val="0"/>
          <w:color w:val="auto"/>
          <w:spacing w:val="0"/>
          <w:sz w:val="32"/>
          <w:szCs w:val="32"/>
          <w:highlight w:val="none"/>
          <w:lang w:val="en-US" w:eastAsia="zh-CN"/>
        </w:rPr>
        <w:t>公路客运方面，</w:t>
      </w:r>
      <w:r>
        <w:rPr>
          <w:rStyle w:val="5"/>
          <w:rFonts w:hint="eastAsia" w:eastAsia="方正仿宋_GBK" w:cs="Times New Roman"/>
          <w:b w:val="0"/>
          <w:color w:val="auto"/>
          <w:spacing w:val="0"/>
          <w:sz w:val="32"/>
          <w:szCs w:val="32"/>
          <w:highlight w:val="none"/>
          <w:lang w:val="en-US" w:eastAsia="zh-CN"/>
        </w:rPr>
        <w:t>1-12月</w:t>
      </w:r>
      <w:r>
        <w:rPr>
          <w:rStyle w:val="5"/>
          <w:rFonts w:hint="default" w:ascii="Times New Roman" w:hAnsi="Times New Roman" w:eastAsia="方正仿宋_GBK" w:cs="Times New Roman"/>
          <w:b w:val="0"/>
          <w:color w:val="auto"/>
          <w:spacing w:val="0"/>
          <w:sz w:val="32"/>
          <w:szCs w:val="32"/>
          <w:highlight w:val="none"/>
          <w:lang w:val="en-US" w:eastAsia="zh-CN"/>
        </w:rPr>
        <w:t>，全市累计完成公路客运量</w:t>
      </w:r>
      <w:r>
        <w:rPr>
          <w:rStyle w:val="5"/>
          <w:rFonts w:hint="eastAsia" w:eastAsia="方正仿宋_GBK" w:cs="Times New Roman"/>
          <w:b w:val="0"/>
          <w:color w:val="auto"/>
          <w:spacing w:val="0"/>
          <w:sz w:val="32"/>
          <w:szCs w:val="32"/>
          <w:highlight w:val="none"/>
          <w:lang w:val="en-US" w:eastAsia="zh-CN"/>
        </w:rPr>
        <w:t>4275万</w:t>
      </w:r>
      <w:r>
        <w:rPr>
          <w:rStyle w:val="5"/>
          <w:rFonts w:hint="default" w:ascii="Times New Roman" w:hAnsi="Times New Roman" w:eastAsia="方正仿宋_GBK" w:cs="Times New Roman"/>
          <w:b w:val="0"/>
          <w:color w:val="auto"/>
          <w:spacing w:val="0"/>
          <w:sz w:val="32"/>
          <w:szCs w:val="32"/>
          <w:highlight w:val="none"/>
          <w:lang w:val="en-US" w:eastAsia="zh-CN"/>
        </w:rPr>
        <w:t>人次，旅客周转量</w:t>
      </w:r>
      <w:r>
        <w:rPr>
          <w:rStyle w:val="5"/>
          <w:rFonts w:hint="eastAsia" w:eastAsia="方正仿宋_GBK" w:cs="Times New Roman"/>
          <w:b w:val="0"/>
          <w:color w:val="auto"/>
          <w:spacing w:val="0"/>
          <w:sz w:val="32"/>
          <w:szCs w:val="32"/>
          <w:highlight w:val="none"/>
          <w:lang w:val="en-US" w:eastAsia="zh-CN"/>
        </w:rPr>
        <w:t>18.6亿</w:t>
      </w:r>
      <w:r>
        <w:rPr>
          <w:rStyle w:val="5"/>
          <w:rFonts w:hint="default" w:ascii="Times New Roman" w:hAnsi="Times New Roman" w:eastAsia="方正仿宋_GBK" w:cs="Times New Roman"/>
          <w:b w:val="0"/>
          <w:color w:val="auto"/>
          <w:spacing w:val="0"/>
          <w:sz w:val="32"/>
          <w:szCs w:val="32"/>
          <w:highlight w:val="none"/>
          <w:lang w:val="en-US" w:eastAsia="zh-CN"/>
        </w:rPr>
        <w:t>人公里，同比分别增长</w:t>
      </w:r>
      <w:r>
        <w:rPr>
          <w:rStyle w:val="5"/>
          <w:rFonts w:hint="eastAsia" w:eastAsia="方正仿宋_GBK" w:cs="Times New Roman"/>
          <w:b w:val="0"/>
          <w:color w:val="auto"/>
          <w:spacing w:val="0"/>
          <w:sz w:val="32"/>
          <w:szCs w:val="32"/>
          <w:highlight w:val="none"/>
          <w:lang w:val="en-US" w:eastAsia="zh-CN"/>
        </w:rPr>
        <w:t>11.9%</w:t>
      </w:r>
      <w:r>
        <w:rPr>
          <w:rStyle w:val="5"/>
          <w:rFonts w:hint="default" w:ascii="Times New Roman" w:hAnsi="Times New Roman" w:eastAsia="方正仿宋_GBK" w:cs="Times New Roman"/>
          <w:b w:val="0"/>
          <w:color w:val="auto"/>
          <w:spacing w:val="0"/>
          <w:sz w:val="32"/>
          <w:szCs w:val="32"/>
          <w:highlight w:val="none"/>
          <w:lang w:val="en-US" w:eastAsia="zh-CN"/>
        </w:rPr>
        <w:t>和</w:t>
      </w:r>
      <w:r>
        <w:rPr>
          <w:rStyle w:val="5"/>
          <w:rFonts w:hint="eastAsia" w:eastAsia="方正仿宋_GBK" w:cs="Times New Roman"/>
          <w:b w:val="0"/>
          <w:color w:val="auto"/>
          <w:spacing w:val="0"/>
          <w:sz w:val="32"/>
          <w:szCs w:val="32"/>
          <w:highlight w:val="none"/>
          <w:lang w:val="en-US" w:eastAsia="zh-CN"/>
        </w:rPr>
        <w:t>5.3</w:t>
      </w:r>
      <w:r>
        <w:rPr>
          <w:rStyle w:val="5"/>
          <w:rFonts w:hint="default" w:ascii="Times New Roman" w:hAnsi="Times New Roman" w:eastAsia="方正仿宋_GBK" w:cs="Times New Roman"/>
          <w:b w:val="0"/>
          <w:color w:val="auto"/>
          <w:spacing w:val="0"/>
          <w:sz w:val="32"/>
          <w:szCs w:val="32"/>
          <w:highlight w:val="none"/>
          <w:lang w:val="en-US" w:eastAsia="zh-CN"/>
        </w:rPr>
        <w:t>%</w:t>
      </w:r>
      <w:r>
        <w:rPr>
          <w:rStyle w:val="5"/>
          <w:rFonts w:hint="eastAsia" w:eastAsia="方正仿宋_GBK" w:cs="Times New Roman"/>
          <w:b w:val="0"/>
          <w:color w:val="auto"/>
          <w:spacing w:val="0"/>
          <w:sz w:val="32"/>
          <w:szCs w:val="3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Style w:val="5"/>
          <w:rFonts w:hint="default" w:ascii="Times New Roman" w:hAnsi="Times New Roman" w:eastAsia="方正仿宋_GBK" w:cs="Times New Roman"/>
          <w:b w:val="0"/>
          <w:color w:val="auto"/>
          <w:spacing w:val="0"/>
          <w:sz w:val="32"/>
          <w:szCs w:val="32"/>
          <w:highlight w:val="none"/>
          <w:lang w:val="en-US" w:eastAsia="zh-CN"/>
        </w:rPr>
      </w:pPr>
      <w:r>
        <w:rPr>
          <w:rStyle w:val="5"/>
          <w:rFonts w:hint="default" w:ascii="Times New Roman" w:hAnsi="Times New Roman" w:eastAsia="方正仿宋_GBK" w:cs="Times New Roman"/>
          <w:b w:val="0"/>
          <w:color w:val="auto"/>
          <w:spacing w:val="0"/>
          <w:sz w:val="32"/>
          <w:szCs w:val="32"/>
          <w:highlight w:val="none"/>
          <w:lang w:val="en-US" w:eastAsia="zh-CN"/>
        </w:rPr>
        <w:t>公路货运方面，</w:t>
      </w:r>
      <w:r>
        <w:rPr>
          <w:rStyle w:val="5"/>
          <w:rFonts w:hint="eastAsia" w:eastAsia="方正仿宋_GBK" w:cs="Times New Roman"/>
          <w:b w:val="0"/>
          <w:color w:val="auto"/>
          <w:spacing w:val="0"/>
          <w:sz w:val="32"/>
          <w:szCs w:val="32"/>
          <w:highlight w:val="none"/>
          <w:lang w:val="en-US" w:eastAsia="zh-CN"/>
        </w:rPr>
        <w:t>1-12月</w:t>
      </w:r>
      <w:r>
        <w:rPr>
          <w:rStyle w:val="5"/>
          <w:rFonts w:hint="default" w:ascii="Times New Roman" w:hAnsi="Times New Roman" w:eastAsia="方正仿宋_GBK" w:cs="Times New Roman"/>
          <w:b w:val="0"/>
          <w:color w:val="auto"/>
          <w:spacing w:val="0"/>
          <w:sz w:val="32"/>
          <w:szCs w:val="32"/>
          <w:highlight w:val="none"/>
          <w:lang w:val="en-US" w:eastAsia="zh-CN"/>
        </w:rPr>
        <w:t>共完成公路货运量</w:t>
      </w:r>
      <w:r>
        <w:rPr>
          <w:rStyle w:val="5"/>
          <w:rFonts w:hint="eastAsia" w:eastAsia="方正仿宋_GBK" w:cs="Times New Roman"/>
          <w:b w:val="0"/>
          <w:color w:val="auto"/>
          <w:spacing w:val="0"/>
          <w:sz w:val="32"/>
          <w:szCs w:val="32"/>
          <w:highlight w:val="none"/>
          <w:lang w:val="en-US" w:eastAsia="zh-CN"/>
        </w:rPr>
        <w:t>13993</w:t>
      </w:r>
      <w:r>
        <w:rPr>
          <w:rStyle w:val="5"/>
          <w:rFonts w:hint="default" w:ascii="Times New Roman" w:hAnsi="Times New Roman" w:eastAsia="方正仿宋_GBK" w:cs="Times New Roman"/>
          <w:b w:val="0"/>
          <w:color w:val="auto"/>
          <w:spacing w:val="0"/>
          <w:sz w:val="32"/>
          <w:szCs w:val="32"/>
          <w:highlight w:val="none"/>
          <w:lang w:val="en-US" w:eastAsia="zh-CN"/>
        </w:rPr>
        <w:t>吨，货物周转量</w:t>
      </w:r>
      <w:r>
        <w:rPr>
          <w:rStyle w:val="5"/>
          <w:rFonts w:hint="eastAsia" w:eastAsia="方正仿宋_GBK" w:cs="Times New Roman"/>
          <w:b w:val="0"/>
          <w:color w:val="auto"/>
          <w:spacing w:val="0"/>
          <w:sz w:val="32"/>
          <w:szCs w:val="32"/>
          <w:highlight w:val="none"/>
          <w:lang w:val="en-US" w:eastAsia="zh-CN"/>
        </w:rPr>
        <w:t>280</w:t>
      </w:r>
      <w:r>
        <w:rPr>
          <w:rStyle w:val="5"/>
          <w:rFonts w:hint="default" w:ascii="Times New Roman" w:hAnsi="Times New Roman" w:eastAsia="方正仿宋_GBK" w:cs="Times New Roman"/>
          <w:b w:val="0"/>
          <w:color w:val="auto"/>
          <w:spacing w:val="0"/>
          <w:sz w:val="32"/>
          <w:szCs w:val="32"/>
          <w:highlight w:val="none"/>
          <w:lang w:val="en-US" w:eastAsia="zh-CN"/>
        </w:rPr>
        <w:t>亿吨</w:t>
      </w:r>
      <w:r>
        <w:rPr>
          <w:rStyle w:val="5"/>
          <w:rFonts w:hint="eastAsia" w:eastAsia="方正仿宋_GBK" w:cs="Times New Roman"/>
          <w:b w:val="0"/>
          <w:color w:val="auto"/>
          <w:spacing w:val="0"/>
          <w:sz w:val="32"/>
          <w:szCs w:val="32"/>
          <w:highlight w:val="none"/>
          <w:lang w:val="en-US" w:eastAsia="zh-CN"/>
        </w:rPr>
        <w:t>公里，同比</w:t>
      </w:r>
      <w:r>
        <w:rPr>
          <w:rStyle w:val="5"/>
          <w:rFonts w:hint="default" w:ascii="Times New Roman" w:hAnsi="Times New Roman" w:eastAsia="方正仿宋_GBK" w:cs="Times New Roman"/>
          <w:b w:val="0"/>
          <w:color w:val="auto"/>
          <w:spacing w:val="0"/>
          <w:sz w:val="32"/>
          <w:szCs w:val="32"/>
          <w:highlight w:val="none"/>
          <w:lang w:val="en-US" w:eastAsia="zh-CN"/>
        </w:rPr>
        <w:t>分别</w:t>
      </w:r>
      <w:r>
        <w:rPr>
          <w:rStyle w:val="5"/>
          <w:rFonts w:hint="eastAsia" w:eastAsia="方正仿宋_GBK" w:cs="Times New Roman"/>
          <w:b w:val="0"/>
          <w:color w:val="auto"/>
          <w:spacing w:val="0"/>
          <w:sz w:val="32"/>
          <w:szCs w:val="32"/>
          <w:highlight w:val="none"/>
          <w:lang w:val="en-US" w:eastAsia="zh-CN"/>
        </w:rPr>
        <w:t>增长8.6</w:t>
      </w:r>
      <w:r>
        <w:rPr>
          <w:rStyle w:val="5"/>
          <w:rFonts w:hint="default" w:ascii="Times New Roman" w:hAnsi="Times New Roman" w:eastAsia="方正仿宋_GBK" w:cs="Times New Roman"/>
          <w:b w:val="0"/>
          <w:color w:val="auto"/>
          <w:spacing w:val="0"/>
          <w:sz w:val="32"/>
          <w:szCs w:val="32"/>
          <w:highlight w:val="none"/>
          <w:lang w:val="en-US" w:eastAsia="zh-CN"/>
        </w:rPr>
        <w:t>%和</w:t>
      </w:r>
      <w:r>
        <w:rPr>
          <w:rStyle w:val="5"/>
          <w:rFonts w:hint="eastAsia" w:eastAsia="方正仿宋_GBK" w:cs="Times New Roman"/>
          <w:b w:val="0"/>
          <w:color w:val="auto"/>
          <w:spacing w:val="0"/>
          <w:sz w:val="32"/>
          <w:szCs w:val="32"/>
          <w:highlight w:val="none"/>
          <w:lang w:val="en-US" w:eastAsia="zh-CN"/>
        </w:rPr>
        <w:t>7.6</w:t>
      </w:r>
      <w:r>
        <w:rPr>
          <w:rStyle w:val="5"/>
          <w:rFonts w:hint="default" w:ascii="Times New Roman" w:hAnsi="Times New Roman" w:eastAsia="方正仿宋_GBK" w:cs="Times New Roman"/>
          <w:b w:val="0"/>
          <w:color w:val="auto"/>
          <w:spacing w:val="0"/>
          <w:sz w:val="32"/>
          <w:szCs w:val="32"/>
          <w:highlight w:val="none"/>
          <w:lang w:val="en-US" w:eastAsia="zh-CN"/>
        </w:rPr>
        <w:t>%。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color w:val="auto"/>
          <w:sz w:val="32"/>
          <w:szCs w:val="32"/>
          <w:highlight w:val="none"/>
          <w:lang w:val="en-US" w:eastAsia="zh-CN"/>
        </w:rPr>
        <w:t>三、港口生产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Style w:val="5"/>
          <w:rFonts w:hint="default" w:ascii="Times New Roman" w:hAnsi="Times New Roman" w:eastAsia="方正仿宋_GBK" w:cs="Times New Roman"/>
          <w:b w:val="0"/>
          <w:color w:val="auto"/>
          <w:spacing w:val="0"/>
          <w:sz w:val="32"/>
          <w:szCs w:val="32"/>
          <w:highlight w:val="none"/>
          <w:lang w:val="en-US" w:eastAsia="zh-CN"/>
        </w:rPr>
      </w:pPr>
      <w:r>
        <w:rPr>
          <w:rStyle w:val="5"/>
          <w:rFonts w:hint="default" w:ascii="Times New Roman" w:hAnsi="Times New Roman" w:eastAsia="方正仿宋_GBK" w:cs="Times New Roman"/>
          <w:b w:val="0"/>
          <w:color w:val="auto"/>
          <w:spacing w:val="0"/>
          <w:sz w:val="32"/>
          <w:szCs w:val="32"/>
          <w:highlight w:val="none"/>
          <w:lang w:val="en-US" w:eastAsia="zh-CN"/>
        </w:rPr>
        <w:t>1-1</w:t>
      </w:r>
      <w:r>
        <w:rPr>
          <w:rStyle w:val="5"/>
          <w:rFonts w:hint="eastAsia" w:eastAsia="方正仿宋_GBK" w:cs="Times New Roman"/>
          <w:b w:val="0"/>
          <w:color w:val="auto"/>
          <w:spacing w:val="0"/>
          <w:sz w:val="32"/>
          <w:szCs w:val="32"/>
          <w:highlight w:val="none"/>
          <w:lang w:val="en-US" w:eastAsia="zh-CN"/>
        </w:rPr>
        <w:t>2</w:t>
      </w:r>
      <w:r>
        <w:rPr>
          <w:rStyle w:val="5"/>
          <w:rFonts w:hint="default" w:ascii="Times New Roman" w:hAnsi="Times New Roman" w:eastAsia="方正仿宋_GBK" w:cs="Times New Roman"/>
          <w:b w:val="0"/>
          <w:color w:val="auto"/>
          <w:spacing w:val="0"/>
          <w:sz w:val="32"/>
          <w:szCs w:val="32"/>
          <w:highlight w:val="none"/>
          <w:lang w:val="en-US" w:eastAsia="zh-CN"/>
        </w:rPr>
        <w:t>月，</w:t>
      </w:r>
      <w:r>
        <w:rPr>
          <w:rStyle w:val="5"/>
          <w:rFonts w:hint="eastAsia" w:eastAsia="方正仿宋_GBK" w:cs="Times New Roman"/>
          <w:b w:val="0"/>
          <w:color w:val="auto"/>
          <w:spacing w:val="0"/>
          <w:sz w:val="32"/>
          <w:szCs w:val="32"/>
          <w:highlight w:val="none"/>
          <w:lang w:val="en-US" w:eastAsia="zh-CN"/>
        </w:rPr>
        <w:t>全</w:t>
      </w:r>
      <w:r>
        <w:rPr>
          <w:rStyle w:val="5"/>
          <w:rFonts w:hint="default" w:ascii="Times New Roman" w:hAnsi="Times New Roman" w:eastAsia="方正仿宋_GBK" w:cs="Times New Roman"/>
          <w:b w:val="0"/>
          <w:color w:val="auto"/>
          <w:spacing w:val="0"/>
          <w:sz w:val="32"/>
          <w:szCs w:val="32"/>
          <w:highlight w:val="none"/>
          <w:lang w:val="en-US" w:eastAsia="zh-CN"/>
        </w:rPr>
        <w:t>港累计完成货物吞吐量34498.7万吨，同比增长0.4%</w:t>
      </w:r>
      <w:r>
        <w:rPr>
          <w:rStyle w:val="5"/>
          <w:rFonts w:hint="eastAsia" w:eastAsia="方正仿宋_GBK" w:cs="Times New Roman"/>
          <w:b w:val="0"/>
          <w:color w:val="auto"/>
          <w:spacing w:val="0"/>
          <w:sz w:val="32"/>
          <w:szCs w:val="32"/>
          <w:highlight w:val="none"/>
          <w:lang w:val="en-US" w:eastAsia="zh-CN"/>
        </w:rPr>
        <w:t>；</w:t>
      </w:r>
      <w:r>
        <w:rPr>
          <w:rStyle w:val="5"/>
          <w:rFonts w:hint="default" w:ascii="Times New Roman" w:hAnsi="Times New Roman" w:eastAsia="方正仿宋_GBK" w:cs="Times New Roman"/>
          <w:b w:val="0"/>
          <w:color w:val="auto"/>
          <w:spacing w:val="0"/>
          <w:sz w:val="32"/>
          <w:szCs w:val="32"/>
          <w:highlight w:val="none"/>
          <w:lang w:val="en-US" w:eastAsia="zh-CN"/>
        </w:rPr>
        <w:t>集装箱完成276.8万TEU，同比增长33.8%。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color w:val="auto"/>
          <w:sz w:val="32"/>
          <w:szCs w:val="32"/>
          <w:highlight w:val="none"/>
          <w:lang w:val="en-US" w:eastAsia="zh-CN"/>
        </w:rPr>
        <w:t>四、航空运输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  <w:r>
        <w:rPr>
          <w:rFonts w:hint="eastAsia" w:eastAsia="方正仿宋_GBK" w:cs="Times New Roman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1-12月份</w:t>
      </w:r>
      <w:r>
        <w:rPr>
          <w:rFonts w:hint="default" w:eastAsia="方正仿宋_GBK" w:cs="Times New Roman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，机场完成旅客吞吐量</w:t>
      </w:r>
      <w:r>
        <w:rPr>
          <w:rFonts w:hint="eastAsia" w:eastAsia="方正仿宋_GBK" w:cs="Times New Roman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410.2</w:t>
      </w:r>
      <w:r>
        <w:rPr>
          <w:rFonts w:hint="default" w:eastAsia="方正仿宋_GBK" w:cs="Times New Roman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万人，同比增长</w:t>
      </w:r>
      <w:r>
        <w:rPr>
          <w:rFonts w:hint="eastAsia" w:eastAsia="方正仿宋_GBK" w:cs="Times New Roman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12.1%；累计</w:t>
      </w:r>
      <w:r>
        <w:rPr>
          <w:rFonts w:hint="default" w:eastAsia="方正仿宋_GBK" w:cs="Times New Roman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完成货邮吞吐量</w:t>
      </w:r>
      <w:r>
        <w:rPr>
          <w:rFonts w:hint="eastAsia" w:eastAsia="方正仿宋_GBK" w:cs="Times New Roman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6.9</w:t>
      </w:r>
      <w:r>
        <w:rPr>
          <w:rFonts w:hint="default" w:eastAsia="方正仿宋_GBK" w:cs="Times New Roman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万吨，同比</w:t>
      </w:r>
      <w:r>
        <w:rPr>
          <w:rFonts w:hint="eastAsia" w:eastAsia="方正仿宋_GBK" w:cs="Times New Roman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增长14.1</w:t>
      </w:r>
      <w:r>
        <w:rPr>
          <w:rFonts w:hint="default" w:eastAsia="方正仿宋_GBK" w:cs="Times New Roman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%</w:t>
      </w:r>
      <w:r>
        <w:rPr>
          <w:rFonts w:hint="eastAsia" w:eastAsia="方正仿宋_GBK" w:cs="Times New Roman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color w:val="auto"/>
          <w:sz w:val="32"/>
          <w:szCs w:val="32"/>
          <w:highlight w:val="none"/>
          <w:lang w:val="en-US" w:eastAsia="zh-CN"/>
        </w:rPr>
        <w:t>五、铁路运输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</w:pPr>
      <w:r>
        <w:rPr>
          <w:rFonts w:hint="eastAsia" w:eastAsia="方正仿宋_GBK" w:cs="Times New Roman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1-12月，铁路累计完成旅客运输1323.3万人，同比增长10%；累计完成货物运输276.2万吨，同比增长12.3%。</w:t>
      </w:r>
      <w:bookmarkStart w:id="0" w:name="_GoBack"/>
      <w:bookmarkEnd w:id="0"/>
    </w:p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0AFF" w:usb1="00007843" w:usb2="00000001" w:usb3="00000000" w:csb0="400001BF" w:csb1="DFF7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64213D"/>
    <w:rsid w:val="5B642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99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0" w:firstLineChars="0"/>
      <w:jc w:val="both"/>
    </w:pPr>
    <w:rPr>
      <w:rFonts w:ascii="Times New Roman" w:hAnsi="Times New Roman" w:eastAsia="仿宋_GB2312" w:cs="Times New Roman"/>
      <w:kern w:val="2"/>
      <w:sz w:val="28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5">
    <w:name w:val="Strong"/>
    <w:qFormat/>
    <w:uiPriority w:val="99"/>
    <w:rPr>
      <w:rFonts w:cs="Times New Roman"/>
      <w:b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2025-01-15T07:04:00Z</dcterms:created>
  <dc:creator>Administrator</dc:creator>
  <cp:lastModifiedBy>Administrator</cp:lastModifiedBy>
  <dcterms:modified xsi:type="dcterms:W3CDTF">2025-01-15T07:06:29Z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430522DBC8B848BCA1BCBC45A1417886</vt:lpwstr>
  </property>
</Properties>
</file>