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60CB2">
      <w:pPr>
        <w:spacing w:line="500" w:lineRule="exact"/>
        <w:jc w:val="center"/>
        <w:rPr>
          <w:rFonts w:ascii="宋体" w:hAnsi="宋体" w:cs="宋体"/>
          <w:bCs/>
          <w:spacing w:val="20"/>
          <w:sz w:val="44"/>
          <w:highlight w:val="none"/>
        </w:rPr>
      </w:pPr>
    </w:p>
    <w:p w14:paraId="1511E7B9">
      <w:pPr>
        <w:spacing w:line="360" w:lineRule="auto"/>
        <w:contextualSpacing/>
        <w:jc w:val="center"/>
        <w:rPr>
          <w:rFonts w:ascii="宋体" w:hAnsi="宋体" w:cs="宋体"/>
          <w:b/>
          <w:bCs/>
          <w:sz w:val="36"/>
          <w:szCs w:val="36"/>
          <w:highlight w:val="none"/>
        </w:rPr>
      </w:pPr>
      <w:r>
        <w:rPr>
          <w:rFonts w:hint="eastAsia" w:ascii="宋体" w:hAnsi="宋体" w:cs="宋体"/>
          <w:b/>
          <w:bCs/>
          <w:sz w:val="36"/>
          <w:szCs w:val="36"/>
          <w:highlight w:val="none"/>
        </w:rPr>
        <w:t>2026年南通城市轨道交通运营第三方安全监管项目</w:t>
      </w:r>
    </w:p>
    <w:p w14:paraId="4D6645CB">
      <w:pPr>
        <w:spacing w:line="480" w:lineRule="auto"/>
        <w:jc w:val="center"/>
        <w:rPr>
          <w:rFonts w:ascii="宋体" w:hAnsi="宋体" w:cs="宋体"/>
          <w:b/>
          <w:bCs/>
          <w:sz w:val="48"/>
          <w:szCs w:val="48"/>
          <w:highlight w:val="none"/>
        </w:rPr>
      </w:pPr>
    </w:p>
    <w:p w14:paraId="5257C762">
      <w:pPr>
        <w:jc w:val="center"/>
        <w:rPr>
          <w:rFonts w:ascii="宋体" w:hAnsi="宋体" w:cs="宋体"/>
          <w:bCs/>
          <w:sz w:val="100"/>
          <w:szCs w:val="100"/>
          <w:highlight w:val="none"/>
        </w:rPr>
      </w:pPr>
    </w:p>
    <w:p w14:paraId="55BBC4F1">
      <w:pPr>
        <w:tabs>
          <w:tab w:val="left" w:pos="6300"/>
        </w:tabs>
        <w:spacing w:line="300" w:lineRule="auto"/>
        <w:jc w:val="center"/>
        <w:rPr>
          <w:rFonts w:ascii="宋体" w:hAnsi="宋体" w:cs="宋体"/>
          <w:b/>
          <w:sz w:val="96"/>
          <w:szCs w:val="96"/>
          <w:highlight w:val="none"/>
        </w:rPr>
      </w:pPr>
      <w:r>
        <w:rPr>
          <w:rFonts w:hint="eastAsia" w:ascii="宋体" w:hAnsi="宋体" w:cs="宋体"/>
          <w:b/>
          <w:sz w:val="96"/>
          <w:szCs w:val="96"/>
          <w:highlight w:val="none"/>
        </w:rPr>
        <w:t>公开招标文件</w:t>
      </w:r>
    </w:p>
    <w:p w14:paraId="175FD15E">
      <w:pPr>
        <w:pStyle w:val="7"/>
        <w:spacing w:line="500" w:lineRule="exact"/>
        <w:rPr>
          <w:rFonts w:ascii="宋体" w:hAnsi="宋体" w:cs="宋体"/>
          <w:b w:val="0"/>
          <w:bCs/>
          <w:highlight w:val="none"/>
        </w:rPr>
      </w:pPr>
    </w:p>
    <w:p w14:paraId="04396A2A">
      <w:pPr>
        <w:spacing w:line="360" w:lineRule="auto"/>
        <w:jc w:val="center"/>
        <w:rPr>
          <w:rFonts w:ascii="宋体" w:hAnsi="宋体" w:cs="宋体"/>
          <w:b/>
          <w:sz w:val="30"/>
          <w:szCs w:val="30"/>
          <w:highlight w:val="none"/>
        </w:rPr>
      </w:pPr>
    </w:p>
    <w:p w14:paraId="270E8EBC">
      <w:pPr>
        <w:pStyle w:val="17"/>
        <w:rPr>
          <w:rFonts w:ascii="宋体" w:hAnsi="宋体" w:eastAsia="宋体" w:cs="宋体"/>
          <w:b/>
          <w:sz w:val="30"/>
          <w:szCs w:val="30"/>
          <w:highlight w:val="none"/>
        </w:rPr>
      </w:pPr>
    </w:p>
    <w:p w14:paraId="6D757184">
      <w:pPr>
        <w:pStyle w:val="55"/>
        <w:rPr>
          <w:rFonts w:ascii="宋体" w:hAnsi="宋体" w:eastAsia="宋体" w:cs="宋体"/>
          <w:b/>
          <w:color w:val="auto"/>
          <w:sz w:val="30"/>
          <w:szCs w:val="30"/>
          <w:highlight w:val="none"/>
        </w:rPr>
      </w:pPr>
    </w:p>
    <w:p w14:paraId="38B64BED">
      <w:pPr>
        <w:pStyle w:val="55"/>
        <w:rPr>
          <w:rFonts w:ascii="宋体" w:hAnsi="宋体" w:eastAsia="宋体" w:cs="宋体"/>
          <w:b/>
          <w:color w:val="auto"/>
          <w:sz w:val="30"/>
          <w:szCs w:val="30"/>
          <w:highlight w:val="none"/>
        </w:rPr>
      </w:pPr>
    </w:p>
    <w:p w14:paraId="55AECA5C">
      <w:pPr>
        <w:pStyle w:val="55"/>
        <w:rPr>
          <w:rFonts w:ascii="宋体" w:hAnsi="宋体" w:eastAsia="宋体" w:cs="宋体"/>
          <w:b/>
          <w:color w:val="auto"/>
          <w:sz w:val="30"/>
          <w:szCs w:val="30"/>
          <w:highlight w:val="none"/>
        </w:rPr>
      </w:pPr>
    </w:p>
    <w:p w14:paraId="7AA61908">
      <w:pPr>
        <w:pStyle w:val="55"/>
        <w:rPr>
          <w:rFonts w:ascii="宋体" w:hAnsi="宋体" w:eastAsia="宋体" w:cs="宋体"/>
          <w:b/>
          <w:color w:val="auto"/>
          <w:sz w:val="30"/>
          <w:szCs w:val="30"/>
          <w:highlight w:val="none"/>
        </w:rPr>
      </w:pPr>
    </w:p>
    <w:p w14:paraId="56507E10">
      <w:pPr>
        <w:pStyle w:val="55"/>
        <w:rPr>
          <w:rFonts w:ascii="宋体" w:hAnsi="宋体" w:eastAsia="宋体" w:cs="宋体"/>
          <w:b/>
          <w:color w:val="auto"/>
          <w:sz w:val="30"/>
          <w:szCs w:val="30"/>
          <w:highlight w:val="none"/>
        </w:rPr>
      </w:pPr>
    </w:p>
    <w:p w14:paraId="4E1C7243">
      <w:pPr>
        <w:pStyle w:val="55"/>
        <w:rPr>
          <w:rFonts w:ascii="宋体" w:hAnsi="宋体" w:eastAsia="宋体" w:cs="宋体"/>
          <w:b/>
          <w:color w:val="auto"/>
          <w:sz w:val="30"/>
          <w:szCs w:val="30"/>
          <w:highlight w:val="none"/>
        </w:rPr>
      </w:pPr>
    </w:p>
    <w:p w14:paraId="0CC161A2">
      <w:pPr>
        <w:pStyle w:val="55"/>
        <w:rPr>
          <w:rFonts w:ascii="宋体" w:hAnsi="宋体" w:eastAsia="宋体" w:cs="宋体"/>
          <w:b/>
          <w:color w:val="auto"/>
          <w:sz w:val="30"/>
          <w:szCs w:val="30"/>
          <w:highlight w:val="none"/>
        </w:rPr>
      </w:pPr>
    </w:p>
    <w:p w14:paraId="2C2EAB8F">
      <w:pPr>
        <w:pStyle w:val="55"/>
        <w:rPr>
          <w:rFonts w:ascii="宋体" w:hAnsi="宋体" w:eastAsia="宋体" w:cs="宋体"/>
          <w:b/>
          <w:color w:val="auto"/>
          <w:sz w:val="30"/>
          <w:szCs w:val="30"/>
          <w:highlight w:val="none"/>
        </w:rPr>
      </w:pPr>
    </w:p>
    <w:p w14:paraId="4AB70243">
      <w:pPr>
        <w:pStyle w:val="55"/>
        <w:rPr>
          <w:rFonts w:ascii="宋体" w:hAnsi="宋体" w:eastAsia="宋体" w:cs="宋体"/>
          <w:b/>
          <w:color w:val="auto"/>
          <w:sz w:val="30"/>
          <w:szCs w:val="30"/>
          <w:highlight w:val="none"/>
        </w:rPr>
      </w:pPr>
    </w:p>
    <w:p w14:paraId="60B69871">
      <w:pPr>
        <w:adjustRightInd w:val="0"/>
        <w:snapToGrid w:val="0"/>
        <w:spacing w:line="360" w:lineRule="auto"/>
        <w:ind w:firstLine="643" w:firstLineChars="200"/>
        <w:jc w:val="left"/>
        <w:rPr>
          <w:rFonts w:ascii="宋体" w:hAnsi="宋体" w:cs="宋体"/>
          <w:b/>
          <w:bCs/>
          <w:sz w:val="32"/>
          <w:szCs w:val="30"/>
          <w:highlight w:val="none"/>
        </w:rPr>
      </w:pPr>
      <w:r>
        <w:rPr>
          <w:rFonts w:hint="eastAsia" w:ascii="宋体" w:hAnsi="宋体" w:cs="宋体"/>
          <w:b/>
          <w:bCs/>
          <w:sz w:val="32"/>
          <w:szCs w:val="32"/>
          <w:highlight w:val="none"/>
        </w:rPr>
        <w:t>采   购   人：</w:t>
      </w:r>
      <w:r>
        <w:rPr>
          <w:rFonts w:hint="eastAsia" w:ascii="宋体" w:hAnsi="宋体" w:cs="宋体"/>
          <w:b/>
          <w:bCs/>
          <w:sz w:val="32"/>
          <w:szCs w:val="30"/>
          <w:highlight w:val="none"/>
        </w:rPr>
        <w:t>南通市交通运输局</w:t>
      </w:r>
    </w:p>
    <w:p w14:paraId="2FCB180E">
      <w:pPr>
        <w:adjustRightInd w:val="0"/>
        <w:snapToGrid w:val="0"/>
        <w:spacing w:line="360" w:lineRule="auto"/>
        <w:ind w:firstLine="643" w:firstLineChars="200"/>
        <w:jc w:val="left"/>
        <w:rPr>
          <w:rFonts w:ascii="宋体" w:hAnsi="宋体" w:cs="宋体"/>
          <w:b/>
          <w:bCs/>
          <w:sz w:val="32"/>
          <w:szCs w:val="30"/>
          <w:highlight w:val="none"/>
        </w:rPr>
      </w:pPr>
      <w:r>
        <w:rPr>
          <w:rFonts w:hint="eastAsia" w:ascii="宋体" w:hAnsi="宋体" w:cs="宋体"/>
          <w:b/>
          <w:bCs/>
          <w:sz w:val="32"/>
          <w:szCs w:val="30"/>
          <w:highlight w:val="none"/>
        </w:rPr>
        <w:t>采购代理机构：江苏睿致诚工程咨询有限公司</w:t>
      </w:r>
    </w:p>
    <w:p w14:paraId="5291F60E">
      <w:pPr>
        <w:spacing w:line="360" w:lineRule="auto"/>
        <w:ind w:firstLine="643" w:firstLineChars="200"/>
        <w:rPr>
          <w:rFonts w:ascii="宋体" w:hAnsi="宋体" w:cs="宋体"/>
          <w:b/>
          <w:sz w:val="30"/>
          <w:szCs w:val="30"/>
          <w:highlight w:val="none"/>
        </w:rPr>
      </w:pPr>
      <w:r>
        <w:rPr>
          <w:rFonts w:hint="eastAsia" w:ascii="宋体" w:hAnsi="宋体" w:cs="宋体"/>
          <w:b/>
          <w:bCs/>
          <w:sz w:val="32"/>
          <w:szCs w:val="32"/>
          <w:highlight w:val="none"/>
        </w:rPr>
        <w:t>日        期：二〇二五年十二月</w:t>
      </w:r>
    </w:p>
    <w:p w14:paraId="3A737E0D">
      <w:pPr>
        <w:spacing w:line="500" w:lineRule="exact"/>
        <w:rPr>
          <w:rFonts w:ascii="宋体" w:hAnsi="宋体" w:cs="宋体"/>
          <w:highlight w:val="none"/>
        </w:rPr>
      </w:pPr>
    </w:p>
    <w:p w14:paraId="70E1AA9E">
      <w:pPr>
        <w:rPr>
          <w:rFonts w:ascii="宋体" w:hAnsi="宋体" w:cs="宋体"/>
          <w:sz w:val="44"/>
          <w:szCs w:val="44"/>
          <w:highlight w:val="none"/>
        </w:rPr>
      </w:pPr>
      <w:r>
        <w:rPr>
          <w:rFonts w:hint="eastAsia" w:ascii="宋体" w:hAnsi="宋体" w:cs="宋体"/>
          <w:sz w:val="44"/>
          <w:szCs w:val="44"/>
          <w:highlight w:val="none"/>
        </w:rPr>
        <w:br w:type="page"/>
      </w:r>
    </w:p>
    <w:p w14:paraId="6A2B2920">
      <w:pPr>
        <w:spacing w:line="360" w:lineRule="auto"/>
        <w:jc w:val="center"/>
        <w:rPr>
          <w:rFonts w:ascii="宋体" w:hAnsi="宋体" w:cs="宋体"/>
          <w:sz w:val="44"/>
          <w:szCs w:val="44"/>
          <w:highlight w:val="none"/>
        </w:rPr>
      </w:pPr>
      <w:r>
        <w:rPr>
          <w:rFonts w:hint="eastAsia" w:ascii="宋体" w:hAnsi="宋体" w:cs="宋体"/>
          <w:sz w:val="44"/>
          <w:szCs w:val="44"/>
          <w:highlight w:val="none"/>
        </w:rPr>
        <w:t>目 录</w:t>
      </w:r>
    </w:p>
    <w:p w14:paraId="51FB70A2">
      <w:pPr>
        <w:tabs>
          <w:tab w:val="left" w:pos="7740"/>
        </w:tabs>
        <w:spacing w:line="360" w:lineRule="auto"/>
        <w:ind w:firstLine="640"/>
        <w:rPr>
          <w:rFonts w:ascii="宋体" w:hAnsi="宋体" w:cs="宋体"/>
          <w:spacing w:val="2"/>
          <w:sz w:val="32"/>
          <w:szCs w:val="32"/>
          <w:highlight w:val="none"/>
        </w:rPr>
      </w:pPr>
      <w:r>
        <w:rPr>
          <w:rFonts w:hint="eastAsia" w:ascii="宋体" w:hAnsi="宋体" w:cs="宋体"/>
          <w:bCs/>
          <w:sz w:val="32"/>
          <w:szCs w:val="32"/>
          <w:highlight w:val="none"/>
        </w:rPr>
        <w:t>第一部分  投标邀请</w:t>
      </w:r>
    </w:p>
    <w:p w14:paraId="5EB1BBB9">
      <w:pPr>
        <w:tabs>
          <w:tab w:val="left" w:pos="7740"/>
        </w:tabs>
        <w:spacing w:line="360" w:lineRule="auto"/>
        <w:ind w:firstLine="640"/>
        <w:rPr>
          <w:rFonts w:ascii="宋体" w:hAnsi="宋体" w:cs="宋体"/>
          <w:spacing w:val="2"/>
          <w:sz w:val="32"/>
          <w:szCs w:val="32"/>
          <w:highlight w:val="none"/>
        </w:rPr>
      </w:pPr>
      <w:r>
        <w:rPr>
          <w:rFonts w:hint="eastAsia" w:ascii="宋体" w:hAnsi="宋体" w:cs="宋体"/>
          <w:bCs/>
          <w:sz w:val="32"/>
          <w:szCs w:val="32"/>
          <w:highlight w:val="none"/>
        </w:rPr>
        <w:t>第二部分  投标须知</w:t>
      </w:r>
    </w:p>
    <w:p w14:paraId="1EF4AB64">
      <w:pPr>
        <w:tabs>
          <w:tab w:val="left" w:pos="7740"/>
        </w:tabs>
        <w:spacing w:line="360" w:lineRule="auto"/>
        <w:ind w:firstLine="640"/>
        <w:rPr>
          <w:rFonts w:ascii="宋体" w:hAnsi="宋体" w:cs="宋体"/>
          <w:spacing w:val="2"/>
          <w:sz w:val="32"/>
          <w:szCs w:val="32"/>
          <w:highlight w:val="none"/>
        </w:rPr>
      </w:pPr>
      <w:r>
        <w:rPr>
          <w:rFonts w:hint="eastAsia" w:ascii="宋体" w:hAnsi="宋体" w:cs="宋体"/>
          <w:bCs/>
          <w:sz w:val="32"/>
          <w:szCs w:val="32"/>
          <w:highlight w:val="none"/>
        </w:rPr>
        <w:t>第三部分  项目需求</w:t>
      </w:r>
    </w:p>
    <w:p w14:paraId="24C8F3C5">
      <w:pPr>
        <w:tabs>
          <w:tab w:val="left" w:pos="7740"/>
        </w:tabs>
        <w:spacing w:line="360" w:lineRule="auto"/>
        <w:ind w:firstLine="640"/>
        <w:rPr>
          <w:rFonts w:ascii="宋体" w:hAnsi="宋体" w:cs="宋体"/>
          <w:bCs/>
          <w:sz w:val="32"/>
          <w:szCs w:val="32"/>
          <w:highlight w:val="none"/>
        </w:rPr>
      </w:pPr>
      <w:r>
        <w:rPr>
          <w:rFonts w:hint="eastAsia" w:ascii="宋体" w:hAnsi="宋体" w:cs="宋体"/>
          <w:sz w:val="32"/>
          <w:szCs w:val="32"/>
          <w:highlight w:val="none"/>
        </w:rPr>
        <w:t xml:space="preserve">第四部分  </w:t>
      </w:r>
      <w:r>
        <w:rPr>
          <w:rFonts w:hint="eastAsia" w:ascii="宋体" w:hAnsi="宋体" w:cs="宋体"/>
          <w:bCs/>
          <w:sz w:val="32"/>
          <w:szCs w:val="32"/>
          <w:highlight w:val="none"/>
        </w:rPr>
        <w:t>评标方法与评标标准</w:t>
      </w:r>
    </w:p>
    <w:p w14:paraId="672885C3">
      <w:pPr>
        <w:tabs>
          <w:tab w:val="left" w:pos="7740"/>
        </w:tabs>
        <w:spacing w:line="360" w:lineRule="auto"/>
        <w:ind w:firstLine="640"/>
        <w:rPr>
          <w:rFonts w:ascii="宋体" w:hAnsi="宋体" w:cs="宋体"/>
          <w:spacing w:val="2"/>
          <w:sz w:val="32"/>
          <w:szCs w:val="32"/>
          <w:highlight w:val="none"/>
        </w:rPr>
      </w:pPr>
      <w:r>
        <w:rPr>
          <w:rFonts w:hint="eastAsia" w:ascii="宋体" w:hAnsi="宋体" w:cs="宋体"/>
          <w:bCs/>
          <w:sz w:val="32"/>
          <w:szCs w:val="32"/>
          <w:highlight w:val="none"/>
        </w:rPr>
        <w:t>第五部分  合同格式</w:t>
      </w:r>
    </w:p>
    <w:p w14:paraId="2265FD69">
      <w:pPr>
        <w:tabs>
          <w:tab w:val="left" w:pos="7740"/>
        </w:tabs>
        <w:spacing w:line="360" w:lineRule="auto"/>
        <w:ind w:firstLine="640"/>
        <w:rPr>
          <w:rFonts w:ascii="宋体" w:hAnsi="宋体" w:cs="宋体"/>
          <w:spacing w:val="2"/>
          <w:sz w:val="32"/>
          <w:szCs w:val="32"/>
          <w:highlight w:val="none"/>
        </w:rPr>
      </w:pPr>
      <w:r>
        <w:rPr>
          <w:rFonts w:hint="eastAsia" w:ascii="宋体" w:hAnsi="宋体" w:cs="宋体"/>
          <w:bCs/>
          <w:sz w:val="32"/>
          <w:szCs w:val="32"/>
          <w:highlight w:val="none"/>
        </w:rPr>
        <w:t>第六部分  投标文件组成</w:t>
      </w:r>
    </w:p>
    <w:p w14:paraId="665B7535">
      <w:pPr>
        <w:adjustRightInd w:val="0"/>
        <w:snapToGrid w:val="0"/>
        <w:spacing w:line="360" w:lineRule="auto"/>
        <w:jc w:val="center"/>
        <w:outlineLvl w:val="0"/>
        <w:rPr>
          <w:rFonts w:ascii="宋体" w:hAnsi="宋体" w:cs="宋体"/>
          <w:sz w:val="28"/>
          <w:szCs w:val="28"/>
          <w:highlight w:val="none"/>
        </w:rPr>
      </w:pPr>
      <w:r>
        <w:rPr>
          <w:rFonts w:hint="eastAsia" w:ascii="宋体" w:hAnsi="宋体" w:cs="宋体"/>
          <w:sz w:val="44"/>
          <w:szCs w:val="44"/>
          <w:highlight w:val="none"/>
        </w:rPr>
        <w:br w:type="page" w:clear="all"/>
      </w:r>
      <w:r>
        <w:rPr>
          <w:rFonts w:hint="eastAsia" w:ascii="宋体" w:hAnsi="宋体" w:cs="宋体"/>
          <w:bCs/>
          <w:sz w:val="36"/>
          <w:szCs w:val="36"/>
          <w:highlight w:val="none"/>
        </w:rPr>
        <w:t xml:space="preserve">第一部分  </w:t>
      </w:r>
      <w:bookmarkStart w:id="0" w:name="OLE_LINK5"/>
      <w:bookmarkStart w:id="1" w:name="OLE_LINK7"/>
      <w:r>
        <w:rPr>
          <w:rFonts w:hint="eastAsia" w:ascii="宋体" w:hAnsi="宋体" w:cs="宋体"/>
          <w:bCs/>
          <w:sz w:val="36"/>
          <w:szCs w:val="36"/>
          <w:highlight w:val="none"/>
        </w:rPr>
        <w:t>投标邀请</w:t>
      </w:r>
      <w:bookmarkStart w:id="2" w:name="OLE_LINK6"/>
    </w:p>
    <w:p w14:paraId="32D7A1D5">
      <w:pPr>
        <w:pBdr>
          <w:top w:val="single" w:color="000000" w:sz="4" w:space="1"/>
          <w:left w:val="single" w:color="000000" w:sz="4" w:space="4"/>
          <w:bottom w:val="single" w:color="000000" w:sz="4" w:space="1"/>
          <w:right w:val="single" w:color="000000" w:sz="4" w:space="4"/>
        </w:pBdr>
        <w:adjustRightInd w:val="0"/>
        <w:snapToGrid w:val="0"/>
        <w:spacing w:line="360" w:lineRule="auto"/>
        <w:ind w:firstLine="480" w:firstLineChars="200"/>
        <w:rPr>
          <w:rFonts w:ascii="宋体" w:hAnsi="宋体" w:cs="宋体"/>
          <w:sz w:val="24"/>
          <w:highlight w:val="none"/>
        </w:rPr>
      </w:pPr>
      <w:bookmarkStart w:id="3" w:name="OLE_LINK1"/>
      <w:r>
        <w:rPr>
          <w:rFonts w:hint="eastAsia" w:ascii="宋体" w:hAnsi="宋体" w:cs="宋体"/>
          <w:sz w:val="24"/>
          <w:highlight w:val="none"/>
        </w:rPr>
        <w:t>项目概况</w:t>
      </w:r>
    </w:p>
    <w:p w14:paraId="02645905">
      <w:pPr>
        <w:pBdr>
          <w:top w:val="single" w:color="000000" w:sz="4" w:space="1"/>
          <w:left w:val="single" w:color="000000" w:sz="4" w:space="4"/>
          <w:bottom w:val="single" w:color="000000" w:sz="4" w:space="1"/>
          <w:right w:val="single" w:color="000000" w:sz="4" w:space="4"/>
        </w:pBd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2026年南通城市轨道交通运营第三方安全监管项目的潜在投标人可在南通市交通运输局网下载招标文件，并于202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19</w:t>
      </w:r>
      <w:r>
        <w:rPr>
          <w:rFonts w:hint="eastAsia" w:ascii="宋体" w:hAnsi="宋体" w:cs="宋体"/>
          <w:sz w:val="24"/>
          <w:highlight w:val="none"/>
        </w:rPr>
        <w:t>日</w:t>
      </w:r>
      <w:r>
        <w:rPr>
          <w:rFonts w:hint="eastAsia" w:ascii="宋体" w:hAnsi="宋体" w:cs="宋体"/>
          <w:sz w:val="24"/>
          <w:highlight w:val="none"/>
          <w:lang w:val="en-US" w:eastAsia="zh-CN"/>
        </w:rPr>
        <w:t>14</w:t>
      </w:r>
      <w:r>
        <w:rPr>
          <w:rFonts w:hint="eastAsia" w:ascii="宋体" w:hAnsi="宋体" w:cs="宋体"/>
          <w:sz w:val="24"/>
          <w:highlight w:val="none"/>
        </w:rPr>
        <w:t>点</w:t>
      </w:r>
      <w:r>
        <w:rPr>
          <w:rFonts w:hint="eastAsia" w:ascii="宋体" w:hAnsi="宋体" w:cs="宋体"/>
          <w:sz w:val="24"/>
          <w:highlight w:val="none"/>
          <w:lang w:val="en-US" w:eastAsia="zh-CN"/>
        </w:rPr>
        <w:t>00</w:t>
      </w:r>
      <w:r>
        <w:rPr>
          <w:rFonts w:hint="eastAsia" w:ascii="宋体" w:hAnsi="宋体" w:cs="宋体"/>
          <w:sz w:val="24"/>
          <w:highlight w:val="none"/>
        </w:rPr>
        <w:t>分（北京时间）前递交投标文件。</w:t>
      </w:r>
    </w:p>
    <w:p w14:paraId="31005AF0">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一、项目基本情况</w:t>
      </w:r>
    </w:p>
    <w:p w14:paraId="1A30C1D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1.项目名称：2026年南通城市轨道交通运营第三方安全监管项目；</w:t>
      </w:r>
    </w:p>
    <w:p w14:paraId="48B8BF0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2.预算金额：30万元；</w:t>
      </w:r>
    </w:p>
    <w:p w14:paraId="5745B21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3.最高限价：人民币叁拾万元整（¥300000）；</w:t>
      </w:r>
    </w:p>
    <w:p w14:paraId="02FE913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采购需求：按照有关法律法规要求，参照《国务院办公厅关于保障城市轨道交通安全运行的意见》（国办发〔2018〕13号）、《城市轨道交通运营管理规定》（交通运输部令2018年第8号）、《城市轨道交通运营安全评估管理办法》（交运规〔2023〕3号）、《交通运输部关于印发&lt;城市轨道交通运营安全风险分级管控和隐患排查治理管理办法&gt;的通知》（交运规〔2024〕10号）等有关规定要求，结合运营专业及重点环节，</w:t>
      </w:r>
      <w:r>
        <w:rPr>
          <w:rFonts w:hint="eastAsia" w:ascii="宋体" w:hAnsi="宋体" w:cs="宋体"/>
          <w:sz w:val="24"/>
          <w:highlight w:val="none"/>
          <w:lang w:eastAsia="zh-CN"/>
        </w:rPr>
        <w:t>对运营单位制度落实情况、安全生产管理体系建设情况开展检查，并</w:t>
      </w:r>
      <w:r>
        <w:rPr>
          <w:rFonts w:hint="eastAsia" w:ascii="宋体" w:hAnsi="宋体" w:cs="宋体"/>
          <w:sz w:val="24"/>
          <w:highlight w:val="none"/>
        </w:rPr>
        <w:t>每季度</w:t>
      </w:r>
      <w:r>
        <w:rPr>
          <w:rFonts w:hint="eastAsia" w:ascii="宋体" w:hAnsi="宋体" w:cs="宋体"/>
          <w:sz w:val="24"/>
          <w:highlight w:val="none"/>
          <w:lang w:eastAsia="zh-CN"/>
        </w:rPr>
        <w:t>结合重大节假日及防汛防寒等关键节点对</w:t>
      </w:r>
      <w:r>
        <w:rPr>
          <w:rFonts w:hint="eastAsia" w:ascii="宋体" w:hAnsi="宋体" w:cs="宋体"/>
          <w:sz w:val="24"/>
          <w:highlight w:val="none"/>
        </w:rPr>
        <w:t>运营车站、区间（夜间检查）、车辆基地/停车场、主变电所等</w:t>
      </w:r>
      <w:r>
        <w:rPr>
          <w:rFonts w:hint="eastAsia" w:ascii="宋体" w:hAnsi="宋体" w:cs="宋体"/>
          <w:sz w:val="24"/>
          <w:highlight w:val="none"/>
          <w:lang w:eastAsia="zh-CN"/>
        </w:rPr>
        <w:t>至少</w:t>
      </w:r>
      <w:r>
        <w:rPr>
          <w:rFonts w:hint="eastAsia" w:ascii="宋体" w:hAnsi="宋体" w:cs="宋体"/>
          <w:sz w:val="24"/>
          <w:highlight w:val="none"/>
        </w:rPr>
        <w:t>开展一次抽查检查（全年基本覆盖全线）。详见招标文件第三部分，请仔细研究。</w:t>
      </w:r>
    </w:p>
    <w:p w14:paraId="00DCB15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5.合同履行期限：自合同签订之日起12个月内。</w:t>
      </w:r>
    </w:p>
    <w:p w14:paraId="3A867014">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二、申请人的资格要求：</w:t>
      </w:r>
    </w:p>
    <w:p w14:paraId="1DF982F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（一）通用资格要求</w:t>
      </w:r>
    </w:p>
    <w:p w14:paraId="1D231B3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1.满足《中华人民共和国政府采购法》第二十二条规定。</w:t>
      </w:r>
    </w:p>
    <w:p w14:paraId="3934D21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在“信用中国”网站（www.creditchina.gov.cn）查询，无被列入失信被执行人、重大税收违法失信主体名单、严重失信主体名单及其他不符合《中华人民共和国政府采购法》第二十二条规定条件的信用记录。（投标文件中无需提供证明材料）</w:t>
      </w:r>
    </w:p>
    <w:p w14:paraId="50A4130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3.落实政府采购政策需满足的资格要求：无。</w:t>
      </w:r>
    </w:p>
    <w:p w14:paraId="349278F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4.本项目不接受联合体投标。</w:t>
      </w:r>
    </w:p>
    <w:p w14:paraId="614F544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（二）本项目的特定资格要求：</w:t>
      </w:r>
    </w:p>
    <w:p w14:paraId="34A4B2F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1.拟派项目负责人具有高级及以上职称</w:t>
      </w:r>
      <w:r>
        <w:rPr>
          <w:rFonts w:hint="eastAsia" w:ascii="宋体" w:hAnsi="宋体" w:cs="宋体"/>
          <w:sz w:val="24"/>
          <w:highlight w:val="none"/>
          <w:lang w:eastAsia="zh-CN"/>
        </w:rPr>
        <w:t>，</w:t>
      </w:r>
      <w:r>
        <w:rPr>
          <w:rFonts w:hint="eastAsia" w:ascii="宋体" w:hAnsi="宋体" w:cs="宋体"/>
          <w:sz w:val="24"/>
          <w:highlight w:val="none"/>
          <w:lang w:val="en-US" w:eastAsia="zh-CN"/>
        </w:rPr>
        <w:t>且</w:t>
      </w:r>
      <w:r>
        <w:rPr>
          <w:rFonts w:hint="eastAsia" w:ascii="宋体" w:hAnsi="宋体" w:cs="宋体"/>
          <w:sz w:val="24"/>
          <w:highlight w:val="none"/>
        </w:rPr>
        <w:t>持有注册安全工程师职业资格证书，拟派项目负责人须为投标人自有人员，提供投标人为其缴纳的近三个月内（2025年10月至2025年12月）任意一个月社保缴费证明，社保缴纳证明材料需含缴费起止时间、缴费单位、缴费人员姓名并由社保机构加盖缴费证明专用章，社保机构官网上打印件与线下的盖章件具有同等效力，缴费单位须与投标人名称一致（投标人下属不具备独立法人资格的分支机构缴纳的社保视为本单位）。</w:t>
      </w:r>
    </w:p>
    <w:p w14:paraId="0FF3172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2.单位负责人为同一人或者存在直接控股、管理关系的不同投标人，不得参加同一合同项下的政府采购活动。</w:t>
      </w:r>
    </w:p>
    <w:p w14:paraId="64D53D2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3.本项目不允许分包。</w:t>
      </w:r>
    </w:p>
    <w:p w14:paraId="495725CB">
      <w:pPr>
        <w:keepNext/>
        <w:keepLines/>
        <w:adjustRightInd w:val="0"/>
        <w:snapToGrid w:val="0"/>
        <w:spacing w:line="360" w:lineRule="auto"/>
        <w:ind w:firstLine="482" w:firstLineChars="200"/>
        <w:outlineLvl w:val="2"/>
        <w:rPr>
          <w:rFonts w:ascii="宋体" w:hAnsi="宋体" w:cs="宋体"/>
          <w:b/>
          <w:bCs/>
          <w:sz w:val="24"/>
          <w:highlight w:val="none"/>
        </w:rPr>
      </w:pPr>
      <w:r>
        <w:rPr>
          <w:rFonts w:hint="eastAsia" w:ascii="宋体" w:hAnsi="宋体" w:cs="宋体"/>
          <w:b/>
          <w:sz w:val="24"/>
          <w:highlight w:val="none"/>
        </w:rPr>
        <w:t>三、</w:t>
      </w:r>
      <w:r>
        <w:rPr>
          <w:rFonts w:hint="eastAsia" w:ascii="宋体" w:hAnsi="宋体" w:cs="宋体"/>
          <w:b/>
          <w:bCs/>
          <w:sz w:val="24"/>
          <w:highlight w:val="none"/>
        </w:rPr>
        <w:t>投标预约</w:t>
      </w:r>
    </w:p>
    <w:p w14:paraId="5848C28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1.预约时间：自本公告上网发布之日起至202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8</w:t>
      </w:r>
      <w:r>
        <w:rPr>
          <w:rFonts w:hint="eastAsia" w:ascii="宋体" w:hAnsi="宋体" w:cs="宋体"/>
          <w:sz w:val="24"/>
          <w:highlight w:val="none"/>
        </w:rPr>
        <w:t>日，每日工作时间：上午9:00至11:30整，下午13:30至17:30整（北京时间，双休、节假日除外）。</w:t>
      </w:r>
    </w:p>
    <w:p w14:paraId="648BA4B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eastAsia="en-US"/>
        </w:rPr>
        <w:t>预约方式：凡符合资格要求并有意愿参加本项目的</w:t>
      </w:r>
      <w:r>
        <w:rPr>
          <w:rFonts w:hint="eastAsia" w:ascii="宋体" w:hAnsi="宋体" w:cs="宋体"/>
          <w:sz w:val="24"/>
          <w:highlight w:val="none"/>
        </w:rPr>
        <w:t>投标人</w:t>
      </w:r>
      <w:r>
        <w:rPr>
          <w:rFonts w:hint="eastAsia" w:ascii="宋体" w:hAnsi="宋体" w:cs="宋体"/>
          <w:sz w:val="24"/>
          <w:highlight w:val="none"/>
          <w:lang w:eastAsia="en-US"/>
        </w:rPr>
        <w:t>，请如实填写《申请函》（格式见本项目公告附件）并加盖公章，发彩色扫描件至邮箱（jsrzcnt@126.com）中，并致电</w:t>
      </w:r>
      <w:r>
        <w:rPr>
          <w:rFonts w:hint="eastAsia" w:ascii="宋体" w:hAnsi="宋体" w:cs="宋体"/>
          <w:sz w:val="24"/>
          <w:highlight w:val="none"/>
        </w:rPr>
        <w:t>采购</w:t>
      </w:r>
      <w:r>
        <w:rPr>
          <w:rFonts w:hint="eastAsia" w:ascii="宋体" w:hAnsi="宋体" w:cs="宋体"/>
          <w:sz w:val="24"/>
          <w:highlight w:val="none"/>
          <w:lang w:eastAsia="en-US"/>
        </w:rPr>
        <w:t>代理确认邮件送达，确认预约是否成功。</w:t>
      </w:r>
      <w:r>
        <w:rPr>
          <w:rFonts w:hint="eastAsia" w:ascii="宋体" w:hAnsi="宋体" w:cs="宋体"/>
          <w:sz w:val="24"/>
          <w:highlight w:val="none"/>
        </w:rPr>
        <w:t>凡预约成功的投标人，采购代理将邮寄一份纸质招标文件。</w:t>
      </w:r>
    </w:p>
    <w:p w14:paraId="1BBEDA5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招标文件资料费300元/套。</w:t>
      </w:r>
    </w:p>
    <w:p w14:paraId="35C40C1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采购代理联系人：陆工，联系电话：18260596237。</w:t>
      </w:r>
    </w:p>
    <w:p w14:paraId="61D05D7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注：未按上述要求进行预约及支付招标文件资料费用的，视为放弃本项目投标。</w:t>
      </w:r>
    </w:p>
    <w:p w14:paraId="5FCF021E">
      <w:pPr>
        <w:widowControl/>
        <w:adjustRightInd w:val="0"/>
        <w:snapToGrid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四、提交投标文件截止时间、开标时间和地点</w:t>
      </w:r>
    </w:p>
    <w:p w14:paraId="5342E67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1.投标文件递交截止时间和地点</w:t>
      </w:r>
    </w:p>
    <w:p w14:paraId="59E5DB7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投标文件递交截止时间：202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19</w:t>
      </w:r>
      <w:r>
        <w:rPr>
          <w:rFonts w:hint="eastAsia" w:ascii="宋体" w:hAnsi="宋体" w:cs="宋体"/>
          <w:sz w:val="24"/>
          <w:highlight w:val="none"/>
        </w:rPr>
        <w:t>日14点00分（北京时间）。</w:t>
      </w:r>
    </w:p>
    <w:p w14:paraId="01A3483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投标文件递交地点：南通市交通运输局14楼西会议室，如有变化另行通知。</w:t>
      </w:r>
    </w:p>
    <w:p w14:paraId="6C4EDA48">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逾期送达的或者未送达指定地点的投标文件，采购人不予受理。</w:t>
      </w:r>
    </w:p>
    <w:p w14:paraId="6316A5D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2.开标时间及地点</w:t>
      </w:r>
    </w:p>
    <w:p w14:paraId="41D5C2D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开标时间：202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19</w:t>
      </w:r>
      <w:r>
        <w:rPr>
          <w:rFonts w:hint="eastAsia" w:ascii="宋体" w:hAnsi="宋体" w:cs="宋体"/>
          <w:sz w:val="24"/>
          <w:highlight w:val="none"/>
        </w:rPr>
        <w:t>日14点00分（北京时间）。</w:t>
      </w:r>
    </w:p>
    <w:p w14:paraId="2289021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开标地点：南通市交通运输局14楼西会议室，如有变化另行通知。</w:t>
      </w:r>
    </w:p>
    <w:p w14:paraId="18185F4F">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五、公告期限</w:t>
      </w:r>
    </w:p>
    <w:p w14:paraId="77D7527A">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自本公告发布之日起5个工作日。</w:t>
      </w:r>
    </w:p>
    <w:p w14:paraId="25FB2E89">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六、其他补充事宜</w:t>
      </w:r>
    </w:p>
    <w:p w14:paraId="32F629F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1.投标保证金：免收</w:t>
      </w:r>
    </w:p>
    <w:p w14:paraId="7DF5B3FD">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2.</w:t>
      </w:r>
      <w:r>
        <w:rPr>
          <w:rFonts w:hint="eastAsia" w:ascii="宋体" w:hAnsi="宋体" w:cs="宋体"/>
          <w:bCs/>
          <w:sz w:val="24"/>
          <w:highlight w:val="none"/>
        </w:rPr>
        <w:t>有关本次招标的事项若存在变动或修改，</w:t>
      </w:r>
      <w:r>
        <w:rPr>
          <w:rFonts w:hint="eastAsia" w:ascii="宋体" w:hAnsi="宋体" w:cs="宋体"/>
          <w:sz w:val="24"/>
          <w:highlight w:val="none"/>
        </w:rPr>
        <w:t>均以南通市交通运输局网发布的更正或补充通知为准，</w:t>
      </w:r>
      <w:r>
        <w:rPr>
          <w:rFonts w:hint="eastAsia" w:ascii="宋体" w:hAnsi="宋体" w:cs="宋体"/>
          <w:bCs/>
          <w:sz w:val="24"/>
          <w:highlight w:val="none"/>
        </w:rPr>
        <w:t>敬请及时关注。</w:t>
      </w:r>
    </w:p>
    <w:p w14:paraId="3FC36F7F">
      <w:pPr>
        <w:tabs>
          <w:tab w:val="left" w:pos="900"/>
        </w:tabs>
        <w:adjustRightInd w:val="0"/>
        <w:snapToGrid w:val="0"/>
        <w:spacing w:line="360" w:lineRule="auto"/>
        <w:ind w:firstLine="480" w:firstLineChars="200"/>
        <w:jc w:val="left"/>
        <w:rPr>
          <w:rFonts w:ascii="宋体" w:hAnsi="宋体" w:cs="宋体"/>
          <w:bCs/>
          <w:sz w:val="24"/>
          <w:highlight w:val="none"/>
        </w:rPr>
      </w:pPr>
      <w:r>
        <w:rPr>
          <w:rFonts w:hint="eastAsia" w:ascii="宋体" w:hAnsi="宋体" w:cs="宋体"/>
          <w:sz w:val="24"/>
          <w:highlight w:val="none"/>
        </w:rPr>
        <w:t>3.投标人应依照规定提交各类声明函、承诺函，不再同时提供原件备查或提供有关部门出具的相关证明文件。但中标人应做好提交声明函、承诺函等相应原件的核查准备；核查后发现虚假或违背承诺的，依照相关法律法规规定处理。</w:t>
      </w:r>
    </w:p>
    <w:p w14:paraId="58DC9377">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七、对本次招标提出询问，请按以下方式联系。</w:t>
      </w:r>
    </w:p>
    <w:p w14:paraId="30B48C2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1.采购单位信息：</w:t>
      </w:r>
    </w:p>
    <w:p w14:paraId="600AA11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名称：南通市交通运输局</w:t>
      </w:r>
    </w:p>
    <w:p w14:paraId="6012FAD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地址：南通市政务中心北停车楼12楼（崇川区工农南路150-1号）</w:t>
      </w:r>
    </w:p>
    <w:p w14:paraId="3BCA0B9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联系人：苏先生</w:t>
      </w:r>
    </w:p>
    <w:p w14:paraId="1A24556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联系电话：0513-59003772</w:t>
      </w:r>
    </w:p>
    <w:p w14:paraId="7BD2658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2.采购代理机构信息：</w:t>
      </w:r>
    </w:p>
    <w:p w14:paraId="7A2456E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采购代理机构：江苏睿致诚工程咨询有限公司</w:t>
      </w:r>
    </w:p>
    <w:p w14:paraId="1A75D74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地址：南京市江宁区江南路697号金轮星际中心A1栋7楼</w:t>
      </w:r>
    </w:p>
    <w:p w14:paraId="0FA36D2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联系人：尹建、陈小龙</w:t>
      </w:r>
    </w:p>
    <w:p w14:paraId="4B05C99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电话：18906275357（尹建）、18932207883（陈小龙）</w:t>
      </w:r>
    </w:p>
    <w:bookmarkEnd w:id="3"/>
    <w:p w14:paraId="7AFFEF5A">
      <w:pPr>
        <w:rPr>
          <w:rFonts w:ascii="宋体" w:hAnsi="宋体" w:cs="宋体"/>
          <w:bCs/>
          <w:sz w:val="36"/>
          <w:szCs w:val="36"/>
          <w:highlight w:val="none"/>
        </w:rPr>
      </w:pPr>
      <w:r>
        <w:rPr>
          <w:rFonts w:hint="eastAsia" w:ascii="宋体" w:hAnsi="宋体" w:cs="宋体"/>
          <w:bCs/>
          <w:sz w:val="36"/>
          <w:szCs w:val="36"/>
          <w:highlight w:val="none"/>
        </w:rPr>
        <w:br w:type="page"/>
      </w:r>
    </w:p>
    <w:p w14:paraId="452EDDD8">
      <w:pPr>
        <w:adjustRightInd w:val="0"/>
        <w:snapToGrid w:val="0"/>
        <w:spacing w:line="500" w:lineRule="exact"/>
        <w:rPr>
          <w:rFonts w:ascii="宋体" w:hAnsi="宋体" w:cs="宋体"/>
          <w:sz w:val="28"/>
          <w:szCs w:val="28"/>
          <w:highlight w:val="none"/>
        </w:rPr>
      </w:pPr>
      <w:r>
        <w:rPr>
          <w:rFonts w:hint="eastAsia" w:ascii="宋体" w:hAnsi="宋体" w:cs="宋体"/>
          <w:sz w:val="28"/>
          <w:szCs w:val="28"/>
          <w:highlight w:val="none"/>
        </w:rPr>
        <w:t>附件</w:t>
      </w:r>
    </w:p>
    <w:p w14:paraId="3A441CCE">
      <w:pPr>
        <w:spacing w:line="420" w:lineRule="exact"/>
        <w:jc w:val="center"/>
        <w:rPr>
          <w:rFonts w:ascii="宋体" w:hAnsi="宋体" w:cs="宋体"/>
          <w:b/>
          <w:sz w:val="32"/>
          <w:szCs w:val="20"/>
          <w:highlight w:val="none"/>
        </w:rPr>
      </w:pPr>
      <w:r>
        <w:rPr>
          <w:rFonts w:hint="eastAsia" w:ascii="宋体" w:hAnsi="宋体" w:cs="宋体"/>
          <w:b/>
          <w:sz w:val="32"/>
          <w:szCs w:val="20"/>
          <w:highlight w:val="none"/>
        </w:rPr>
        <w:t>申请函</w:t>
      </w:r>
    </w:p>
    <w:p w14:paraId="2936AD43">
      <w:pPr>
        <w:spacing w:line="420" w:lineRule="exact"/>
        <w:jc w:val="left"/>
        <w:rPr>
          <w:rFonts w:ascii="宋体" w:hAnsi="宋体" w:cs="宋体"/>
          <w:b/>
          <w:sz w:val="32"/>
          <w:szCs w:val="20"/>
          <w:highlight w:val="none"/>
        </w:rPr>
      </w:pPr>
    </w:p>
    <w:p w14:paraId="1A259A8C">
      <w:pPr>
        <w:adjustRightInd w:val="0"/>
        <w:snapToGrid w:val="0"/>
        <w:spacing w:line="360" w:lineRule="auto"/>
        <w:jc w:val="left"/>
        <w:rPr>
          <w:rFonts w:ascii="宋体" w:hAnsi="宋体" w:cs="宋体"/>
          <w:b/>
          <w:sz w:val="24"/>
          <w:highlight w:val="none"/>
          <w:u w:val="single"/>
        </w:rPr>
      </w:pPr>
      <w:r>
        <w:rPr>
          <w:rFonts w:hint="eastAsia" w:ascii="宋体" w:hAnsi="宋体" w:cs="宋体"/>
          <w:b/>
          <w:sz w:val="24"/>
          <w:highlight w:val="none"/>
        </w:rPr>
        <w:t>致：</w:t>
      </w:r>
      <w:r>
        <w:rPr>
          <w:rFonts w:hint="eastAsia" w:ascii="宋体" w:hAnsi="宋体" w:cs="宋体"/>
          <w:b/>
          <w:spacing w:val="7"/>
          <w:sz w:val="24"/>
          <w:highlight w:val="none"/>
          <w:u w:val="single"/>
        </w:rPr>
        <w:t>（采购人名称）</w:t>
      </w:r>
    </w:p>
    <w:p w14:paraId="33B3EF43">
      <w:pPr>
        <w:widowControl/>
        <w:shd w:val="clear" w:color="auto" w:fill="FFFFFF"/>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我公司已获悉贵单位发出的</w:t>
      </w:r>
      <w:r>
        <w:rPr>
          <w:rFonts w:hint="eastAsia" w:ascii="宋体" w:hAnsi="宋体" w:cs="宋体"/>
          <w:sz w:val="24"/>
          <w:highlight w:val="none"/>
          <w:u w:val="single"/>
        </w:rPr>
        <w:t xml:space="preserve">          </w:t>
      </w:r>
      <w:r>
        <w:rPr>
          <w:rFonts w:hint="eastAsia" w:ascii="宋体" w:hAnsi="宋体" w:cs="宋体"/>
          <w:spacing w:val="7"/>
          <w:sz w:val="24"/>
          <w:highlight w:val="none"/>
        </w:rPr>
        <w:t>招标公告</w:t>
      </w:r>
      <w:r>
        <w:rPr>
          <w:rFonts w:hint="eastAsia" w:ascii="宋体" w:hAnsi="宋体" w:cs="宋体"/>
          <w:sz w:val="24"/>
          <w:highlight w:val="none"/>
        </w:rPr>
        <w:t>，经研究，我单位拟参加本项目的投标。</w:t>
      </w:r>
    </w:p>
    <w:p w14:paraId="1A0955B6">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联系人：</w:t>
      </w:r>
      <w:r>
        <w:rPr>
          <w:rFonts w:hint="eastAsia" w:ascii="宋体" w:hAnsi="宋体" w:cs="宋体"/>
          <w:spacing w:val="7"/>
          <w:sz w:val="24"/>
          <w:highlight w:val="none"/>
          <w:u w:val="single"/>
        </w:rPr>
        <w:t xml:space="preserve">   </w:t>
      </w:r>
    </w:p>
    <w:p w14:paraId="6CA1E4D6">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pacing w:val="7"/>
          <w:sz w:val="24"/>
          <w:highlight w:val="none"/>
          <w:u w:val="single"/>
        </w:rPr>
        <w:t xml:space="preserve">   </w:t>
      </w:r>
    </w:p>
    <w:p w14:paraId="1F313E2D">
      <w:pPr>
        <w:adjustRightInd w:val="0"/>
        <w:snapToGrid w:val="0"/>
        <w:spacing w:line="360" w:lineRule="auto"/>
        <w:ind w:firstLine="480" w:firstLineChars="200"/>
        <w:jc w:val="left"/>
        <w:rPr>
          <w:rFonts w:ascii="宋体" w:hAnsi="宋体" w:cs="宋体"/>
          <w:sz w:val="24"/>
          <w:highlight w:val="none"/>
          <w:lang w:val="zh-CN"/>
        </w:rPr>
      </w:pPr>
      <w:r>
        <w:rPr>
          <w:rFonts w:hint="eastAsia" w:ascii="宋体" w:hAnsi="宋体" w:cs="宋体"/>
          <w:sz w:val="24"/>
          <w:highlight w:val="none"/>
          <w:lang w:val="zh-CN"/>
        </w:rPr>
        <w:t>E-MAIL地址：</w:t>
      </w:r>
      <w:r>
        <w:rPr>
          <w:rFonts w:hint="eastAsia" w:ascii="宋体" w:hAnsi="宋体" w:cs="宋体"/>
          <w:spacing w:val="7"/>
          <w:sz w:val="24"/>
          <w:highlight w:val="none"/>
          <w:u w:val="single"/>
        </w:rPr>
        <w:t xml:space="preserve">   </w:t>
      </w:r>
    </w:p>
    <w:p w14:paraId="2E3E0EDF">
      <w:pPr>
        <w:adjustRightInd w:val="0"/>
        <w:snapToGrid w:val="0"/>
        <w:spacing w:line="360" w:lineRule="auto"/>
        <w:jc w:val="left"/>
        <w:rPr>
          <w:rFonts w:ascii="宋体" w:hAnsi="宋体" w:cs="宋体"/>
          <w:sz w:val="24"/>
          <w:highlight w:val="none"/>
          <w:lang w:val="zh-CN"/>
        </w:rPr>
      </w:pPr>
    </w:p>
    <w:p w14:paraId="5408F557">
      <w:pPr>
        <w:adjustRightInd w:val="0"/>
        <w:snapToGrid w:val="0"/>
        <w:spacing w:line="360" w:lineRule="auto"/>
        <w:ind w:firstLine="6480" w:firstLineChars="2700"/>
        <w:jc w:val="left"/>
        <w:rPr>
          <w:rFonts w:ascii="宋体" w:hAnsi="宋体" w:cs="宋体"/>
          <w:sz w:val="24"/>
          <w:highlight w:val="none"/>
          <w:u w:val="single"/>
          <w:lang w:val="zh-CN"/>
        </w:rPr>
      </w:pPr>
      <w:r>
        <w:rPr>
          <w:rFonts w:hint="eastAsia" w:ascii="宋体" w:hAnsi="宋体" w:cs="宋体"/>
          <w:sz w:val="24"/>
          <w:highlight w:val="none"/>
          <w:lang w:val="zh-CN"/>
        </w:rPr>
        <w:t>单位：</w:t>
      </w:r>
      <w:r>
        <w:rPr>
          <w:rFonts w:hint="eastAsia" w:ascii="宋体" w:hAnsi="宋体" w:cs="宋体"/>
          <w:sz w:val="24"/>
          <w:highlight w:val="none"/>
          <w:u w:val="single"/>
          <w:lang w:val="zh-CN"/>
        </w:rPr>
        <w:t xml:space="preserve"> （盖章）                 </w:t>
      </w:r>
    </w:p>
    <w:p w14:paraId="270D4938">
      <w:pPr>
        <w:adjustRightInd w:val="0"/>
        <w:snapToGrid w:val="0"/>
        <w:spacing w:line="360" w:lineRule="auto"/>
        <w:jc w:val="right"/>
        <w:rPr>
          <w:rFonts w:ascii="宋体" w:hAnsi="宋体" w:cs="宋体"/>
          <w:sz w:val="24"/>
          <w:highlight w:val="none"/>
        </w:rPr>
      </w:pPr>
      <w:r>
        <w:rPr>
          <w:rFonts w:hint="eastAsia" w:ascii="宋体" w:hAnsi="宋体" w:cs="宋体"/>
          <w:spacing w:val="7"/>
          <w:sz w:val="24"/>
          <w:highlight w:val="none"/>
          <w:u w:val="single"/>
        </w:rPr>
        <w:t xml:space="preserve">   </w:t>
      </w:r>
      <w:r>
        <w:rPr>
          <w:rFonts w:hint="eastAsia" w:ascii="宋体" w:hAnsi="宋体" w:cs="宋体"/>
          <w:sz w:val="24"/>
          <w:highlight w:val="none"/>
          <w:lang w:val="zh-CN"/>
        </w:rPr>
        <w:t>年</w:t>
      </w:r>
      <w:r>
        <w:rPr>
          <w:rFonts w:hint="eastAsia" w:ascii="宋体" w:hAnsi="宋体" w:cs="宋体"/>
          <w:spacing w:val="7"/>
          <w:sz w:val="24"/>
          <w:highlight w:val="none"/>
          <w:u w:val="single"/>
        </w:rPr>
        <w:t xml:space="preserve">   </w:t>
      </w:r>
      <w:r>
        <w:rPr>
          <w:rFonts w:hint="eastAsia" w:ascii="宋体" w:hAnsi="宋体" w:cs="宋体"/>
          <w:sz w:val="24"/>
          <w:highlight w:val="none"/>
          <w:lang w:val="zh-CN"/>
        </w:rPr>
        <w:t>月</w:t>
      </w:r>
      <w:r>
        <w:rPr>
          <w:rFonts w:hint="eastAsia" w:ascii="宋体" w:hAnsi="宋体" w:cs="宋体"/>
          <w:spacing w:val="7"/>
          <w:sz w:val="24"/>
          <w:highlight w:val="none"/>
          <w:u w:val="single"/>
        </w:rPr>
        <w:t xml:space="preserve">   </w:t>
      </w:r>
      <w:r>
        <w:rPr>
          <w:rFonts w:hint="eastAsia" w:ascii="宋体" w:hAnsi="宋体" w:cs="宋体"/>
          <w:sz w:val="24"/>
          <w:highlight w:val="none"/>
          <w:lang w:val="zh-CN"/>
        </w:rPr>
        <w:t>日</w:t>
      </w:r>
    </w:p>
    <w:p w14:paraId="7BB33709">
      <w:pPr>
        <w:spacing w:line="500" w:lineRule="exact"/>
        <w:jc w:val="center"/>
        <w:outlineLvl w:val="0"/>
        <w:rPr>
          <w:rFonts w:ascii="宋体" w:hAnsi="宋体" w:cs="宋体"/>
          <w:bCs/>
          <w:sz w:val="36"/>
          <w:szCs w:val="36"/>
          <w:highlight w:val="none"/>
        </w:rPr>
      </w:pPr>
      <w:r>
        <w:rPr>
          <w:rFonts w:hint="eastAsia" w:ascii="宋体" w:hAnsi="宋体" w:cs="宋体"/>
          <w:b/>
          <w:sz w:val="36"/>
          <w:szCs w:val="36"/>
          <w:highlight w:val="none"/>
        </w:rPr>
        <w:br w:type="page"/>
      </w:r>
      <w:r>
        <w:rPr>
          <w:rFonts w:hint="eastAsia" w:ascii="宋体" w:hAnsi="宋体" w:cs="宋体"/>
          <w:bCs/>
          <w:sz w:val="36"/>
          <w:szCs w:val="36"/>
          <w:highlight w:val="none"/>
        </w:rPr>
        <w:t>第二部分  投标须知</w:t>
      </w:r>
    </w:p>
    <w:p w14:paraId="1CF80827">
      <w:pPr>
        <w:pStyle w:val="4"/>
        <w:adjustRightInd w:val="0"/>
        <w:snapToGrid w:val="0"/>
        <w:spacing w:before="0" w:after="0" w:line="360" w:lineRule="auto"/>
        <w:ind w:firstLine="482" w:firstLineChars="200"/>
        <w:rPr>
          <w:rFonts w:ascii="宋体" w:hAnsi="宋体" w:cs="宋体"/>
          <w:sz w:val="24"/>
          <w:szCs w:val="24"/>
          <w:highlight w:val="none"/>
        </w:rPr>
      </w:pPr>
      <w:bookmarkStart w:id="4" w:name="_Toc16938519"/>
      <w:bookmarkStart w:id="5" w:name="_Toc20823275"/>
      <w:bookmarkStart w:id="6" w:name="_Toc120614214"/>
      <w:bookmarkStart w:id="7" w:name="_Toc513029203"/>
      <w:r>
        <w:rPr>
          <w:rFonts w:hint="eastAsia" w:ascii="宋体" w:hAnsi="宋体" w:cs="宋体"/>
          <w:sz w:val="24"/>
          <w:szCs w:val="24"/>
          <w:highlight w:val="none"/>
        </w:rPr>
        <w:t>（一）总则</w:t>
      </w:r>
      <w:bookmarkEnd w:id="4"/>
      <w:bookmarkEnd w:id="5"/>
      <w:bookmarkEnd w:id="6"/>
      <w:bookmarkEnd w:id="7"/>
    </w:p>
    <w:p w14:paraId="356CDFB1">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8" w:name="_Hlt16619475"/>
      <w:bookmarkEnd w:id="8"/>
      <w:bookmarkStart w:id="9" w:name="_Toc458694821"/>
      <w:bookmarkStart w:id="10" w:name="_Toc513029204"/>
      <w:bookmarkStart w:id="11" w:name="_Toc20823276"/>
      <w:bookmarkStart w:id="12" w:name="_Toc16938520"/>
      <w:r>
        <w:rPr>
          <w:rFonts w:hint="eastAsia" w:ascii="宋体" w:hAnsi="宋体" w:eastAsia="宋体" w:cs="宋体"/>
          <w:sz w:val="24"/>
          <w:szCs w:val="24"/>
          <w:highlight w:val="none"/>
        </w:rPr>
        <w:t>1</w:t>
      </w:r>
      <w:bookmarkEnd w:id="9"/>
      <w:r>
        <w:rPr>
          <w:rFonts w:hint="eastAsia" w:ascii="宋体" w:hAnsi="宋体" w:eastAsia="宋体" w:cs="宋体"/>
          <w:sz w:val="24"/>
          <w:szCs w:val="24"/>
          <w:highlight w:val="none"/>
        </w:rPr>
        <w:t>.招标方式</w:t>
      </w:r>
      <w:bookmarkEnd w:id="10"/>
      <w:bookmarkEnd w:id="11"/>
      <w:bookmarkEnd w:id="12"/>
    </w:p>
    <w:p w14:paraId="6057B05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1.1本次招标采取公开招标方式，本招标文件仅适用于招标公告中所述项目。</w:t>
      </w:r>
    </w:p>
    <w:p w14:paraId="3D1340DA">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13" w:name="_Toc20823277"/>
      <w:bookmarkStart w:id="14" w:name="_Toc16938521"/>
      <w:bookmarkStart w:id="15" w:name="_Toc513029205"/>
      <w:r>
        <w:rPr>
          <w:rFonts w:hint="eastAsia" w:ascii="宋体" w:hAnsi="宋体" w:eastAsia="宋体" w:cs="宋体"/>
          <w:sz w:val="24"/>
          <w:szCs w:val="24"/>
          <w:highlight w:val="none"/>
        </w:rPr>
        <w:t>2.合格的</w:t>
      </w:r>
      <w:bookmarkEnd w:id="13"/>
      <w:bookmarkEnd w:id="14"/>
      <w:bookmarkEnd w:id="15"/>
      <w:r>
        <w:rPr>
          <w:rFonts w:hint="eastAsia" w:ascii="宋体" w:hAnsi="宋体" w:eastAsia="宋体" w:cs="宋体"/>
          <w:sz w:val="24"/>
          <w:szCs w:val="24"/>
          <w:highlight w:val="none"/>
        </w:rPr>
        <w:t>投标人</w:t>
      </w:r>
    </w:p>
    <w:p w14:paraId="7D4A4FA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2.1满足招标公告中投标人的资格要求的规定。</w:t>
      </w:r>
    </w:p>
    <w:p w14:paraId="087EEA1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2.2满足本文件实质性条款的规定。</w:t>
      </w:r>
    </w:p>
    <w:p w14:paraId="438F84B3">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16" w:name="_Toc513029206"/>
      <w:bookmarkStart w:id="17" w:name="_Toc16938522"/>
      <w:bookmarkStart w:id="18" w:name="_Toc20823278"/>
      <w:r>
        <w:rPr>
          <w:rFonts w:hint="eastAsia" w:ascii="宋体" w:hAnsi="宋体" w:eastAsia="宋体" w:cs="宋体"/>
          <w:sz w:val="24"/>
          <w:szCs w:val="24"/>
          <w:highlight w:val="none"/>
        </w:rPr>
        <w:t>3.适用法律</w:t>
      </w:r>
      <w:bookmarkEnd w:id="16"/>
      <w:bookmarkEnd w:id="17"/>
      <w:bookmarkEnd w:id="18"/>
    </w:p>
    <w:p w14:paraId="2DB43E3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3.1本次招标及由此产生的合同受中华人民共和国有关的法律法规制约和保护。</w:t>
      </w:r>
    </w:p>
    <w:p w14:paraId="6A4C7073">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19" w:name="_Toc16938523"/>
      <w:bookmarkStart w:id="20" w:name="_Toc513029207"/>
      <w:bookmarkStart w:id="21" w:name="_Toc20823279"/>
      <w:bookmarkStart w:id="22" w:name="_Toc462564067"/>
      <w:r>
        <w:rPr>
          <w:rFonts w:hint="eastAsia" w:ascii="宋体" w:hAnsi="宋体" w:eastAsia="宋体" w:cs="宋体"/>
          <w:sz w:val="24"/>
          <w:szCs w:val="24"/>
          <w:highlight w:val="none"/>
        </w:rPr>
        <w:t>4.投标费用</w:t>
      </w:r>
      <w:bookmarkEnd w:id="19"/>
      <w:bookmarkEnd w:id="20"/>
      <w:bookmarkEnd w:id="21"/>
      <w:bookmarkEnd w:id="22"/>
    </w:p>
    <w:p w14:paraId="0E25C6E8">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4.1投标人应自行承担所有与参加投标有关的费用，无论招标过程中的做法和结果如何，采购人在任何情况下均无义务和责任承担这些费用。</w:t>
      </w:r>
    </w:p>
    <w:p w14:paraId="7EDE5C2E">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4.2</w:t>
      </w:r>
      <w:r>
        <w:rPr>
          <w:rFonts w:hint="eastAsia" w:ascii="宋体" w:hAnsi="宋体" w:cs="宋体"/>
          <w:sz w:val="24"/>
          <w:highlight w:val="none"/>
        </w:rPr>
        <w:t>本项目采购代理费由中标人支付。根据国家计委关于印发《招标代理服务收费管理暂行办法》的通知（计价格[2002]1980号）、《国家发展改革委关于降低部分建设项目收费标准规范收费行为等有关问题的通知》（发改价格[2011]534号）的80%计取（采购代理费不足0.6万元，按0.6万元计取），按照中标价计算并由中标人支付；此部分费用包含在投标报价中，不单独计量支付，中标人应在领取中标通知书的同时一次性向采购代理单位支付（按照采购人与代理单位签订的代理合同执行）。</w:t>
      </w:r>
    </w:p>
    <w:p w14:paraId="1FC7B7BE">
      <w:pPr>
        <w:pStyle w:val="5"/>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5.招标文件的约束力</w:t>
      </w:r>
    </w:p>
    <w:p w14:paraId="758DA02A">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5.1</w:t>
      </w:r>
      <w:r>
        <w:rPr>
          <w:rFonts w:hint="eastAsia" w:ascii="宋体" w:hAnsi="宋体" w:cs="宋体"/>
          <w:sz w:val="24"/>
          <w:highlight w:val="none"/>
        </w:rPr>
        <w:t>投标人一旦参加本项目采购活动，即被认为接受了本招标文件的规定和约束。</w:t>
      </w:r>
    </w:p>
    <w:p w14:paraId="41556537">
      <w:pPr>
        <w:pStyle w:val="5"/>
        <w:adjustRightInd w:val="0"/>
        <w:snapToGrid w:val="0"/>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6.招标文件的解释</w:t>
      </w:r>
    </w:p>
    <w:p w14:paraId="3E9FB5E5">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6.1</w:t>
      </w:r>
      <w:r>
        <w:rPr>
          <w:rFonts w:hint="eastAsia" w:ascii="宋体" w:hAnsi="宋体" w:cs="宋体"/>
          <w:sz w:val="24"/>
          <w:highlight w:val="none"/>
        </w:rPr>
        <w:t>招标文件需求部分（投标人资格要求、项目需求、商务技术评分标准）由采购人解释，其他部分由采购代理机构解释。</w:t>
      </w:r>
    </w:p>
    <w:p w14:paraId="260710E6">
      <w:pPr>
        <w:pStyle w:val="4"/>
        <w:adjustRightInd w:val="0"/>
        <w:snapToGrid w:val="0"/>
        <w:spacing w:before="0" w:after="0" w:line="360" w:lineRule="auto"/>
        <w:ind w:firstLine="482" w:firstLineChars="200"/>
        <w:rPr>
          <w:rFonts w:ascii="宋体" w:hAnsi="宋体" w:cs="宋体"/>
          <w:sz w:val="24"/>
          <w:szCs w:val="24"/>
          <w:highlight w:val="none"/>
        </w:rPr>
      </w:pPr>
      <w:bookmarkStart w:id="23" w:name="_Toc120614215"/>
      <w:bookmarkStart w:id="24" w:name="_Toc16938525"/>
      <w:bookmarkStart w:id="25" w:name="_Toc20823281"/>
      <w:bookmarkStart w:id="26" w:name="_Toc513029209"/>
      <w:r>
        <w:rPr>
          <w:rFonts w:hint="eastAsia" w:ascii="宋体" w:hAnsi="宋体" w:cs="宋体"/>
          <w:sz w:val="24"/>
          <w:szCs w:val="24"/>
          <w:highlight w:val="none"/>
        </w:rPr>
        <w:t>（二）招标文件</w:t>
      </w:r>
      <w:bookmarkEnd w:id="23"/>
      <w:bookmarkEnd w:id="24"/>
      <w:bookmarkEnd w:id="25"/>
      <w:bookmarkEnd w:id="26"/>
    </w:p>
    <w:p w14:paraId="03D5B7DE">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27" w:name="_Toc513029210"/>
      <w:bookmarkStart w:id="28" w:name="_Toc20823282"/>
      <w:bookmarkStart w:id="29" w:name="_Toc16938526"/>
      <w:r>
        <w:rPr>
          <w:rFonts w:hint="eastAsia" w:ascii="宋体" w:hAnsi="宋体" w:eastAsia="宋体" w:cs="宋体"/>
          <w:sz w:val="24"/>
          <w:szCs w:val="24"/>
          <w:highlight w:val="none"/>
        </w:rPr>
        <w:t>1.招标文件构成</w:t>
      </w:r>
      <w:bookmarkEnd w:id="27"/>
      <w:bookmarkEnd w:id="28"/>
      <w:bookmarkEnd w:id="29"/>
    </w:p>
    <w:p w14:paraId="2731C799">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1.1</w:t>
      </w:r>
      <w:r>
        <w:rPr>
          <w:rFonts w:hint="eastAsia" w:ascii="宋体" w:hAnsi="宋体" w:cs="宋体"/>
          <w:sz w:val="24"/>
          <w:highlight w:val="none"/>
        </w:rPr>
        <w:t>招标文件由以下部分组成：</w:t>
      </w:r>
    </w:p>
    <w:p w14:paraId="05DF2FF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（1）投标邀请</w:t>
      </w:r>
    </w:p>
    <w:p w14:paraId="526E497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（2）投标须知</w:t>
      </w:r>
    </w:p>
    <w:p w14:paraId="4537AD9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（3）项目需求</w:t>
      </w:r>
    </w:p>
    <w:p w14:paraId="5C9E05A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（4）评标方法与评标标准</w:t>
      </w:r>
    </w:p>
    <w:p w14:paraId="12910A4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（5）合同格式</w:t>
      </w:r>
    </w:p>
    <w:p w14:paraId="2A29842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（6）投标文件组成</w:t>
      </w:r>
    </w:p>
    <w:p w14:paraId="475E535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（7）附件（如有）</w:t>
      </w:r>
    </w:p>
    <w:p w14:paraId="65B6FE0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请仔细检查招标文件是否齐全，如有缺漏请立即与采购人或采购代理机构联系解决。</w:t>
      </w:r>
    </w:p>
    <w:p w14:paraId="73728FAC">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1.2</w:t>
      </w:r>
      <w:r>
        <w:rPr>
          <w:rFonts w:hint="eastAsia" w:ascii="宋体" w:hAnsi="宋体" w:cs="宋体"/>
          <w:sz w:val="24"/>
          <w:highlight w:val="none"/>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176F841">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30" w:name="_Toc462564070"/>
      <w:bookmarkStart w:id="31" w:name="_Toc16938527"/>
      <w:bookmarkStart w:id="32" w:name="_Toc20823283"/>
      <w:bookmarkStart w:id="33" w:name="_Toc513029211"/>
      <w:r>
        <w:rPr>
          <w:rFonts w:hint="eastAsia" w:ascii="宋体" w:hAnsi="宋体" w:eastAsia="宋体" w:cs="宋体"/>
          <w:sz w:val="24"/>
          <w:szCs w:val="24"/>
          <w:highlight w:val="none"/>
        </w:rPr>
        <w:t>2.招标文件的澄清</w:t>
      </w:r>
      <w:bookmarkEnd w:id="30"/>
      <w:bookmarkEnd w:id="31"/>
      <w:bookmarkEnd w:id="32"/>
      <w:bookmarkEnd w:id="33"/>
    </w:p>
    <w:p w14:paraId="13A5679D">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2.1</w:t>
      </w:r>
      <w:r>
        <w:rPr>
          <w:rFonts w:hint="eastAsia" w:ascii="宋体" w:hAnsi="宋体" w:cs="宋体"/>
          <w:sz w:val="24"/>
          <w:highlight w:val="none"/>
        </w:rPr>
        <w:t>任何要求对招标文件进行澄清的投标人，应在投标截止期十日前按招标公告中的通讯地址，以书面形式通知采购人。采购人有权对发出的招标文件进行必要的澄清或修改。</w:t>
      </w:r>
    </w:p>
    <w:p w14:paraId="0C372C6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2.2采购人视情组织答疑会</w:t>
      </w:r>
    </w:p>
    <w:p w14:paraId="5B4E61C6">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34" w:name="_Toc20823284"/>
      <w:bookmarkStart w:id="35" w:name="_Toc462564071"/>
      <w:bookmarkStart w:id="36" w:name="_Toc16938528"/>
      <w:bookmarkStart w:id="37" w:name="_Toc513029212"/>
      <w:r>
        <w:rPr>
          <w:rFonts w:hint="eastAsia" w:ascii="宋体" w:hAnsi="宋体" w:eastAsia="宋体" w:cs="宋体"/>
          <w:sz w:val="24"/>
          <w:szCs w:val="24"/>
          <w:highlight w:val="none"/>
        </w:rPr>
        <w:t>3.招标文件的修改</w:t>
      </w:r>
      <w:bookmarkEnd w:id="34"/>
      <w:bookmarkEnd w:id="35"/>
      <w:bookmarkEnd w:id="36"/>
      <w:bookmarkEnd w:id="37"/>
    </w:p>
    <w:p w14:paraId="093BE888">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3.1</w:t>
      </w:r>
      <w:r>
        <w:rPr>
          <w:rFonts w:hint="eastAsia" w:ascii="宋体" w:hAnsi="宋体" w:cs="宋体"/>
          <w:sz w:val="24"/>
          <w:highlight w:val="none"/>
        </w:rPr>
        <w:t>在投标截止时间前，采购人或采购代理机构可以对招标文件进行修改。</w:t>
      </w:r>
    </w:p>
    <w:p w14:paraId="5D41D09F">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3.2</w:t>
      </w:r>
      <w:r>
        <w:rPr>
          <w:rFonts w:hint="eastAsia" w:ascii="宋体" w:hAnsi="宋体" w:cs="宋体"/>
          <w:sz w:val="24"/>
          <w:highlight w:val="none"/>
        </w:rPr>
        <w:t>采购人或采购代理机构有权按照法定的要求推迟投标截止日期和开标日期。</w:t>
      </w:r>
    </w:p>
    <w:p w14:paraId="2BD8A947">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3.3</w:t>
      </w:r>
      <w:r>
        <w:rPr>
          <w:rFonts w:hint="eastAsia" w:ascii="宋体" w:hAnsi="宋体" w:cs="宋体"/>
          <w:sz w:val="24"/>
          <w:highlight w:val="none"/>
        </w:rPr>
        <w:t>招标文件的修改将在南通市交通运输局网公布，补充文件将作为招标文件的组成部分，并对投标人具有约束力。</w:t>
      </w:r>
    </w:p>
    <w:p w14:paraId="35BA574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3.4修改的内容可能影响投标文件编制的，采购人将在投标截止时间3日前，发布补充说明、澄清，不足3日的，应当顺延提交投标文件的截止时间。</w:t>
      </w:r>
    </w:p>
    <w:p w14:paraId="62E0C35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4.投标人对采购人提供的招标文件所做出的推论、解释和结论，采购人概不负责。投标人由于对招标文件的任何推论和误解以及采购人对有关问题的口头解释所造成的后果，均由各潜在投标人自负。</w:t>
      </w:r>
    </w:p>
    <w:p w14:paraId="256C84A6">
      <w:pPr>
        <w:pStyle w:val="4"/>
        <w:adjustRightInd w:val="0"/>
        <w:snapToGrid w:val="0"/>
        <w:spacing w:before="0" w:after="0" w:line="360" w:lineRule="auto"/>
        <w:ind w:firstLine="482" w:firstLineChars="200"/>
        <w:rPr>
          <w:rFonts w:ascii="宋体" w:hAnsi="宋体" w:cs="宋体"/>
          <w:sz w:val="24"/>
          <w:szCs w:val="24"/>
          <w:highlight w:val="none"/>
        </w:rPr>
      </w:pPr>
      <w:bookmarkStart w:id="38" w:name="_Toc16938529"/>
      <w:bookmarkStart w:id="39" w:name="_Toc120614216"/>
      <w:bookmarkStart w:id="40" w:name="_Toc513029213"/>
      <w:bookmarkStart w:id="41" w:name="_Toc462564072"/>
      <w:bookmarkStart w:id="42" w:name="_Toc20823285"/>
      <w:r>
        <w:rPr>
          <w:rFonts w:hint="eastAsia" w:ascii="宋体" w:hAnsi="宋体" w:cs="宋体"/>
          <w:sz w:val="24"/>
          <w:szCs w:val="24"/>
          <w:highlight w:val="none"/>
        </w:rPr>
        <w:t>（三）投标文件的编制</w:t>
      </w:r>
      <w:bookmarkEnd w:id="38"/>
      <w:bookmarkEnd w:id="39"/>
      <w:bookmarkEnd w:id="40"/>
      <w:bookmarkEnd w:id="41"/>
      <w:bookmarkEnd w:id="42"/>
    </w:p>
    <w:p w14:paraId="1E4C5BE6">
      <w:pPr>
        <w:pStyle w:val="5"/>
        <w:adjustRightInd w:val="0"/>
        <w:snapToGrid w:val="0"/>
        <w:spacing w:line="360" w:lineRule="auto"/>
        <w:ind w:firstLine="480" w:firstLineChars="200"/>
        <w:jc w:val="both"/>
        <w:rPr>
          <w:rFonts w:ascii="宋体" w:hAnsi="宋体" w:eastAsia="宋体" w:cs="宋体"/>
          <w:bCs/>
          <w:sz w:val="24"/>
          <w:szCs w:val="24"/>
          <w:highlight w:val="none"/>
        </w:rPr>
      </w:pPr>
      <w:bookmarkStart w:id="43" w:name="_Toc462564073"/>
      <w:bookmarkStart w:id="44" w:name="_Toc513029214"/>
      <w:bookmarkStart w:id="45" w:name="_Toc20823286"/>
      <w:bookmarkStart w:id="46" w:name="_Toc16938530"/>
      <w:r>
        <w:rPr>
          <w:rFonts w:hint="eastAsia" w:ascii="宋体" w:hAnsi="宋体" w:eastAsia="宋体" w:cs="宋体"/>
          <w:sz w:val="24"/>
          <w:szCs w:val="24"/>
          <w:highlight w:val="none"/>
        </w:rPr>
        <w:t>1.投标文件的语言及度量衡单位</w:t>
      </w:r>
      <w:bookmarkEnd w:id="43"/>
      <w:bookmarkEnd w:id="44"/>
      <w:bookmarkEnd w:id="45"/>
      <w:bookmarkEnd w:id="46"/>
    </w:p>
    <w:p w14:paraId="66EC5BAC">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1.1投标人提交的投标文件以及投标人与采购人或采购代理机构就有关投标的所有来往通知、函件和文件均应使用简体中文。</w:t>
      </w:r>
    </w:p>
    <w:p w14:paraId="2FF4F52E">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1.2除技术性能另有规定外，投标文件所使用的度量衡单位，均须采用国家法定计量单位。</w:t>
      </w:r>
    </w:p>
    <w:p w14:paraId="7D41557B">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47" w:name="_Toc16938531"/>
      <w:bookmarkStart w:id="48" w:name="_Toc462564074"/>
      <w:bookmarkStart w:id="49" w:name="_Toc513029215"/>
      <w:bookmarkStart w:id="50" w:name="_Toc20823287"/>
      <w:r>
        <w:rPr>
          <w:rFonts w:hint="eastAsia" w:ascii="宋体" w:hAnsi="宋体" w:eastAsia="宋体" w:cs="宋体"/>
          <w:sz w:val="24"/>
          <w:szCs w:val="24"/>
          <w:highlight w:val="none"/>
        </w:rPr>
        <w:t>2.投标文件构成</w:t>
      </w:r>
      <w:bookmarkEnd w:id="47"/>
      <w:bookmarkEnd w:id="48"/>
      <w:bookmarkEnd w:id="49"/>
      <w:bookmarkEnd w:id="50"/>
    </w:p>
    <w:p w14:paraId="37184CD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投标人编写的投标文件应包括资格审查证明材料、商务技术标、价格标、电子版投标文件。投标人按“第六部分 投标文件组成”要求编写投标文件。</w:t>
      </w:r>
    </w:p>
    <w:p w14:paraId="1EC3E6C2">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3.投标文件的编写</w:t>
      </w:r>
    </w:p>
    <w:p w14:paraId="5B64C8E0">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3.1</w:t>
      </w:r>
      <w:r>
        <w:rPr>
          <w:rFonts w:hint="eastAsia" w:ascii="宋体" w:hAnsi="宋体" w:cs="宋体"/>
          <w:sz w:val="24"/>
          <w:highlight w:val="none"/>
          <w:lang w:val="zh-CN"/>
        </w:rPr>
        <w:t>投标人按“第</w:t>
      </w:r>
      <w:r>
        <w:rPr>
          <w:rFonts w:hint="eastAsia" w:ascii="宋体" w:hAnsi="宋体" w:cs="宋体"/>
          <w:sz w:val="24"/>
          <w:highlight w:val="none"/>
        </w:rPr>
        <w:t>六</w:t>
      </w:r>
      <w:r>
        <w:rPr>
          <w:rFonts w:hint="eastAsia" w:ascii="宋体" w:hAnsi="宋体" w:cs="宋体"/>
          <w:sz w:val="24"/>
          <w:highlight w:val="none"/>
          <w:lang w:val="zh-CN"/>
        </w:rPr>
        <w:t xml:space="preserve">部分 </w:t>
      </w:r>
      <w:r>
        <w:rPr>
          <w:rFonts w:hint="eastAsia" w:ascii="宋体" w:hAnsi="宋体" w:cs="宋体"/>
          <w:sz w:val="24"/>
          <w:highlight w:val="none"/>
        </w:rPr>
        <w:t>投标</w:t>
      </w:r>
      <w:r>
        <w:rPr>
          <w:rFonts w:hint="eastAsia" w:ascii="宋体" w:hAnsi="宋体" w:cs="宋体"/>
          <w:sz w:val="24"/>
          <w:highlight w:val="none"/>
          <w:lang w:val="zh-CN"/>
        </w:rPr>
        <w:t>文件组成”要求编写</w:t>
      </w:r>
      <w:r>
        <w:rPr>
          <w:rFonts w:hint="eastAsia" w:ascii="宋体" w:hAnsi="宋体" w:cs="宋体"/>
          <w:sz w:val="24"/>
          <w:highlight w:val="none"/>
        </w:rPr>
        <w:t>投标</w:t>
      </w:r>
      <w:r>
        <w:rPr>
          <w:rFonts w:hint="eastAsia" w:ascii="宋体" w:hAnsi="宋体" w:cs="宋体"/>
          <w:sz w:val="24"/>
          <w:highlight w:val="none"/>
          <w:lang w:val="zh-CN"/>
        </w:rPr>
        <w:t>文件。但表格可以按同样格式扩展。除另有规定者外，</w:t>
      </w:r>
      <w:r>
        <w:rPr>
          <w:rFonts w:hint="eastAsia" w:ascii="宋体" w:hAnsi="宋体" w:cs="宋体"/>
          <w:sz w:val="24"/>
          <w:highlight w:val="none"/>
        </w:rPr>
        <w:t>投标人</w:t>
      </w:r>
      <w:r>
        <w:rPr>
          <w:rFonts w:hint="eastAsia" w:ascii="宋体" w:hAnsi="宋体" w:cs="宋体"/>
          <w:sz w:val="24"/>
          <w:highlight w:val="none"/>
          <w:lang w:val="zh-CN"/>
        </w:rPr>
        <w:t>不得修改。</w:t>
      </w:r>
    </w:p>
    <w:p w14:paraId="7AA49DF6">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3.2投标</w:t>
      </w:r>
      <w:r>
        <w:rPr>
          <w:rFonts w:hint="eastAsia" w:ascii="宋体" w:hAnsi="宋体" w:cs="宋体"/>
          <w:sz w:val="24"/>
          <w:highlight w:val="none"/>
          <w:lang w:val="zh-CN"/>
        </w:rPr>
        <w:t>文件规格幅面A4纸（图纸、样品等除外）。</w:t>
      </w:r>
    </w:p>
    <w:p w14:paraId="5FE9D95B">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3.3</w:t>
      </w:r>
      <w:r>
        <w:rPr>
          <w:rFonts w:hint="eastAsia" w:ascii="宋体" w:hAnsi="宋体" w:cs="宋体"/>
          <w:sz w:val="24"/>
          <w:highlight w:val="none"/>
          <w:lang w:val="zh-CN"/>
        </w:rPr>
        <w:t>按照</w:t>
      </w:r>
      <w:r>
        <w:rPr>
          <w:rFonts w:hint="eastAsia" w:ascii="宋体" w:hAnsi="宋体" w:cs="宋体"/>
          <w:sz w:val="24"/>
          <w:highlight w:val="none"/>
        </w:rPr>
        <w:t>招标</w:t>
      </w:r>
      <w:r>
        <w:rPr>
          <w:rFonts w:hint="eastAsia" w:ascii="宋体" w:hAnsi="宋体" w:cs="宋体"/>
          <w:sz w:val="24"/>
          <w:highlight w:val="none"/>
          <w:lang w:val="zh-CN"/>
        </w:rPr>
        <w:t>文件所规定的内容顺序，统一编制目录，逐页编码，由于编排混乱导致投标文件被误读或查找不到，其责任应当由投标人承担；牢固装订成册，不允许使用活页夹、拉杆夹、文件夹、塑料方便式书脊（插入式或穿孔式）装订。</w:t>
      </w:r>
    </w:p>
    <w:p w14:paraId="579C6FCF">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3.4</w:t>
      </w:r>
      <w:r>
        <w:rPr>
          <w:rFonts w:hint="eastAsia" w:ascii="宋体" w:hAnsi="宋体" w:cs="宋体"/>
          <w:sz w:val="24"/>
          <w:highlight w:val="none"/>
          <w:lang w:val="zh-CN"/>
        </w:rPr>
        <w:t>纸质</w:t>
      </w:r>
      <w:r>
        <w:rPr>
          <w:rFonts w:hint="eastAsia" w:ascii="宋体" w:hAnsi="宋体" w:cs="宋体"/>
          <w:sz w:val="24"/>
          <w:highlight w:val="none"/>
        </w:rPr>
        <w:t>投标</w:t>
      </w:r>
      <w:r>
        <w:rPr>
          <w:rFonts w:hint="eastAsia" w:ascii="宋体" w:hAnsi="宋体" w:cs="宋体"/>
          <w:sz w:val="24"/>
          <w:highlight w:val="none"/>
          <w:lang w:val="zh-CN"/>
        </w:rPr>
        <w:t>文件不得行间插字、涂改、增删，如修改错漏处，须经</w:t>
      </w:r>
      <w:r>
        <w:rPr>
          <w:rFonts w:hint="eastAsia" w:ascii="宋体" w:hAnsi="宋体" w:cs="宋体"/>
          <w:sz w:val="24"/>
          <w:highlight w:val="none"/>
        </w:rPr>
        <w:t>投标</w:t>
      </w:r>
      <w:r>
        <w:rPr>
          <w:rFonts w:hint="eastAsia" w:ascii="宋体" w:hAnsi="宋体" w:cs="宋体"/>
          <w:sz w:val="24"/>
          <w:highlight w:val="none"/>
          <w:lang w:val="zh-CN"/>
        </w:rPr>
        <w:t>文件签署人签字并加盖公章。</w:t>
      </w:r>
    </w:p>
    <w:p w14:paraId="5779AB84">
      <w:pPr>
        <w:adjustRightInd w:val="0"/>
        <w:snapToGrid w:val="0"/>
        <w:spacing w:line="360" w:lineRule="auto"/>
        <w:ind w:firstLine="480" w:firstLineChars="200"/>
        <w:rPr>
          <w:rFonts w:ascii="宋体" w:hAnsi="宋体" w:cs="宋体"/>
          <w:bCs/>
          <w:sz w:val="24"/>
          <w:highlight w:val="none"/>
          <w:lang w:val="zh-CN"/>
        </w:rPr>
      </w:pPr>
      <w:r>
        <w:rPr>
          <w:rFonts w:hint="eastAsia" w:ascii="宋体" w:hAnsi="宋体" w:cs="宋体"/>
          <w:bCs/>
          <w:sz w:val="24"/>
          <w:highlight w:val="none"/>
        </w:rPr>
        <w:t>4.投标</w:t>
      </w:r>
      <w:r>
        <w:rPr>
          <w:rFonts w:hint="eastAsia" w:ascii="宋体" w:hAnsi="宋体" w:cs="宋体"/>
          <w:bCs/>
          <w:sz w:val="24"/>
          <w:highlight w:val="none"/>
          <w:lang w:val="zh-CN"/>
        </w:rPr>
        <w:t>文件的份数和签署</w:t>
      </w:r>
    </w:p>
    <w:p w14:paraId="42B4470D">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4.1投标</w:t>
      </w:r>
      <w:r>
        <w:rPr>
          <w:rFonts w:hint="eastAsia" w:ascii="宋体" w:hAnsi="宋体" w:cs="宋体"/>
          <w:sz w:val="24"/>
          <w:highlight w:val="none"/>
          <w:lang w:val="zh-CN"/>
        </w:rPr>
        <w:t>文件由：</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1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①</w:t>
      </w:r>
      <w:r>
        <w:rPr>
          <w:rFonts w:hint="eastAsia" w:ascii="宋体" w:hAnsi="宋体" w:cs="宋体"/>
          <w:sz w:val="24"/>
          <w:highlight w:val="none"/>
          <w:lang w:val="zh-CN"/>
        </w:rPr>
        <w:fldChar w:fldCharType="end"/>
      </w:r>
      <w:r>
        <w:rPr>
          <w:rFonts w:hint="eastAsia" w:ascii="宋体" w:hAnsi="宋体" w:cs="宋体"/>
          <w:sz w:val="24"/>
          <w:highlight w:val="none"/>
        </w:rPr>
        <w:t>资格审查证明材料</w:t>
      </w:r>
      <w:r>
        <w:rPr>
          <w:rFonts w:hint="eastAsia" w:ascii="宋体" w:hAnsi="宋体" w:cs="宋体"/>
          <w:sz w:val="24"/>
          <w:highlight w:val="none"/>
          <w:lang w:val="zh-CN"/>
        </w:rPr>
        <w:t>、</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2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②</w:t>
      </w:r>
      <w:r>
        <w:rPr>
          <w:rFonts w:hint="eastAsia" w:ascii="宋体" w:hAnsi="宋体" w:cs="宋体"/>
          <w:sz w:val="24"/>
          <w:highlight w:val="none"/>
          <w:lang w:val="zh-CN"/>
        </w:rPr>
        <w:fldChar w:fldCharType="end"/>
      </w:r>
      <w:r>
        <w:rPr>
          <w:rFonts w:hint="eastAsia" w:ascii="宋体" w:hAnsi="宋体" w:cs="宋体"/>
          <w:sz w:val="24"/>
          <w:highlight w:val="none"/>
        </w:rPr>
        <w:t>商务技术标</w:t>
      </w:r>
      <w:r>
        <w:rPr>
          <w:rFonts w:hint="eastAsia" w:ascii="宋体" w:hAnsi="宋体" w:cs="宋体"/>
          <w:sz w:val="24"/>
          <w:highlight w:val="none"/>
          <w:lang w:val="zh-CN"/>
        </w:rPr>
        <w:t>、③</w:t>
      </w:r>
      <w:r>
        <w:rPr>
          <w:rFonts w:hint="eastAsia" w:ascii="宋体" w:hAnsi="宋体" w:cs="宋体"/>
          <w:sz w:val="24"/>
          <w:highlight w:val="none"/>
        </w:rPr>
        <w:t>价格标、④电子版投标文件</w:t>
      </w:r>
      <w:r>
        <w:rPr>
          <w:rFonts w:hint="eastAsia" w:ascii="宋体" w:hAnsi="宋体" w:cs="宋体"/>
          <w:sz w:val="24"/>
          <w:highlight w:val="none"/>
          <w:lang w:val="zh-CN"/>
        </w:rPr>
        <w:t>共</w:t>
      </w:r>
      <w:r>
        <w:rPr>
          <w:rFonts w:hint="eastAsia" w:ascii="宋体" w:hAnsi="宋体" w:cs="宋体"/>
          <w:sz w:val="24"/>
          <w:highlight w:val="none"/>
        </w:rPr>
        <w:t>4</w:t>
      </w:r>
      <w:r>
        <w:rPr>
          <w:rFonts w:hint="eastAsia" w:ascii="宋体" w:hAnsi="宋体" w:cs="宋体"/>
          <w:sz w:val="24"/>
          <w:highlight w:val="none"/>
          <w:lang w:val="zh-CN"/>
        </w:rPr>
        <w:t>部分组成（以下由文件序号代称）。</w:t>
      </w:r>
    </w:p>
    <w:p w14:paraId="3554D52D">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4.2</w:t>
      </w:r>
      <w:r>
        <w:rPr>
          <w:rFonts w:hint="eastAsia" w:ascii="宋体" w:hAnsi="宋体" w:cs="宋体"/>
          <w:sz w:val="24"/>
          <w:highlight w:val="none"/>
          <w:lang w:val="zh-CN"/>
        </w:rPr>
        <w:t>纸质</w:t>
      </w:r>
      <w:r>
        <w:rPr>
          <w:rFonts w:hint="eastAsia" w:ascii="宋体" w:hAnsi="宋体" w:cs="宋体"/>
          <w:sz w:val="24"/>
          <w:highlight w:val="none"/>
        </w:rPr>
        <w:t>投标</w:t>
      </w:r>
      <w:r>
        <w:rPr>
          <w:rFonts w:hint="eastAsia" w:ascii="宋体" w:hAnsi="宋体" w:cs="宋体"/>
          <w:sz w:val="24"/>
          <w:highlight w:val="none"/>
          <w:lang w:val="zh-CN"/>
        </w:rPr>
        <w:t>文件均为一式</w:t>
      </w:r>
      <w:r>
        <w:rPr>
          <w:rFonts w:hint="eastAsia" w:ascii="宋体" w:hAnsi="宋体" w:cs="宋体"/>
          <w:sz w:val="24"/>
          <w:highlight w:val="none"/>
        </w:rPr>
        <w:t>伍</w:t>
      </w:r>
      <w:r>
        <w:rPr>
          <w:rFonts w:hint="eastAsia" w:ascii="宋体" w:hAnsi="宋体" w:cs="宋体"/>
          <w:sz w:val="24"/>
          <w:highlight w:val="none"/>
          <w:lang w:val="zh-CN"/>
        </w:rPr>
        <w:t>份，其中“正本”壹份和“副本”</w:t>
      </w:r>
      <w:r>
        <w:rPr>
          <w:rFonts w:hint="eastAsia" w:ascii="宋体" w:hAnsi="宋体" w:cs="宋体"/>
          <w:sz w:val="24"/>
          <w:highlight w:val="none"/>
        </w:rPr>
        <w:t>肆</w:t>
      </w:r>
      <w:r>
        <w:rPr>
          <w:rFonts w:hint="eastAsia" w:ascii="宋体" w:hAnsi="宋体" w:cs="宋体"/>
          <w:sz w:val="24"/>
          <w:highlight w:val="none"/>
          <w:lang w:val="zh-CN"/>
        </w:rPr>
        <w:t>份。（具体要求详见第</w:t>
      </w:r>
      <w:r>
        <w:rPr>
          <w:rFonts w:hint="eastAsia" w:ascii="宋体" w:hAnsi="宋体" w:cs="宋体"/>
          <w:sz w:val="24"/>
          <w:highlight w:val="none"/>
        </w:rPr>
        <w:t>六</w:t>
      </w:r>
      <w:r>
        <w:rPr>
          <w:rFonts w:hint="eastAsia" w:ascii="宋体" w:hAnsi="宋体" w:cs="宋体"/>
          <w:sz w:val="24"/>
          <w:highlight w:val="none"/>
          <w:lang w:val="zh-CN"/>
        </w:rPr>
        <w:t>部分</w:t>
      </w:r>
      <w:r>
        <w:rPr>
          <w:rFonts w:hint="eastAsia" w:ascii="宋体" w:hAnsi="宋体" w:cs="宋体"/>
          <w:sz w:val="24"/>
          <w:highlight w:val="none"/>
        </w:rPr>
        <w:t>投标</w:t>
      </w:r>
      <w:r>
        <w:rPr>
          <w:rFonts w:hint="eastAsia" w:ascii="宋体" w:hAnsi="宋体" w:cs="宋体"/>
          <w:sz w:val="24"/>
          <w:highlight w:val="none"/>
          <w:lang w:val="zh-CN"/>
        </w:rPr>
        <w:t>文件组成）</w:t>
      </w:r>
    </w:p>
    <w:p w14:paraId="60EF3DC8">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4.3</w:t>
      </w:r>
      <w:r>
        <w:rPr>
          <w:rFonts w:hint="eastAsia" w:ascii="宋体" w:hAnsi="宋体" w:cs="宋体"/>
          <w:sz w:val="24"/>
          <w:highlight w:val="none"/>
          <w:lang w:val="zh-CN"/>
        </w:rPr>
        <w:t>在每份纸质</w:t>
      </w:r>
      <w:r>
        <w:rPr>
          <w:rFonts w:hint="eastAsia" w:ascii="宋体" w:hAnsi="宋体" w:cs="宋体"/>
          <w:sz w:val="24"/>
          <w:highlight w:val="none"/>
        </w:rPr>
        <w:t>投标</w:t>
      </w:r>
      <w:r>
        <w:rPr>
          <w:rFonts w:hint="eastAsia" w:ascii="宋体" w:hAnsi="宋体" w:cs="宋体"/>
          <w:sz w:val="24"/>
          <w:highlight w:val="none"/>
          <w:lang w:val="zh-CN"/>
        </w:rPr>
        <w:t>文件上要明确标注项目名称、对应的</w:t>
      </w:r>
      <w:r>
        <w:rPr>
          <w:rFonts w:hint="eastAsia" w:ascii="宋体" w:hAnsi="宋体" w:cs="宋体"/>
          <w:sz w:val="24"/>
          <w:highlight w:val="none"/>
        </w:rPr>
        <w:t>投标</w:t>
      </w:r>
      <w:r>
        <w:rPr>
          <w:rFonts w:hint="eastAsia" w:ascii="宋体" w:hAnsi="宋体" w:cs="宋体"/>
          <w:sz w:val="24"/>
          <w:highlight w:val="none"/>
          <w:lang w:val="zh-CN"/>
        </w:rPr>
        <w:t>文件名称、投标人的全称、日期、“正本”、“副本”字样。“正本”和“副本”若有差异，概以“正本”为准。</w:t>
      </w:r>
    </w:p>
    <w:p w14:paraId="2DBAD675">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4.4</w:t>
      </w:r>
      <w:r>
        <w:rPr>
          <w:rFonts w:hint="eastAsia" w:ascii="宋体" w:hAnsi="宋体" w:cs="宋体"/>
          <w:sz w:val="24"/>
          <w:highlight w:val="none"/>
          <w:lang w:val="zh-CN"/>
        </w:rPr>
        <w:t>纸质</w:t>
      </w:r>
      <w:r>
        <w:rPr>
          <w:rFonts w:hint="eastAsia" w:ascii="宋体" w:hAnsi="宋体" w:cs="宋体"/>
          <w:sz w:val="24"/>
          <w:highlight w:val="none"/>
        </w:rPr>
        <w:t>投标</w:t>
      </w:r>
      <w:r>
        <w:rPr>
          <w:rFonts w:hint="eastAsia" w:ascii="宋体" w:hAnsi="宋体" w:cs="宋体"/>
          <w:sz w:val="24"/>
          <w:highlight w:val="none"/>
          <w:lang w:val="zh-CN"/>
        </w:rPr>
        <w:t>文件中的所有“正本”，其正文内容须按</w:t>
      </w:r>
      <w:r>
        <w:rPr>
          <w:rFonts w:hint="eastAsia" w:ascii="宋体" w:hAnsi="宋体" w:cs="宋体"/>
          <w:sz w:val="24"/>
          <w:highlight w:val="none"/>
        </w:rPr>
        <w:t>招标</w:t>
      </w:r>
      <w:r>
        <w:rPr>
          <w:rFonts w:hint="eastAsia" w:ascii="宋体" w:hAnsi="宋体" w:cs="宋体"/>
          <w:sz w:val="24"/>
          <w:highlight w:val="none"/>
          <w:lang w:val="zh-CN"/>
        </w:rPr>
        <w:t>文件要求由投标人法定代表人或被授权人签字（或盖章）并加盖单位公章。“副本”可</w:t>
      </w:r>
      <w:r>
        <w:rPr>
          <w:rFonts w:hint="eastAsia" w:ascii="宋体" w:hAnsi="宋体" w:cs="宋体"/>
          <w:sz w:val="24"/>
          <w:highlight w:val="none"/>
        </w:rPr>
        <w:t>为</w:t>
      </w:r>
      <w:r>
        <w:rPr>
          <w:rFonts w:hint="eastAsia" w:ascii="宋体" w:hAnsi="宋体" w:cs="宋体"/>
          <w:sz w:val="24"/>
          <w:highlight w:val="none"/>
          <w:lang w:val="zh-CN"/>
        </w:rPr>
        <w:t>“</w:t>
      </w:r>
      <w:r>
        <w:rPr>
          <w:rFonts w:hint="eastAsia" w:ascii="宋体" w:hAnsi="宋体" w:cs="宋体"/>
          <w:sz w:val="24"/>
          <w:highlight w:val="none"/>
        </w:rPr>
        <w:t>正本</w:t>
      </w:r>
      <w:r>
        <w:rPr>
          <w:rFonts w:hint="eastAsia" w:ascii="宋体" w:hAnsi="宋体" w:cs="宋体"/>
          <w:sz w:val="24"/>
          <w:highlight w:val="none"/>
          <w:lang w:val="zh-CN"/>
        </w:rPr>
        <w:t>”的复印</w:t>
      </w:r>
      <w:r>
        <w:rPr>
          <w:rFonts w:hint="eastAsia" w:ascii="宋体" w:hAnsi="宋体" w:cs="宋体"/>
          <w:sz w:val="24"/>
          <w:highlight w:val="none"/>
        </w:rPr>
        <w:t>件</w:t>
      </w:r>
      <w:r>
        <w:rPr>
          <w:rFonts w:hint="eastAsia" w:ascii="宋体" w:hAnsi="宋体" w:cs="宋体"/>
          <w:sz w:val="24"/>
          <w:highlight w:val="none"/>
          <w:lang w:val="zh-CN"/>
        </w:rPr>
        <w:t>。</w:t>
      </w:r>
    </w:p>
    <w:p w14:paraId="4B6D9A0E">
      <w:pPr>
        <w:autoSpaceDE w:val="0"/>
        <w:autoSpaceDN w:val="0"/>
        <w:adjustRightInd w:val="0"/>
        <w:snapToGrid w:val="0"/>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4.5电子投标文件</w:t>
      </w:r>
    </w:p>
    <w:p w14:paraId="1C87488B">
      <w:pPr>
        <w:tabs>
          <w:tab w:val="left" w:pos="3375"/>
        </w:tabs>
        <w:autoSpaceDE w:val="0"/>
        <w:autoSpaceDN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电子版投标文件（包括</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1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①</w:t>
      </w:r>
      <w:r>
        <w:rPr>
          <w:rFonts w:hint="eastAsia" w:ascii="宋体" w:hAnsi="宋体" w:cs="宋体"/>
          <w:sz w:val="24"/>
          <w:highlight w:val="none"/>
          <w:lang w:val="zh-CN"/>
        </w:rPr>
        <w:fldChar w:fldCharType="end"/>
      </w:r>
      <w:r>
        <w:rPr>
          <w:rFonts w:hint="eastAsia" w:ascii="宋体" w:hAnsi="宋体" w:cs="宋体"/>
          <w:sz w:val="24"/>
          <w:highlight w:val="none"/>
        </w:rPr>
        <w:t>资格审查证明材料</w:t>
      </w:r>
      <w:r>
        <w:rPr>
          <w:rFonts w:hint="eastAsia" w:ascii="宋体" w:hAnsi="宋体" w:cs="宋体"/>
          <w:sz w:val="24"/>
          <w:highlight w:val="none"/>
          <w:lang w:val="zh-CN"/>
        </w:rPr>
        <w:t>、</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2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②</w:t>
      </w:r>
      <w:r>
        <w:rPr>
          <w:rFonts w:hint="eastAsia" w:ascii="宋体" w:hAnsi="宋体" w:cs="宋体"/>
          <w:sz w:val="24"/>
          <w:highlight w:val="none"/>
          <w:lang w:val="zh-CN"/>
        </w:rPr>
        <w:fldChar w:fldCharType="end"/>
      </w:r>
      <w:r>
        <w:rPr>
          <w:rFonts w:hint="eastAsia" w:ascii="宋体" w:hAnsi="宋体" w:cs="宋体"/>
          <w:sz w:val="24"/>
          <w:highlight w:val="none"/>
        </w:rPr>
        <w:t>商务技术标</w:t>
      </w:r>
      <w:r>
        <w:rPr>
          <w:rFonts w:hint="eastAsia" w:ascii="宋体" w:hAnsi="宋体" w:cs="宋体"/>
          <w:sz w:val="24"/>
          <w:highlight w:val="none"/>
          <w:lang w:val="zh-CN"/>
        </w:rPr>
        <w:t>、③</w:t>
      </w:r>
      <w:r>
        <w:rPr>
          <w:rFonts w:hint="eastAsia" w:ascii="宋体" w:hAnsi="宋体" w:cs="宋体"/>
          <w:sz w:val="24"/>
          <w:highlight w:val="none"/>
        </w:rPr>
        <w:t>价格标</w:t>
      </w:r>
      <w:r>
        <w:rPr>
          <w:rFonts w:hint="eastAsia" w:ascii="宋体" w:hAnsi="宋体" w:cs="宋体"/>
          <w:b/>
          <w:sz w:val="24"/>
          <w:highlight w:val="none"/>
        </w:rPr>
        <w:t>，所有盖章后纸质版投标文件的扫描件内容均存入一份U盘即可）</w:t>
      </w:r>
      <w:r>
        <w:rPr>
          <w:rFonts w:hint="eastAsia" w:ascii="宋体" w:hAnsi="宋体" w:cs="宋体"/>
          <w:sz w:val="24"/>
          <w:highlight w:val="none"/>
        </w:rPr>
        <w:t>。</w:t>
      </w:r>
    </w:p>
    <w:p w14:paraId="084E5C99">
      <w:pPr>
        <w:tabs>
          <w:tab w:val="left" w:pos="3375"/>
        </w:tabs>
        <w:autoSpaceDE w:val="0"/>
        <w:autoSpaceDN w:val="0"/>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电子版投标文件不得设置密码并保证无病毒。</w:t>
      </w:r>
    </w:p>
    <w:p w14:paraId="5F7AA46C">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5.投标</w:t>
      </w:r>
      <w:r>
        <w:rPr>
          <w:rFonts w:hint="eastAsia" w:ascii="宋体" w:hAnsi="宋体" w:cs="宋体"/>
          <w:sz w:val="24"/>
          <w:highlight w:val="none"/>
          <w:lang w:val="zh-CN"/>
        </w:rPr>
        <w:t>文件的密封及标记</w:t>
      </w:r>
    </w:p>
    <w:p w14:paraId="1647C560">
      <w:pPr>
        <w:autoSpaceDE w:val="0"/>
        <w:autoSpaceDN w:val="0"/>
        <w:adjustRightInd w:val="0"/>
        <w:snapToGrid w:val="0"/>
        <w:spacing w:line="360" w:lineRule="auto"/>
        <w:ind w:firstLine="480" w:firstLineChars="200"/>
        <w:jc w:val="left"/>
        <w:rPr>
          <w:rFonts w:ascii="宋体" w:hAnsi="宋体" w:cs="宋体"/>
          <w:b/>
          <w:bCs/>
          <w:sz w:val="24"/>
          <w:highlight w:val="none"/>
          <w:u w:val="double"/>
          <w:lang w:val="zh-CN"/>
        </w:rPr>
      </w:pPr>
      <w:r>
        <w:rPr>
          <w:rFonts w:hint="eastAsia" w:ascii="宋体" w:hAnsi="宋体" w:cs="宋体"/>
          <w:sz w:val="24"/>
          <w:highlight w:val="none"/>
        </w:rPr>
        <w:t>5.1</w:t>
      </w:r>
      <w:r>
        <w:rPr>
          <w:rFonts w:hint="eastAsia" w:ascii="宋体" w:hAnsi="宋体" w:cs="宋体"/>
          <w:sz w:val="24"/>
          <w:highlight w:val="none"/>
          <w:lang w:val="zh-CN"/>
        </w:rPr>
        <w:t>投标人须将本项目</w:t>
      </w:r>
      <w:r>
        <w:rPr>
          <w:rFonts w:hint="eastAsia" w:ascii="宋体" w:hAnsi="宋体" w:cs="宋体"/>
          <w:sz w:val="24"/>
          <w:highlight w:val="none"/>
        </w:rPr>
        <w:t>投标</w:t>
      </w:r>
      <w:r>
        <w:rPr>
          <w:rFonts w:hint="eastAsia" w:ascii="宋体" w:hAnsi="宋体" w:cs="宋体"/>
          <w:sz w:val="24"/>
          <w:highlight w:val="none"/>
          <w:lang w:val="zh-CN"/>
        </w:rPr>
        <w:t>文件：</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1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①</w:t>
      </w:r>
      <w:r>
        <w:rPr>
          <w:rFonts w:hint="eastAsia" w:ascii="宋体" w:hAnsi="宋体" w:cs="宋体"/>
          <w:b/>
          <w:bCs/>
          <w:sz w:val="24"/>
          <w:highlight w:val="none"/>
          <w:u w:val="double"/>
          <w:lang w:val="zh-CN"/>
        </w:rPr>
        <w:fldChar w:fldCharType="end"/>
      </w:r>
      <w:r>
        <w:rPr>
          <w:rFonts w:hint="eastAsia" w:ascii="宋体" w:hAnsi="宋体" w:cs="宋体"/>
          <w:b/>
          <w:bCs/>
          <w:sz w:val="24"/>
          <w:highlight w:val="none"/>
          <w:u w:val="double"/>
          <w:lang w:val="zh-CN"/>
        </w:rPr>
        <w:t>、</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2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②</w:t>
      </w:r>
      <w:r>
        <w:rPr>
          <w:rFonts w:hint="eastAsia" w:ascii="宋体" w:hAnsi="宋体" w:cs="宋体"/>
          <w:b/>
          <w:bCs/>
          <w:sz w:val="24"/>
          <w:highlight w:val="none"/>
          <w:u w:val="double"/>
          <w:lang w:val="zh-CN"/>
        </w:rPr>
        <w:fldChar w:fldCharType="end"/>
      </w:r>
      <w:r>
        <w:rPr>
          <w:rFonts w:hint="eastAsia" w:ascii="宋体" w:hAnsi="宋体" w:cs="宋体"/>
          <w:b/>
          <w:bCs/>
          <w:sz w:val="24"/>
          <w:highlight w:val="none"/>
          <w:u w:val="double"/>
          <w:lang w:val="zh-CN"/>
        </w:rPr>
        <w:t>、③单独密封，④密封至③的封袋内。</w:t>
      </w:r>
    </w:p>
    <w:p w14:paraId="4756813E">
      <w:pPr>
        <w:autoSpaceDE w:val="0"/>
        <w:autoSpaceDN w:val="0"/>
        <w:adjustRightInd w:val="0"/>
        <w:snapToGrid w:val="0"/>
        <w:spacing w:line="360" w:lineRule="auto"/>
        <w:ind w:firstLine="480" w:firstLineChars="200"/>
        <w:jc w:val="left"/>
        <w:rPr>
          <w:rFonts w:ascii="宋体" w:hAnsi="宋体" w:cs="宋体"/>
          <w:sz w:val="24"/>
          <w:highlight w:val="none"/>
          <w:lang w:val="zh-CN"/>
        </w:rPr>
      </w:pPr>
      <w:r>
        <w:rPr>
          <w:rFonts w:hint="eastAsia" w:ascii="宋体" w:hAnsi="宋体" w:cs="宋体"/>
          <w:sz w:val="24"/>
          <w:highlight w:val="none"/>
        </w:rPr>
        <w:t>5.2投标人可将每部分投标文件</w:t>
      </w:r>
      <w:r>
        <w:rPr>
          <w:rFonts w:hint="eastAsia" w:ascii="宋体" w:hAnsi="宋体" w:cs="宋体"/>
          <w:sz w:val="24"/>
          <w:highlight w:val="none"/>
          <w:lang w:val="zh-CN"/>
        </w:rPr>
        <w:t>正副本统一密封或分别密封，如正本和副本分别密封的，应在封袋或封箱上标明正、副本字样。</w:t>
      </w:r>
    </w:p>
    <w:p w14:paraId="23340A98">
      <w:pPr>
        <w:autoSpaceDE w:val="0"/>
        <w:autoSpaceDN w:val="0"/>
        <w:adjustRightInd w:val="0"/>
        <w:snapToGrid w:val="0"/>
        <w:spacing w:line="360" w:lineRule="auto"/>
        <w:ind w:firstLine="480" w:firstLineChars="200"/>
        <w:jc w:val="left"/>
        <w:rPr>
          <w:rFonts w:ascii="宋体" w:hAnsi="宋体" w:cs="宋体"/>
          <w:b/>
          <w:bCs/>
          <w:sz w:val="24"/>
          <w:highlight w:val="none"/>
          <w:u w:val="double"/>
          <w:lang w:val="zh-CN"/>
        </w:rPr>
      </w:pPr>
      <w:r>
        <w:rPr>
          <w:rFonts w:hint="eastAsia" w:ascii="宋体" w:hAnsi="宋体" w:cs="宋体"/>
          <w:sz w:val="24"/>
          <w:highlight w:val="none"/>
        </w:rPr>
        <w:t>5.3</w:t>
      </w:r>
      <w:r>
        <w:rPr>
          <w:rFonts w:hint="eastAsia" w:ascii="宋体" w:hAnsi="宋体" w:cs="宋体"/>
          <w:sz w:val="24"/>
          <w:highlight w:val="none"/>
          <w:lang w:val="zh-CN"/>
        </w:rPr>
        <w:t>密封后，应在封袋或封箱上明确标注</w:t>
      </w:r>
      <w:r>
        <w:rPr>
          <w:rFonts w:hint="eastAsia" w:ascii="宋体" w:hAnsi="宋体" w:cs="宋体"/>
          <w:b/>
          <w:bCs/>
          <w:sz w:val="24"/>
          <w:highlight w:val="none"/>
          <w:u w:val="double"/>
        </w:rPr>
        <w:t>招标</w:t>
      </w:r>
      <w:r>
        <w:rPr>
          <w:rFonts w:hint="eastAsia" w:ascii="宋体" w:hAnsi="宋体" w:cs="宋体"/>
          <w:b/>
          <w:bCs/>
          <w:sz w:val="24"/>
          <w:highlight w:val="none"/>
          <w:u w:val="double"/>
          <w:lang w:val="zh-CN"/>
        </w:rPr>
        <w:t>项目名称、</w:t>
      </w:r>
      <w:r>
        <w:rPr>
          <w:rFonts w:hint="eastAsia" w:ascii="宋体" w:hAnsi="宋体" w:cs="宋体"/>
          <w:b/>
          <w:bCs/>
          <w:sz w:val="24"/>
          <w:highlight w:val="none"/>
          <w:u w:val="double"/>
        </w:rPr>
        <w:t>投标</w:t>
      </w:r>
      <w:r>
        <w:rPr>
          <w:rFonts w:hint="eastAsia" w:ascii="宋体" w:hAnsi="宋体" w:cs="宋体"/>
          <w:b/>
          <w:bCs/>
          <w:sz w:val="24"/>
          <w:highlight w:val="none"/>
          <w:u w:val="double"/>
          <w:lang w:val="zh-CN"/>
        </w:rPr>
        <w:t>文件各自对应的名称、投标人的全称及日期</w:t>
      </w:r>
      <w:r>
        <w:rPr>
          <w:rFonts w:hint="eastAsia" w:ascii="宋体" w:hAnsi="宋体" w:cs="宋体"/>
          <w:b/>
          <w:bCs/>
          <w:sz w:val="24"/>
          <w:highlight w:val="none"/>
          <w:u w:val="double"/>
        </w:rPr>
        <w:t>并加盖投标人单位公章</w:t>
      </w:r>
      <w:r>
        <w:rPr>
          <w:rFonts w:hint="eastAsia" w:ascii="宋体" w:hAnsi="宋体" w:cs="宋体"/>
          <w:b/>
          <w:bCs/>
          <w:sz w:val="24"/>
          <w:highlight w:val="none"/>
          <w:u w:val="double"/>
          <w:lang w:val="zh-CN"/>
        </w:rPr>
        <w:t>。</w:t>
      </w:r>
    </w:p>
    <w:p w14:paraId="36CAE1C1">
      <w:pPr>
        <w:autoSpaceDE w:val="0"/>
        <w:autoSpaceDN w:val="0"/>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5.4</w:t>
      </w:r>
      <w:r>
        <w:rPr>
          <w:rFonts w:hint="eastAsia" w:ascii="宋体" w:hAnsi="宋体" w:cs="宋体"/>
          <w:sz w:val="24"/>
          <w:highlight w:val="none"/>
          <w:lang w:val="zh-CN"/>
        </w:rPr>
        <w:t>采购人将拒绝接收未按照招标文件要求密封及标记的投标文件。</w:t>
      </w:r>
    </w:p>
    <w:p w14:paraId="015FE52A">
      <w:pPr>
        <w:autoSpaceDE w:val="0"/>
        <w:autoSpaceDN w:val="0"/>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【特别提醒】投标文件中的</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1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①</w:t>
      </w:r>
      <w:r>
        <w:rPr>
          <w:rFonts w:hint="eastAsia" w:ascii="宋体" w:hAnsi="宋体" w:cs="宋体"/>
          <w:b/>
          <w:bCs/>
          <w:sz w:val="24"/>
          <w:highlight w:val="none"/>
          <w:u w:val="double"/>
          <w:lang w:val="zh-CN"/>
        </w:rPr>
        <w:fldChar w:fldCharType="end"/>
      </w:r>
      <w:r>
        <w:rPr>
          <w:rFonts w:hint="eastAsia" w:ascii="宋体" w:hAnsi="宋体" w:cs="宋体"/>
          <w:b/>
          <w:bCs/>
          <w:sz w:val="24"/>
          <w:highlight w:val="none"/>
          <w:u w:val="double"/>
          <w:lang w:val="zh-CN"/>
        </w:rPr>
        <w:t>、</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2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②</w:t>
      </w:r>
      <w:r>
        <w:rPr>
          <w:rFonts w:hint="eastAsia" w:ascii="宋体" w:hAnsi="宋体" w:cs="宋体"/>
          <w:b/>
          <w:bCs/>
          <w:sz w:val="24"/>
          <w:highlight w:val="none"/>
          <w:u w:val="double"/>
          <w:lang w:val="zh-CN"/>
        </w:rPr>
        <w:fldChar w:fldCharType="end"/>
      </w:r>
      <w:r>
        <w:rPr>
          <w:rFonts w:hint="eastAsia" w:ascii="宋体" w:hAnsi="宋体" w:cs="宋体"/>
          <w:sz w:val="24"/>
          <w:highlight w:val="none"/>
          <w:lang w:val="zh-CN"/>
        </w:rPr>
        <w:t>的“正本”或“副本”中，</w:t>
      </w:r>
      <w:r>
        <w:rPr>
          <w:rFonts w:hint="eastAsia" w:ascii="宋体" w:hAnsi="宋体" w:cs="宋体"/>
          <w:b/>
          <w:bCs/>
          <w:sz w:val="24"/>
          <w:highlight w:val="none"/>
          <w:u w:val="double"/>
          <w:lang w:val="zh-CN"/>
        </w:rPr>
        <w:t>均不得含有投标报价内容，否则作无效标处理</w:t>
      </w:r>
      <w:r>
        <w:rPr>
          <w:rFonts w:hint="eastAsia" w:ascii="宋体" w:hAnsi="宋体" w:cs="宋体"/>
          <w:sz w:val="24"/>
          <w:highlight w:val="none"/>
          <w:lang w:val="zh-CN"/>
        </w:rPr>
        <w:t>。</w:t>
      </w:r>
    </w:p>
    <w:p w14:paraId="5F5229E8">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51" w:name="_Hlt26954838"/>
      <w:bookmarkEnd w:id="51"/>
      <w:bookmarkStart w:id="52" w:name="_Hlt26668975"/>
      <w:bookmarkEnd w:id="52"/>
      <w:bookmarkStart w:id="53" w:name="_Hlt26670360"/>
      <w:bookmarkEnd w:id="53"/>
      <w:bookmarkStart w:id="54" w:name="_Toc14577360"/>
      <w:bookmarkStart w:id="55" w:name="_Toc49090511"/>
      <w:r>
        <w:rPr>
          <w:rFonts w:hint="eastAsia" w:ascii="宋体" w:hAnsi="宋体" w:eastAsia="宋体" w:cs="宋体"/>
          <w:sz w:val="24"/>
          <w:szCs w:val="24"/>
          <w:highlight w:val="none"/>
        </w:rPr>
        <w:t>6.投标有效期</w:t>
      </w:r>
      <w:bookmarkEnd w:id="54"/>
      <w:bookmarkEnd w:id="55"/>
    </w:p>
    <w:p w14:paraId="46D4D847">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6.1投标有效期为采购人规定的开标之日后</w:t>
      </w:r>
      <w:r>
        <w:rPr>
          <w:rFonts w:hint="eastAsia" w:ascii="宋体" w:hAnsi="宋体" w:cs="宋体"/>
          <w:b/>
          <w:sz w:val="24"/>
          <w:highlight w:val="none"/>
          <w:u w:val="single"/>
        </w:rPr>
        <w:t>六十（60）天</w:t>
      </w:r>
      <w:r>
        <w:rPr>
          <w:rFonts w:hint="eastAsia" w:ascii="宋体" w:hAnsi="宋体" w:cs="宋体"/>
          <w:bCs/>
          <w:sz w:val="24"/>
          <w:highlight w:val="none"/>
        </w:rPr>
        <w:t>。投标有效期比规定短的将被视为非响应性投标而予以拒绝。</w:t>
      </w:r>
    </w:p>
    <w:p w14:paraId="335EDE64">
      <w:pPr>
        <w:pStyle w:val="5"/>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7.投标有效期的延长</w:t>
      </w:r>
    </w:p>
    <w:p w14:paraId="2DD16052">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7.1在特殊情况下，采购人或采购代理机构于原投标有效期满之前，可向投标人提出延长投标有效期的要求。这种要求与答复均应采用书面形式。投标人可以拒绝采购人或采购代理机构的这一要求而放弃投标，同意延长投标有效期的投标人既不能要求也不允许修改其投标文件。同时</w:t>
      </w:r>
      <w:r>
        <w:rPr>
          <w:rFonts w:hint="eastAsia" w:ascii="宋体" w:hAnsi="宋体" w:cs="宋体"/>
          <w:sz w:val="24"/>
          <w:highlight w:val="none"/>
        </w:rPr>
        <w:t>受投标有效期约束的所有权利与义务均延长至新的有效期</w:t>
      </w:r>
      <w:r>
        <w:rPr>
          <w:rFonts w:hint="eastAsia" w:ascii="宋体" w:hAnsi="宋体" w:cs="宋体"/>
          <w:bCs/>
          <w:sz w:val="24"/>
          <w:highlight w:val="none"/>
        </w:rPr>
        <w:t>。</w:t>
      </w:r>
    </w:p>
    <w:p w14:paraId="13C76652">
      <w:pPr>
        <w:pStyle w:val="4"/>
        <w:adjustRightInd w:val="0"/>
        <w:snapToGrid w:val="0"/>
        <w:spacing w:before="0" w:after="0" w:line="360" w:lineRule="auto"/>
        <w:ind w:firstLine="482" w:firstLineChars="200"/>
        <w:rPr>
          <w:rFonts w:ascii="宋体" w:hAnsi="宋体" w:cs="宋体"/>
          <w:sz w:val="24"/>
          <w:szCs w:val="24"/>
          <w:highlight w:val="none"/>
        </w:rPr>
      </w:pPr>
      <w:bookmarkStart w:id="56" w:name="_Hlt26954852"/>
      <w:bookmarkEnd w:id="56"/>
      <w:bookmarkStart w:id="57" w:name="_Hlt26954739"/>
      <w:bookmarkEnd w:id="57"/>
      <w:bookmarkStart w:id="58" w:name="_Toc120614217"/>
      <w:bookmarkStart w:id="59" w:name="_Toc16938540"/>
      <w:bookmarkStart w:id="60" w:name="_Toc20823296"/>
      <w:bookmarkStart w:id="61" w:name="_Toc513029224"/>
      <w:r>
        <w:rPr>
          <w:rFonts w:hint="eastAsia" w:ascii="宋体" w:hAnsi="宋体" w:cs="宋体"/>
          <w:sz w:val="24"/>
          <w:szCs w:val="24"/>
          <w:highlight w:val="none"/>
        </w:rPr>
        <w:t>（四）投标文件的递交</w:t>
      </w:r>
      <w:bookmarkEnd w:id="58"/>
      <w:bookmarkEnd w:id="59"/>
      <w:bookmarkEnd w:id="60"/>
      <w:bookmarkEnd w:id="61"/>
    </w:p>
    <w:p w14:paraId="449D87B5">
      <w:pPr>
        <w:adjustRightInd w:val="0"/>
        <w:snapToGrid w:val="0"/>
        <w:spacing w:line="360" w:lineRule="auto"/>
        <w:ind w:firstLine="480" w:firstLineChars="200"/>
        <w:rPr>
          <w:rFonts w:ascii="宋体" w:hAnsi="宋体" w:cs="宋体"/>
          <w:bCs/>
          <w:sz w:val="24"/>
          <w:highlight w:val="none"/>
        </w:rPr>
      </w:pPr>
      <w:bookmarkStart w:id="62" w:name="_Toc513029226"/>
      <w:bookmarkStart w:id="63" w:name="_Toc20823298"/>
      <w:bookmarkStart w:id="64" w:name="_Toc16938542"/>
      <w:r>
        <w:rPr>
          <w:rFonts w:hint="eastAsia" w:ascii="宋体" w:hAnsi="宋体" w:cs="宋体"/>
          <w:bCs/>
          <w:sz w:val="24"/>
          <w:highlight w:val="none"/>
        </w:rPr>
        <w:t>1.投标文件的递交</w:t>
      </w:r>
    </w:p>
    <w:p w14:paraId="1C8F088C">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投标人应当在投标文件提交截止时间前制作并提交其投标文件。</w:t>
      </w:r>
    </w:p>
    <w:p w14:paraId="079B62EF">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2.提交投标文件截止时间</w:t>
      </w:r>
      <w:bookmarkEnd w:id="62"/>
      <w:bookmarkEnd w:id="63"/>
      <w:bookmarkEnd w:id="64"/>
    </w:p>
    <w:p w14:paraId="52AE880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2.1投标人递交投标文件的时间不得迟于招标公告中规定的投标文件递交截止时间。</w:t>
      </w:r>
    </w:p>
    <w:p w14:paraId="5D28493B">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2.2采购人可以按照规定，通过修改招标文件酌情延长提交投标文件截止日期，在此情况下，投标人的所有权利和义务以及投标人受制的截止日期均应以延长后新的截止日期为准。</w:t>
      </w:r>
    </w:p>
    <w:p w14:paraId="3D5222BB">
      <w:pPr>
        <w:adjustRightInd w:val="0"/>
        <w:snapToGrid w:val="0"/>
        <w:spacing w:line="360" w:lineRule="auto"/>
        <w:ind w:firstLine="480" w:firstLineChars="200"/>
        <w:rPr>
          <w:rFonts w:ascii="宋体" w:hAnsi="宋体" w:cs="宋体"/>
          <w:bCs/>
          <w:sz w:val="24"/>
          <w:highlight w:val="none"/>
        </w:rPr>
      </w:pPr>
      <w:bookmarkStart w:id="65" w:name="_Toc16938543"/>
      <w:bookmarkStart w:id="66" w:name="_Toc20823299"/>
      <w:bookmarkStart w:id="67" w:name="_Toc513029227"/>
      <w:r>
        <w:rPr>
          <w:rFonts w:hint="eastAsia" w:ascii="宋体" w:hAnsi="宋体" w:cs="宋体"/>
          <w:bCs/>
          <w:sz w:val="24"/>
          <w:highlight w:val="none"/>
        </w:rPr>
        <w:t>3.投标文件</w:t>
      </w:r>
      <w:bookmarkEnd w:id="65"/>
      <w:bookmarkEnd w:id="66"/>
      <w:bookmarkEnd w:id="67"/>
      <w:r>
        <w:rPr>
          <w:rFonts w:hint="eastAsia" w:ascii="宋体" w:hAnsi="宋体" w:cs="宋体"/>
          <w:bCs/>
          <w:sz w:val="24"/>
          <w:highlight w:val="none"/>
        </w:rPr>
        <w:t>的拒收</w:t>
      </w:r>
    </w:p>
    <w:p w14:paraId="1BE66D1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采购人拒绝接收在其规定的提交投标文件截止时间后递交的任何投标文件。</w:t>
      </w:r>
    </w:p>
    <w:p w14:paraId="7F498F0C">
      <w:pPr>
        <w:adjustRightInd w:val="0"/>
        <w:snapToGrid w:val="0"/>
        <w:spacing w:line="360" w:lineRule="auto"/>
        <w:ind w:firstLine="480" w:firstLineChars="200"/>
        <w:rPr>
          <w:rFonts w:ascii="宋体" w:hAnsi="宋体" w:cs="宋体"/>
          <w:bCs/>
          <w:sz w:val="24"/>
          <w:highlight w:val="none"/>
        </w:rPr>
      </w:pPr>
      <w:bookmarkStart w:id="68" w:name="_Toc513029228"/>
      <w:bookmarkStart w:id="69" w:name="_Toc16938544"/>
      <w:bookmarkStart w:id="70" w:name="_Toc20823300"/>
      <w:r>
        <w:rPr>
          <w:rFonts w:hint="eastAsia" w:ascii="宋体" w:hAnsi="宋体" w:cs="宋体"/>
          <w:bCs/>
          <w:sz w:val="24"/>
          <w:highlight w:val="none"/>
        </w:rPr>
        <w:t>4.投标文件的撤回和修改</w:t>
      </w:r>
      <w:bookmarkEnd w:id="68"/>
      <w:bookmarkEnd w:id="69"/>
      <w:bookmarkEnd w:id="70"/>
    </w:p>
    <w:p w14:paraId="1B6F6ABE">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4.1投标文件的撤回</w:t>
      </w:r>
    </w:p>
    <w:p w14:paraId="17535A0E">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4.1.1投标人可在投标截止时间前，以书面的形式撤回其递交的投标文件。</w:t>
      </w:r>
    </w:p>
    <w:p w14:paraId="19B20A2D">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4.1.2投标人撤回投标文件，则认为其不再参与本项目投标活动。</w:t>
      </w:r>
    </w:p>
    <w:p w14:paraId="74165973">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4.2投标文件的修改</w:t>
      </w:r>
    </w:p>
    <w:p w14:paraId="54081E91">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投标人可在投标文件递交截止时间前，对其投标文件进行修改。</w:t>
      </w:r>
    </w:p>
    <w:p w14:paraId="33F49941">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4.3在提交投标文件截止时间之后，投标人不得对其投标文件做任何修改。</w:t>
      </w:r>
    </w:p>
    <w:p w14:paraId="0C95308F">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4.4在提交投标文件截止时间至招标文件中规定的投标有效期满之间的这段时间内，投标人不得撤回其投标文件。</w:t>
      </w:r>
    </w:p>
    <w:p w14:paraId="14B03DB9">
      <w:pPr>
        <w:pStyle w:val="4"/>
        <w:adjustRightInd w:val="0"/>
        <w:snapToGrid w:val="0"/>
        <w:spacing w:before="0" w:after="0" w:line="360" w:lineRule="auto"/>
        <w:ind w:firstLine="482" w:firstLineChars="200"/>
        <w:rPr>
          <w:rFonts w:ascii="宋体" w:hAnsi="宋体" w:cs="宋体"/>
          <w:sz w:val="24"/>
          <w:szCs w:val="24"/>
          <w:highlight w:val="none"/>
        </w:rPr>
      </w:pPr>
      <w:bookmarkStart w:id="71" w:name="_Toc120614218"/>
      <w:bookmarkStart w:id="72" w:name="_Toc513029229"/>
      <w:bookmarkStart w:id="73" w:name="_Toc20823301"/>
      <w:bookmarkStart w:id="74" w:name="_Toc16938545"/>
      <w:r>
        <w:rPr>
          <w:rFonts w:hint="eastAsia" w:ascii="宋体" w:hAnsi="宋体" w:cs="宋体"/>
          <w:sz w:val="24"/>
          <w:szCs w:val="24"/>
          <w:highlight w:val="none"/>
        </w:rPr>
        <w:t>（五）开标与评标</w:t>
      </w:r>
      <w:bookmarkEnd w:id="71"/>
      <w:bookmarkEnd w:id="72"/>
      <w:bookmarkEnd w:id="73"/>
      <w:bookmarkEnd w:id="74"/>
    </w:p>
    <w:p w14:paraId="7CEE2D41">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75" w:name="_Toc20823302"/>
      <w:bookmarkStart w:id="76" w:name="_Toc16938546"/>
      <w:bookmarkStart w:id="77" w:name="_Toc513029230"/>
      <w:r>
        <w:rPr>
          <w:rFonts w:hint="eastAsia" w:ascii="宋体" w:hAnsi="宋体" w:eastAsia="宋体" w:cs="宋体"/>
          <w:sz w:val="24"/>
          <w:szCs w:val="24"/>
          <w:highlight w:val="none"/>
        </w:rPr>
        <w:t>1.开标</w:t>
      </w:r>
      <w:bookmarkEnd w:id="75"/>
      <w:bookmarkEnd w:id="76"/>
      <w:bookmarkEnd w:id="77"/>
    </w:p>
    <w:p w14:paraId="101D805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1.1采购人或采购代理机构将在招标公告中规定的时间和地点组织公开开标。</w:t>
      </w:r>
    </w:p>
    <w:p w14:paraId="757C9FC6">
      <w:pPr>
        <w:adjustRightInd w:val="0"/>
        <w:snapToGrid w:val="0"/>
        <w:spacing w:line="360" w:lineRule="auto"/>
        <w:ind w:firstLine="480" w:firstLineChars="200"/>
        <w:rPr>
          <w:rFonts w:ascii="宋体" w:hAnsi="宋体" w:cs="宋体"/>
          <w:sz w:val="24"/>
          <w:highlight w:val="none"/>
        </w:rPr>
      </w:pPr>
      <w:bookmarkStart w:id="78" w:name="_Toc16938547"/>
      <w:bookmarkStart w:id="79" w:name="_Toc20823303"/>
      <w:bookmarkStart w:id="80" w:name="_Toc513029231"/>
      <w:r>
        <w:rPr>
          <w:rFonts w:hint="eastAsia" w:ascii="宋体" w:hAnsi="宋体" w:cs="宋体"/>
          <w:sz w:val="24"/>
          <w:highlight w:val="none"/>
        </w:rPr>
        <w:t>2.评标委员会</w:t>
      </w:r>
    </w:p>
    <w:p w14:paraId="7B861B22">
      <w:pPr>
        <w:adjustRightInd w:val="0"/>
        <w:snapToGrid w:val="0"/>
        <w:spacing w:line="360" w:lineRule="auto"/>
        <w:ind w:firstLine="480" w:firstLineChars="200"/>
        <w:rPr>
          <w:rFonts w:ascii="宋体" w:hAnsi="宋体" w:cs="宋体"/>
          <w:b/>
          <w:sz w:val="24"/>
          <w:highlight w:val="none"/>
        </w:rPr>
      </w:pPr>
      <w:r>
        <w:rPr>
          <w:rFonts w:hint="eastAsia" w:ascii="宋体" w:hAnsi="宋体" w:cs="宋体"/>
          <w:sz w:val="24"/>
          <w:highlight w:val="none"/>
        </w:rPr>
        <w:t>2.1开标后，采购人或采购代理机构将立即组织评标委员会（以下简称评委会）进行评标。</w:t>
      </w:r>
    </w:p>
    <w:p w14:paraId="71C233B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2.2评委会由采购人代表和有关技术、经济等方面的专家组成，且人员构成符合政府采购有关规定。</w:t>
      </w:r>
    </w:p>
    <w:p w14:paraId="5722951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2.3评委会独立工作，负责评审所有投标文件并确定中标候选人。</w:t>
      </w:r>
    </w:p>
    <w:p w14:paraId="3E8B827C">
      <w:pPr>
        <w:pStyle w:val="5"/>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3.评标过程的保密与公正</w:t>
      </w:r>
      <w:bookmarkEnd w:id="78"/>
      <w:bookmarkEnd w:id="79"/>
      <w:bookmarkEnd w:id="80"/>
    </w:p>
    <w:p w14:paraId="087FEB94">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3.1</w:t>
      </w:r>
      <w:r>
        <w:rPr>
          <w:rFonts w:hint="eastAsia" w:ascii="宋体" w:hAnsi="宋体" w:cs="宋体"/>
          <w:bCs/>
          <w:sz w:val="24"/>
          <w:highlight w:val="none"/>
        </w:rPr>
        <w:t>凡是与审查、澄清、评价和比较投标的有关资料以及授标建议等，采购人、评委、采购代理机构均不得向投标人或与评标无关的其他人员透露。</w:t>
      </w:r>
    </w:p>
    <w:p w14:paraId="4F4B9DB0">
      <w:pPr>
        <w:adjustRightInd w:val="0"/>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3.2在评标过程中，投标人不得以任何行为影响评标过程，否则其投标文件将被作为无效投标文件。</w:t>
      </w:r>
    </w:p>
    <w:p w14:paraId="1653928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3.3在评标期间，采购代理机构将设专门人员与投标人联系。</w:t>
      </w:r>
    </w:p>
    <w:p w14:paraId="09B9748D">
      <w:pPr>
        <w:adjustRightInd w:val="0"/>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3.4采购人或采购代理机构和评标委员会不向未中标的投标人解释未中标原因，也不公布评标过程中的相关细节。</w:t>
      </w:r>
    </w:p>
    <w:p w14:paraId="1B3924E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3.5采用综合评分法的项目，公布评标结果时一并公布所有投标人的评审得分及排序情况。</w:t>
      </w:r>
    </w:p>
    <w:p w14:paraId="3D766696">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81" w:name="_Toc513029232"/>
      <w:bookmarkStart w:id="82" w:name="_Toc16938548"/>
      <w:bookmarkStart w:id="83" w:name="_Toc20823304"/>
      <w:r>
        <w:rPr>
          <w:rFonts w:hint="eastAsia" w:ascii="宋体" w:hAnsi="宋体" w:eastAsia="宋体" w:cs="宋体"/>
          <w:sz w:val="24"/>
          <w:szCs w:val="24"/>
          <w:highlight w:val="none"/>
        </w:rPr>
        <w:t>4.投标文件的澄清</w:t>
      </w:r>
      <w:bookmarkEnd w:id="81"/>
      <w:bookmarkEnd w:id="82"/>
      <w:bookmarkEnd w:id="83"/>
    </w:p>
    <w:p w14:paraId="4994C007">
      <w:pPr>
        <w:adjustRightInd w:val="0"/>
        <w:snapToGrid w:val="0"/>
        <w:spacing w:line="360" w:lineRule="auto"/>
        <w:ind w:firstLine="480" w:firstLineChars="200"/>
        <w:rPr>
          <w:rFonts w:ascii="宋体" w:hAnsi="宋体" w:cs="宋体"/>
          <w:sz w:val="24"/>
          <w:highlight w:val="none"/>
        </w:rPr>
      </w:pPr>
      <w:bookmarkStart w:id="84" w:name="_Toc513029233"/>
      <w:bookmarkStart w:id="85" w:name="_Toc20823305"/>
      <w:bookmarkStart w:id="86" w:name="_Toc16938549"/>
      <w:r>
        <w:rPr>
          <w:rFonts w:hint="eastAsia" w:ascii="宋体" w:hAnsi="宋体" w:cs="宋体"/>
          <w:sz w:val="24"/>
          <w:highlight w:val="none"/>
        </w:rPr>
        <w:t>4.1评标期间，评委会对投标文件中含义不明确、同类问题表述不一致或者有明显文字和计算错误的内容，有权要求投标人作出必要的澄清、说明或者补正。</w:t>
      </w:r>
    </w:p>
    <w:p w14:paraId="7E32992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投标人的澄清、说明或者补正不得超出投标文件的范围或者改变投标文件的实质性内容。</w:t>
      </w:r>
    </w:p>
    <w:p w14:paraId="6F4FC6C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评标委员会并非对每个投标人都做澄清要求。</w:t>
      </w:r>
    </w:p>
    <w:p w14:paraId="3842D75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4.2需要投标人进行澄清、说明和补正的，评委会将通过采购人或采购代理机构向投标人发出“澄清要求函”，接到“澄清要求函”的投标人应当按照要求书面提交“澄清响应函”。澄清、说明和补正的内容作为投标文件的补充部分。</w:t>
      </w:r>
    </w:p>
    <w:p w14:paraId="34C48B4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4.3接到评委会澄清、说明和补正要求的投标人如未按规定做出澄清、说明和补正，其风险由投标人自行承担。</w:t>
      </w:r>
    </w:p>
    <w:p w14:paraId="3D84A592">
      <w:pPr>
        <w:pStyle w:val="5"/>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5.对投标文件的初审</w:t>
      </w:r>
      <w:bookmarkEnd w:id="84"/>
      <w:bookmarkEnd w:id="85"/>
      <w:bookmarkEnd w:id="86"/>
    </w:p>
    <w:p w14:paraId="0652975A">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5.1</w:t>
      </w:r>
      <w:r>
        <w:rPr>
          <w:rFonts w:hint="eastAsia" w:ascii="宋体" w:hAnsi="宋体" w:cs="宋体"/>
          <w:bCs/>
          <w:sz w:val="24"/>
          <w:highlight w:val="none"/>
        </w:rPr>
        <w:t>投标文件初审分为资格审查和符合性审查。</w:t>
      </w:r>
    </w:p>
    <w:p w14:paraId="0E7DCD6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5.1.1资格审查：依据法律法规和招标文件的规定，由评委会对投标文件中的资格证明文件进行审查。</w:t>
      </w:r>
    </w:p>
    <w:p w14:paraId="2DD2E170">
      <w:pPr>
        <w:adjustRightInd w:val="0"/>
        <w:snapToGrid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采购人在进行资格性审查的同时，将在“信用中国”网站（www.creditchina.gov.cn）查询投标人的信用记录，以确定投标人是否具备投标资格,查询结果留存并归档。</w:t>
      </w:r>
    </w:p>
    <w:p w14:paraId="1B646CBE">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接受联合体的项目，两个以上的自然人、法人或者其他组织组成一个联合体，以一个投标人的身份共同参加政府采购活动的，联合体成员中任何一方存在不良信用记录的，视同联合体存在不良应用记录。</w:t>
      </w:r>
    </w:p>
    <w:p w14:paraId="31A0EF0C">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5.1.2符合性审查：依据招标文件的规定，由评委会从投标文件的有效性、完整性和对招标文件的响应程度进行审查，以确定是否对招标文件的实质性要求作出响应。</w:t>
      </w:r>
    </w:p>
    <w:p w14:paraId="12F6B99E">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5.1.3未通过资格审查或符合性审查的投标人，采购人或采购代理机构告知未通过资格审查或符合性审查的原因，评审结束后，采购人或采购代理机构将不再告知未通过资格审查或符合性审查的原因。</w:t>
      </w:r>
    </w:p>
    <w:p w14:paraId="4FB9A34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5.2在详细评标之前，评委会将首先审查每份投标文件是否实质性响应了招标文件的要求。实质性响应的投标应该是与招标文件要求的全部条款、条件和规格相符，没有重大偏离或保留的投标。</w:t>
      </w:r>
    </w:p>
    <w:p w14:paraId="50360A72">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w:t>
      </w:r>
      <w:r>
        <w:rPr>
          <w:rFonts w:hint="eastAsia" w:ascii="宋体" w:hAnsi="宋体" w:cs="宋体"/>
          <w:bCs/>
          <w:sz w:val="24"/>
          <w:highlight w:val="none"/>
        </w:rPr>
        <w:t>评委决定投标文件的响应性只根据投标文件本身的内容，而不寻求外部的证据。</w:t>
      </w:r>
    </w:p>
    <w:p w14:paraId="69529372">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5.3</w:t>
      </w:r>
      <w:r>
        <w:rPr>
          <w:rFonts w:hint="eastAsia" w:ascii="宋体" w:hAnsi="宋体" w:cs="宋体"/>
          <w:bCs/>
          <w:sz w:val="24"/>
          <w:highlight w:val="none"/>
        </w:rPr>
        <w:t>如果投标文件实质上没有响应招标文件的要求，评委会将予以拒绝，投标人不得通过修改或撤销不符合要求的偏离或保留而使其投标成为实质性响应的投标。</w:t>
      </w:r>
    </w:p>
    <w:p w14:paraId="25110AF0">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5.4</w:t>
      </w:r>
      <w:r>
        <w:rPr>
          <w:rFonts w:hint="eastAsia" w:ascii="宋体" w:hAnsi="宋体" w:cs="宋体"/>
          <w:bCs/>
          <w:sz w:val="24"/>
          <w:highlight w:val="none"/>
        </w:rPr>
        <w:t>评委会将对确定为实质性响应的投标进行进一步审核，确定其是否有计算上或累加上的算术错误，修正错误的原则如下：</w:t>
      </w:r>
    </w:p>
    <w:p w14:paraId="1D9CA660">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（1）投标文件中开标一览表内容与投标文件中相应内容不一致的，以开标一览表为准。</w:t>
      </w:r>
    </w:p>
    <w:p w14:paraId="322F5C19">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（2）大写金额和小写金额不一致的，以大写金额为准。</w:t>
      </w:r>
    </w:p>
    <w:p w14:paraId="4250D012">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（3）单价金额小数点或者百分比有明显错位的，以开标一览表的总价为准，并修改单价。</w:t>
      </w:r>
    </w:p>
    <w:p w14:paraId="3FFD21F9">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（4）总价金额与按单价汇总金额不一致的，以单价金额计算结果为准。</w:t>
      </w:r>
    </w:p>
    <w:p w14:paraId="7EFD706E">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同时出现两种以上错误的，按照前款规定的顺序修正。</w:t>
      </w:r>
    </w:p>
    <w:p w14:paraId="5397C990">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5.5</w:t>
      </w:r>
      <w:r>
        <w:rPr>
          <w:rFonts w:hint="eastAsia" w:ascii="宋体" w:hAnsi="宋体" w:cs="宋体"/>
          <w:bCs/>
          <w:sz w:val="24"/>
          <w:highlight w:val="none"/>
        </w:rPr>
        <w:t>评委会将按上述修正错误的方法调整投标文件中的投标报价，并告知投标人，调整后的价格应对投标人具有约束力。如果投标人不接受修正后的价格，则其投标将被拒绝。</w:t>
      </w:r>
    </w:p>
    <w:p w14:paraId="05186660">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5.6</w:t>
      </w:r>
      <w:r>
        <w:rPr>
          <w:rFonts w:hint="eastAsia" w:ascii="宋体" w:hAnsi="宋体" w:cs="宋体"/>
          <w:bCs/>
          <w:sz w:val="24"/>
          <w:highlight w:val="none"/>
        </w:rPr>
        <w:t>评委会将允许修正投标文件中不构成重大偏离的、微小的、非正规的、不一致的或不规则的地方，但这些修改不能影响任何投标人相应的名次排列。</w:t>
      </w:r>
    </w:p>
    <w:p w14:paraId="70D2EEAC">
      <w:pPr>
        <w:adjustRightInd w:val="0"/>
        <w:snapToGrid w:val="0"/>
        <w:spacing w:line="360" w:lineRule="auto"/>
        <w:ind w:firstLine="480" w:firstLineChars="200"/>
        <w:rPr>
          <w:rFonts w:ascii="宋体" w:hAnsi="宋体" w:cs="宋体"/>
          <w:sz w:val="24"/>
          <w:highlight w:val="none"/>
        </w:rPr>
      </w:pPr>
      <w:bookmarkStart w:id="87" w:name="_Toc513029234"/>
      <w:bookmarkStart w:id="88" w:name="_Toc16938550"/>
      <w:bookmarkStart w:id="89" w:name="_Toc20823306"/>
      <w:r>
        <w:rPr>
          <w:rFonts w:hint="eastAsia" w:ascii="宋体" w:hAnsi="宋体" w:cs="宋体"/>
          <w:sz w:val="24"/>
          <w:highlight w:val="none"/>
        </w:rPr>
        <w:t>5.7投标人在开、评标全过程中应保持通讯畅通，并安排专人与采购人或采购代理机构联系。</w:t>
      </w:r>
      <w:bookmarkEnd w:id="87"/>
      <w:bookmarkEnd w:id="88"/>
      <w:bookmarkEnd w:id="89"/>
    </w:p>
    <w:p w14:paraId="6501C0A8">
      <w:pPr>
        <w:pStyle w:val="5"/>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6.无效投标条款和废标条款</w:t>
      </w:r>
    </w:p>
    <w:p w14:paraId="4C2A2C1A">
      <w:pPr>
        <w:adjustRightInd w:val="0"/>
        <w:snapToGrid w:val="0"/>
        <w:spacing w:line="360" w:lineRule="auto"/>
        <w:ind w:firstLine="480" w:firstLineChars="200"/>
        <w:rPr>
          <w:rFonts w:ascii="宋体" w:hAnsi="宋体" w:cs="宋体"/>
          <w:bCs/>
          <w:sz w:val="24"/>
          <w:highlight w:val="none"/>
        </w:rPr>
      </w:pPr>
      <w:bookmarkStart w:id="90" w:name="_Toc16938551"/>
      <w:bookmarkStart w:id="91" w:name="_Toc20823307"/>
      <w:bookmarkStart w:id="92" w:name="_Toc513029235"/>
      <w:r>
        <w:rPr>
          <w:rFonts w:hint="eastAsia" w:ascii="宋体" w:hAnsi="宋体" w:cs="宋体"/>
          <w:bCs/>
          <w:sz w:val="24"/>
          <w:highlight w:val="none"/>
        </w:rPr>
        <w:t>6.1无效投标条款</w:t>
      </w:r>
    </w:p>
    <w:p w14:paraId="569811EB">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6.1.1投标文件未按规定要求装订、密封、签署、盖章。</w:t>
      </w:r>
    </w:p>
    <w:p w14:paraId="7A931159">
      <w:pPr>
        <w:adjustRightInd w:val="0"/>
        <w:snapToGrid w:val="0"/>
        <w:spacing w:line="360" w:lineRule="auto"/>
        <w:ind w:firstLine="480" w:firstLineChars="200"/>
        <w:rPr>
          <w:rFonts w:ascii="宋体" w:hAnsi="宋体" w:cs="宋体"/>
          <w:bCs/>
          <w:sz w:val="24"/>
          <w:highlight w:val="none"/>
          <w:lang w:val="zh-CN"/>
        </w:rPr>
      </w:pPr>
      <w:r>
        <w:rPr>
          <w:rFonts w:hint="eastAsia" w:ascii="宋体" w:hAnsi="宋体" w:cs="宋体"/>
          <w:bCs/>
          <w:sz w:val="24"/>
          <w:highlight w:val="none"/>
        </w:rPr>
        <w:t>6.1.2资格审查证明材料、商务技术标中出现投标报价的</w:t>
      </w:r>
      <w:r>
        <w:rPr>
          <w:rFonts w:hint="eastAsia" w:ascii="宋体" w:hAnsi="宋体" w:cs="宋体"/>
          <w:bCs/>
          <w:sz w:val="24"/>
          <w:highlight w:val="none"/>
          <w:lang w:val="zh-CN"/>
        </w:rPr>
        <w:t>。</w:t>
      </w:r>
    </w:p>
    <w:p w14:paraId="33BC85C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6.1.3同一投标人提交两个（含两个）以上不同的投标报价的。</w:t>
      </w:r>
    </w:p>
    <w:p w14:paraId="7D8E113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6.1.4投标人不具备招标文件中规定资格要求的。</w:t>
      </w:r>
    </w:p>
    <w:p w14:paraId="24F52239">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6.1.5投标人的报价超过了采购预算或最高限价的。</w:t>
      </w:r>
    </w:p>
    <w:p w14:paraId="608F7F58">
      <w:pPr>
        <w:adjustRightInd w:val="0"/>
        <w:snapToGrid w:val="0"/>
        <w:spacing w:line="360" w:lineRule="auto"/>
        <w:ind w:firstLine="480" w:firstLineChars="200"/>
        <w:rPr>
          <w:rFonts w:ascii="宋体" w:hAnsi="宋体" w:cs="宋体"/>
          <w:bCs/>
          <w:i/>
          <w:sz w:val="24"/>
          <w:highlight w:val="none"/>
          <w:u w:val="single"/>
        </w:rPr>
      </w:pPr>
      <w:r>
        <w:rPr>
          <w:rFonts w:hint="eastAsia" w:ascii="宋体" w:hAnsi="宋体" w:cs="宋体"/>
          <w:bCs/>
          <w:sz w:val="24"/>
          <w:highlight w:val="none"/>
        </w:rPr>
        <w:t>6.1.6未通过符合性审查的。</w:t>
      </w:r>
    </w:p>
    <w:p w14:paraId="75E82877">
      <w:pPr>
        <w:adjustRightInd w:val="0"/>
        <w:snapToGrid w:val="0"/>
        <w:spacing w:line="360" w:lineRule="auto"/>
        <w:ind w:firstLine="480"/>
        <w:rPr>
          <w:rFonts w:ascii="宋体" w:hAnsi="宋体" w:cs="宋体"/>
          <w:bCs/>
          <w:i/>
          <w:sz w:val="24"/>
          <w:highlight w:val="none"/>
          <w:u w:val="single"/>
        </w:rPr>
      </w:pPr>
      <w:r>
        <w:rPr>
          <w:rFonts w:hint="eastAsia" w:ascii="宋体" w:hAnsi="宋体" w:cs="宋体"/>
          <w:bCs/>
          <w:sz w:val="24"/>
          <w:highlight w:val="none"/>
        </w:rPr>
        <w:t>6.1.7不符合招标文件中规定的其他实质性要求和条件的</w:t>
      </w:r>
      <w:r>
        <w:rPr>
          <w:rFonts w:hint="eastAsia" w:ascii="宋体" w:hAnsi="宋体" w:cs="宋体"/>
          <w:bCs/>
          <w:i/>
          <w:iCs/>
          <w:sz w:val="24"/>
          <w:highlight w:val="none"/>
          <w:u w:val="single"/>
        </w:rPr>
        <w:t>（本招标文件中斜体且有下划线部分为实质性要求）</w:t>
      </w:r>
      <w:r>
        <w:rPr>
          <w:rFonts w:hint="eastAsia" w:ascii="宋体" w:hAnsi="宋体" w:cs="宋体"/>
          <w:bCs/>
          <w:sz w:val="24"/>
          <w:highlight w:val="none"/>
        </w:rPr>
        <w:t>。</w:t>
      </w:r>
    </w:p>
    <w:p w14:paraId="3A625119">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6.1.8投标人被 “信用中国”网站列入失信被执行人或重大税收违法案件当事人名单或政府采购严重失信行为记录名单。或查询“信用中国”网站后发现投标人存在其他不符合《中华人民共和国政府采购法》第二十二条规定条件的信用记录。</w:t>
      </w:r>
    </w:p>
    <w:p w14:paraId="47960435">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6.1.9投标文件含有采购人不能接受的附加条件的。</w:t>
      </w:r>
    </w:p>
    <w:p w14:paraId="5A0316C4">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6.1.10评标委员会认为投标人的报价明显低于其他通过符合性审查投标人的报价，有可能影响产品质量或者不能诚信履约的其他情形。评标委员会将启动异常低价投标审查程序。评标委员会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w:t>
      </w:r>
    </w:p>
    <w:p w14:paraId="714909B1">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6.1.11本项目采购产品被财政部、国家发改委、生态环境部等列入“节能产品品目清单”“环境标志产品品目清单”强制采购范围，而投标人所投标产品不在强制采购范围内的。（投标产品如属于政府强制采购节能产品品目清单范围内，投标文件中必须提供国家确定的认证机构出具的、处于有效期之内的该节能产品认证证书图片）</w:t>
      </w:r>
    </w:p>
    <w:p w14:paraId="0F522330">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6.1.12投标人的商务技术部分得分相差悬殊，评标委员会一致认为得分畸低者没有实质性响应的。</w:t>
      </w:r>
    </w:p>
    <w:p w14:paraId="564F778B">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6.1.13其他法律、法规及本招标文件规定的属无效投标的情形。</w:t>
      </w:r>
    </w:p>
    <w:p w14:paraId="117DCA07">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6.2废标条款：</w:t>
      </w:r>
    </w:p>
    <w:p w14:paraId="5C4B66B0">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6.2.1符合专业条件的投标人或者对招标文件作实质响应的投标人不足三家的。</w:t>
      </w:r>
    </w:p>
    <w:p w14:paraId="79637D59">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6.2.2出现影响采购公正的违法、违规行为的。</w:t>
      </w:r>
    </w:p>
    <w:p w14:paraId="075AF5E7">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6.2.3因重大变故，采购任务取消的。</w:t>
      </w:r>
    </w:p>
    <w:p w14:paraId="2434C8EF">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6.2.4评标委员会认定招标文件存在歧义、重大缺陷导致评审工作无法进行。</w:t>
      </w:r>
    </w:p>
    <w:p w14:paraId="2161C6CB">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6.3投标截止时间结束后参加投标的投标人不足三家的处理：</w:t>
      </w:r>
    </w:p>
    <w:p w14:paraId="6287BBFC">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6.3.1如出现投标截止时间结束后参加投标的投标人或者在评标期间对招标文件做出实质响应的投标人不足三家情况，按政府采购相关规定执行。</w:t>
      </w:r>
    </w:p>
    <w:bookmarkEnd w:id="90"/>
    <w:bookmarkEnd w:id="91"/>
    <w:bookmarkEnd w:id="92"/>
    <w:p w14:paraId="062D0DDD">
      <w:pPr>
        <w:pStyle w:val="4"/>
        <w:adjustRightInd w:val="0"/>
        <w:snapToGrid w:val="0"/>
        <w:spacing w:before="0" w:after="0" w:line="360" w:lineRule="auto"/>
        <w:ind w:firstLine="482" w:firstLineChars="200"/>
        <w:rPr>
          <w:rFonts w:ascii="宋体" w:hAnsi="宋体" w:cs="宋体"/>
          <w:sz w:val="24"/>
          <w:szCs w:val="24"/>
          <w:highlight w:val="none"/>
        </w:rPr>
      </w:pPr>
      <w:bookmarkStart w:id="93" w:name="_Toc120614219"/>
      <w:r>
        <w:rPr>
          <w:rFonts w:hint="eastAsia" w:ascii="宋体" w:hAnsi="宋体" w:cs="宋体"/>
          <w:sz w:val="24"/>
          <w:szCs w:val="24"/>
          <w:highlight w:val="none"/>
        </w:rPr>
        <w:t>（六）定标</w:t>
      </w:r>
      <w:bookmarkEnd w:id="93"/>
    </w:p>
    <w:p w14:paraId="1C2B47AC">
      <w:pPr>
        <w:pStyle w:val="5"/>
        <w:adjustRightInd w:val="0"/>
        <w:snapToGrid w:val="0"/>
        <w:spacing w:line="360" w:lineRule="auto"/>
        <w:ind w:firstLine="480" w:firstLineChars="200"/>
        <w:jc w:val="both"/>
        <w:rPr>
          <w:rFonts w:ascii="宋体" w:hAnsi="宋体" w:eastAsia="宋体" w:cs="宋体"/>
          <w:b/>
          <w:sz w:val="24"/>
          <w:szCs w:val="24"/>
          <w:highlight w:val="none"/>
        </w:rPr>
      </w:pPr>
      <w:bookmarkStart w:id="94" w:name="_Toc20823310"/>
      <w:bookmarkStart w:id="95" w:name="_Toc16938554"/>
      <w:r>
        <w:rPr>
          <w:rFonts w:hint="eastAsia" w:ascii="宋体" w:hAnsi="宋体" w:eastAsia="宋体" w:cs="宋体"/>
          <w:sz w:val="24"/>
          <w:szCs w:val="24"/>
          <w:highlight w:val="none"/>
        </w:rPr>
        <w:t>1.确定</w:t>
      </w:r>
      <w:bookmarkEnd w:id="94"/>
      <w:bookmarkEnd w:id="95"/>
      <w:r>
        <w:rPr>
          <w:rFonts w:hint="eastAsia" w:ascii="宋体" w:hAnsi="宋体" w:eastAsia="宋体" w:cs="宋体"/>
          <w:sz w:val="24"/>
          <w:szCs w:val="24"/>
          <w:highlight w:val="none"/>
        </w:rPr>
        <w:t>中标人</w:t>
      </w:r>
    </w:p>
    <w:p w14:paraId="40FF6077">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 xml:space="preserve">1.1中标候选人的选取原则和数量见招标文件第四部分规定。 </w:t>
      </w:r>
    </w:p>
    <w:p w14:paraId="1A5D0140">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1.2采购人应根据评标委员会推荐的中标候选人确定中标人。</w:t>
      </w:r>
    </w:p>
    <w:p w14:paraId="5668A35A">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1.3</w:t>
      </w:r>
      <w:r>
        <w:rPr>
          <w:rFonts w:hint="eastAsia" w:ascii="宋体" w:hAnsi="宋体" w:cs="宋体"/>
          <w:sz w:val="24"/>
          <w:highlight w:val="none"/>
        </w:rPr>
        <w:t>采购人或采购代理机构将在南通市交通运输局网发布中标公告，公告期限为1个工作日。</w:t>
      </w:r>
    </w:p>
    <w:p w14:paraId="34EE1B4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1.4若有充分证据证明，中标人出现下列情况之一的，一经查实，将被取消中标资格：</w:t>
      </w:r>
    </w:p>
    <w:p w14:paraId="68DF040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1.4.1提供虚假材料谋取中标的。</w:t>
      </w:r>
    </w:p>
    <w:p w14:paraId="209247E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1.4.2向采购人、采购代理机构行贿或者提供其他不正当利益的。</w:t>
      </w:r>
    </w:p>
    <w:p w14:paraId="27ADC09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1.4.3恶意竞争，投标总报价明显低于其自身合理成本且又无法提供证明的。</w:t>
      </w:r>
    </w:p>
    <w:p w14:paraId="0EC7BD3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1.4.4属于本文件规定的无效条件，但在评标过程中又未被评委会发现的。</w:t>
      </w:r>
    </w:p>
    <w:p w14:paraId="2D37034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1.4.5与采购人或者其他投标人恶意串通的。</w:t>
      </w:r>
    </w:p>
    <w:p w14:paraId="42B4498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1.4.6采取不正当手段诋毁、排挤其他投标人的。</w:t>
      </w:r>
    </w:p>
    <w:p w14:paraId="1C020B88">
      <w:pPr>
        <w:adjustRightInd w:val="0"/>
        <w:snapToGrid w:val="0"/>
        <w:spacing w:line="360" w:lineRule="auto"/>
        <w:ind w:firstLine="480" w:firstLineChars="200"/>
        <w:rPr>
          <w:rFonts w:ascii="宋体" w:hAnsi="宋体" w:cs="宋体"/>
          <w:sz w:val="24"/>
          <w:highlight w:val="none"/>
        </w:rPr>
      </w:pPr>
      <w:bookmarkStart w:id="96" w:name="_Toc200451960"/>
      <w:r>
        <w:rPr>
          <w:rFonts w:hint="eastAsia" w:ascii="宋体" w:hAnsi="宋体" w:cs="宋体"/>
          <w:sz w:val="24"/>
          <w:highlight w:val="none"/>
        </w:rPr>
        <w:t>1.5有下列情形之一的，视为投标人串通投标，投标无效：</w:t>
      </w:r>
    </w:p>
    <w:p w14:paraId="5DB33F3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1.5.1不同投标人的投标文件由同一单位或者个人编制；</w:t>
      </w:r>
    </w:p>
    <w:p w14:paraId="0D425D5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1.5.2不同投标人委托同一单位或者个人办理投标事宜；</w:t>
      </w:r>
    </w:p>
    <w:p w14:paraId="5240A9F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1.5.3不同投标人的投标文件载明的项目管理成员或者联系人员为同一人；</w:t>
      </w:r>
    </w:p>
    <w:p w14:paraId="6CD2CA7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1.5.4不同投标人的投标文件异常一致或者投标报价呈规律性差异；</w:t>
      </w:r>
    </w:p>
    <w:p w14:paraId="653514E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1.5.5不同投标人的投标文件相互混装。</w:t>
      </w:r>
    </w:p>
    <w:p w14:paraId="07623CAD">
      <w:pPr>
        <w:pStyle w:val="5"/>
        <w:adjustRightInd w:val="0"/>
        <w:snapToGrid w:val="0"/>
        <w:spacing w:line="360" w:lineRule="auto"/>
        <w:ind w:firstLine="480" w:firstLineChars="200"/>
        <w:jc w:val="both"/>
        <w:rPr>
          <w:rFonts w:ascii="宋体" w:hAnsi="宋体" w:eastAsia="宋体" w:cs="宋体"/>
          <w:b/>
          <w:sz w:val="24"/>
          <w:szCs w:val="24"/>
          <w:highlight w:val="none"/>
        </w:rPr>
      </w:pPr>
      <w:r>
        <w:rPr>
          <w:rFonts w:hint="eastAsia" w:ascii="宋体" w:hAnsi="宋体" w:eastAsia="宋体" w:cs="宋体"/>
          <w:sz w:val="24"/>
          <w:szCs w:val="24"/>
          <w:highlight w:val="none"/>
        </w:rPr>
        <w:t>2.质疑处理</w:t>
      </w:r>
      <w:bookmarkEnd w:id="96"/>
    </w:p>
    <w:p w14:paraId="1D1A51E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2.1提出质疑的投标人应当是参与所质疑项目采购活动的投标人。潜在投标人依法获取其可质疑的招标文件的，可以对招标文件提出质疑。</w:t>
      </w:r>
    </w:p>
    <w:p w14:paraId="2B6FAC1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投标人认为招标文件、采购过程和采购结果使自己的权益受到损害的，可以在知道或应知其权益受到损害之日起七个工作日内，以书面形式向采购人或采购代理机构提出质疑。上述应知其权益受到损害之日，是指：</w:t>
      </w:r>
    </w:p>
    <w:p w14:paraId="0BA027E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2.2.1对可以质疑的招标文件提出质疑的，为收到招标文件之日或者招标文件公告期限届满之日；</w:t>
      </w:r>
    </w:p>
    <w:p w14:paraId="75E0AA6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2.2.2对采购过程提出质疑的，为各采购程序环节结束之日；</w:t>
      </w:r>
    </w:p>
    <w:p w14:paraId="4D45FFA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2.2.3对中标结果提出质疑的，为中标结果公告期限届满之日。</w:t>
      </w:r>
    </w:p>
    <w:p w14:paraId="73B1CCC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投标人应当在法定质疑期内一次性提出针对同一采购程序环节的质疑。投标人如在法定期限内对同一采购程序环节提出多次质疑的，采购人或采购代理机构将只对投标人第一次质疑作出答复。</w:t>
      </w:r>
    </w:p>
    <w:p w14:paraId="4EAB91F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2.3质疑函必须按照本招标文件中《质疑函范本》要求的格式和内容进行填写。投标人如组成联合体参加投标，则《质疑函范本》中要求签字、盖章、加盖公章之处，联合体各方均须按要求签字、盖章、加盖公章。</w:t>
      </w:r>
    </w:p>
    <w:p w14:paraId="77F24D0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2.4质疑答复依据《政府采购质疑和投诉办法》（财政部令第94号）。</w:t>
      </w:r>
    </w:p>
    <w:p w14:paraId="134EBCC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采购人质疑接收人及联系方式，见招标文件第一部分。</w:t>
      </w:r>
    </w:p>
    <w:p w14:paraId="71D46F3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2.5以下情形的质疑不予受理</w:t>
      </w:r>
    </w:p>
    <w:p w14:paraId="2165B1C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2.5.1内容不符合《政府采购质疑和投诉办法》第十二条规定的质疑。</w:t>
      </w:r>
    </w:p>
    <w:p w14:paraId="1C95ACA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2.5.2超出政府采购法定期限的质疑。</w:t>
      </w:r>
    </w:p>
    <w:p w14:paraId="780F79B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2.5.3未参加投标活动的投标人或在投标活动中自身权益未受到损害的投标人所提出的质疑。</w:t>
      </w:r>
    </w:p>
    <w:p w14:paraId="521B326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2.5.4投标人组成联合体参加投标，联合体中任何一方或多方未按要求签字、盖章、加盖公章的质疑。</w:t>
      </w:r>
    </w:p>
    <w:p w14:paraId="326651C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2.6投标人提出书面质疑必须有理、有据，不得捏造事实、提供虚假材料进行恶意质疑。否则，一经查实，采购人或采购代理机构有权依据政府采购的有关规定，报请政府采购监管部门对该投标人进行相应的行政处罚和记录该投标人的失信信息。</w:t>
      </w:r>
    </w:p>
    <w:p w14:paraId="16BFC039">
      <w:pPr>
        <w:pStyle w:val="5"/>
        <w:adjustRightInd w:val="0"/>
        <w:snapToGrid w:val="0"/>
        <w:spacing w:line="360" w:lineRule="auto"/>
        <w:ind w:firstLine="480" w:firstLineChars="200"/>
        <w:jc w:val="both"/>
        <w:rPr>
          <w:rFonts w:ascii="宋体" w:hAnsi="宋体" w:eastAsia="宋体" w:cs="宋体"/>
          <w:b/>
          <w:sz w:val="24"/>
          <w:szCs w:val="24"/>
          <w:highlight w:val="none"/>
        </w:rPr>
      </w:pPr>
      <w:r>
        <w:rPr>
          <w:rFonts w:hint="eastAsia" w:ascii="宋体" w:hAnsi="宋体" w:eastAsia="宋体" w:cs="宋体"/>
          <w:sz w:val="24"/>
          <w:szCs w:val="24"/>
          <w:highlight w:val="none"/>
        </w:rPr>
        <w:t>3.中标通知书</w:t>
      </w:r>
    </w:p>
    <w:p w14:paraId="5CD756BB">
      <w:pPr>
        <w:adjustRightInd w:val="0"/>
        <w:snapToGrid w:val="0"/>
        <w:spacing w:line="360" w:lineRule="auto"/>
        <w:ind w:firstLine="480" w:firstLineChars="200"/>
        <w:outlineLvl w:val="0"/>
        <w:rPr>
          <w:rFonts w:ascii="宋体" w:hAnsi="宋体" w:cs="宋体"/>
          <w:sz w:val="24"/>
          <w:highlight w:val="none"/>
        </w:rPr>
      </w:pPr>
      <w:r>
        <w:rPr>
          <w:rFonts w:hint="eastAsia" w:ascii="宋体" w:hAnsi="宋体" w:cs="宋体"/>
          <w:sz w:val="24"/>
          <w:highlight w:val="none"/>
        </w:rPr>
        <w:t>3.1中标结果确定后，</w:t>
      </w:r>
      <w:r>
        <w:rPr>
          <w:rFonts w:hint="eastAsia" w:ascii="宋体" w:hAnsi="宋体" w:cs="宋体"/>
          <w:bCs/>
          <w:sz w:val="24"/>
          <w:highlight w:val="none"/>
        </w:rPr>
        <w:t>采购人或采购代理机构</w:t>
      </w:r>
      <w:r>
        <w:rPr>
          <w:rFonts w:hint="eastAsia" w:ascii="宋体" w:hAnsi="宋体" w:cs="宋体"/>
          <w:sz w:val="24"/>
          <w:highlight w:val="none"/>
        </w:rPr>
        <w:t>将向中标人发出中标通知书。</w:t>
      </w:r>
    </w:p>
    <w:p w14:paraId="656CA4F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3.2中标通知书将是合同的一个组成部分。对采购人和中标人均具有法律效力。中标通知书发出后，采购人改变中标结果的，或者中标人放弃中标项目的，应当依法承担法律责任。</w:t>
      </w:r>
    </w:p>
    <w:p w14:paraId="3EAA61D8">
      <w:pPr>
        <w:pStyle w:val="4"/>
        <w:adjustRightInd w:val="0"/>
        <w:snapToGrid w:val="0"/>
        <w:spacing w:before="0" w:after="0" w:line="360" w:lineRule="auto"/>
        <w:ind w:firstLine="482" w:firstLineChars="200"/>
        <w:rPr>
          <w:rFonts w:ascii="宋体" w:hAnsi="宋体" w:cs="宋体"/>
          <w:sz w:val="24"/>
          <w:szCs w:val="24"/>
          <w:highlight w:val="none"/>
        </w:rPr>
      </w:pPr>
      <w:bookmarkStart w:id="97" w:name="_Toc120614220"/>
      <w:bookmarkStart w:id="98" w:name="_Toc513029236"/>
      <w:bookmarkStart w:id="99" w:name="_Toc20823308"/>
      <w:bookmarkStart w:id="100" w:name="_Toc16938552"/>
      <w:r>
        <w:rPr>
          <w:rFonts w:hint="eastAsia" w:ascii="宋体" w:hAnsi="宋体" w:cs="宋体"/>
          <w:sz w:val="24"/>
          <w:szCs w:val="24"/>
          <w:highlight w:val="none"/>
        </w:rPr>
        <w:t>（七）授予合同</w:t>
      </w:r>
      <w:bookmarkEnd w:id="97"/>
      <w:bookmarkEnd w:id="98"/>
      <w:bookmarkEnd w:id="99"/>
      <w:bookmarkEnd w:id="100"/>
    </w:p>
    <w:p w14:paraId="6506B01A">
      <w:pPr>
        <w:pStyle w:val="5"/>
        <w:adjustRightInd w:val="0"/>
        <w:snapToGrid w:val="0"/>
        <w:spacing w:line="360" w:lineRule="auto"/>
        <w:ind w:firstLine="480" w:firstLineChars="200"/>
        <w:jc w:val="both"/>
        <w:rPr>
          <w:rFonts w:ascii="宋体" w:hAnsi="宋体" w:eastAsia="宋体" w:cs="宋体"/>
          <w:b/>
          <w:sz w:val="24"/>
          <w:szCs w:val="24"/>
          <w:highlight w:val="none"/>
        </w:rPr>
      </w:pPr>
      <w:bookmarkStart w:id="101" w:name="_Toc16938553"/>
      <w:bookmarkStart w:id="102" w:name="_Toc20823309"/>
      <w:bookmarkStart w:id="103" w:name="_Toc513029237"/>
      <w:r>
        <w:rPr>
          <w:rFonts w:hint="eastAsia" w:ascii="宋体" w:hAnsi="宋体" w:eastAsia="宋体" w:cs="宋体"/>
          <w:sz w:val="24"/>
          <w:szCs w:val="24"/>
          <w:highlight w:val="none"/>
        </w:rPr>
        <w:t>1.签订合同</w:t>
      </w:r>
    </w:p>
    <w:p w14:paraId="4FA231F2">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1</w:t>
      </w:r>
      <w:r>
        <w:rPr>
          <w:rFonts w:hint="eastAsia" w:ascii="宋体" w:hAnsi="宋体" w:cs="宋体"/>
          <w:sz w:val="24"/>
          <w:highlight w:val="none"/>
        </w:rPr>
        <w:t>.l中标人应当在中标通知书发出之日起三十日内，按照招标文件确定的事项与采购人签订政府采购合同。</w:t>
      </w:r>
    </w:p>
    <w:p w14:paraId="31A4C2F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1.2招标文件、中标人的投标文件及招标过程中有关澄清、承诺文件均应作为合同附件。</w:t>
      </w:r>
    </w:p>
    <w:p w14:paraId="54C7491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1.3签订合同后，中标人不得将合同标的进行转包。未经采购人同意，中标人也不得采用分包的形式履行合同，否则采购人有权终止合同。政府采购合同分包履行的，中标人就采购项目和分包项目向采购人负责，分包供应商就分包项目承担责任。转包或分包造成采购人损失的，中标人应承担相应赔偿责任。</w:t>
      </w:r>
    </w:p>
    <w:p w14:paraId="6DC314D5">
      <w:pPr>
        <w:pStyle w:val="5"/>
        <w:adjustRightInd w:val="0"/>
        <w:snapToGrid w:val="0"/>
        <w:spacing w:line="360" w:lineRule="auto"/>
        <w:ind w:firstLine="480" w:firstLineChars="200"/>
        <w:jc w:val="both"/>
        <w:rPr>
          <w:rFonts w:ascii="宋体" w:hAnsi="宋体" w:eastAsia="宋体" w:cs="宋体"/>
          <w:b/>
          <w:sz w:val="24"/>
          <w:szCs w:val="24"/>
          <w:highlight w:val="none"/>
        </w:rPr>
      </w:pPr>
      <w:r>
        <w:rPr>
          <w:rFonts w:hint="eastAsia" w:ascii="宋体" w:hAnsi="宋体" w:eastAsia="宋体" w:cs="宋体"/>
          <w:sz w:val="24"/>
          <w:szCs w:val="24"/>
          <w:highlight w:val="none"/>
        </w:rPr>
        <w:t>2.货物和服务的追加、减少和添购。</w:t>
      </w:r>
    </w:p>
    <w:p w14:paraId="1C21A94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2.1政府采购合同履行中，采购人需追加与合同标的相同的货物和服务的，在不改变合同其他条款的前提下，可以与中标人协商签订补充合同，但所有补充合同的采购金额不超过原合同金额10%。</w:t>
      </w:r>
    </w:p>
    <w:p w14:paraId="3436F95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2.2采购结束后，采购人若由于各种客观原因，必须对采购项目所牵涉的货物和服务进行适当的减少时，在双方协商一致的前提下，可以按照招标采购时的价格水平做相应的调减，并据此签订补充合同。</w:t>
      </w:r>
      <w:bookmarkEnd w:id="101"/>
      <w:bookmarkEnd w:id="102"/>
      <w:bookmarkEnd w:id="103"/>
    </w:p>
    <w:p w14:paraId="24C9770F">
      <w:pPr>
        <w:pBdr>
          <w:top w:val="none" w:color="000000" w:sz="0" w:space="0"/>
          <w:left w:val="none" w:color="000000" w:sz="0" w:space="0"/>
          <w:bottom w:val="none" w:color="000000" w:sz="0" w:space="0"/>
          <w:right w:val="none" w:color="000000" w:sz="0" w:space="0"/>
        </w:pBdr>
        <w:spacing w:line="360" w:lineRule="auto"/>
        <w:rPr>
          <w:rFonts w:ascii="宋体" w:hAnsi="宋体" w:cs="宋体"/>
          <w:szCs w:val="21"/>
          <w:highlight w:val="none"/>
        </w:rPr>
      </w:pPr>
    </w:p>
    <w:p w14:paraId="7B6BAF1E">
      <w:pPr>
        <w:spacing w:line="500" w:lineRule="exact"/>
        <w:ind w:firstLine="281"/>
        <w:jc w:val="center"/>
        <w:outlineLvl w:val="0"/>
        <w:rPr>
          <w:rFonts w:ascii="宋体" w:hAnsi="宋体" w:cs="宋体"/>
          <w:bCs/>
          <w:sz w:val="36"/>
          <w:szCs w:val="36"/>
          <w:highlight w:val="none"/>
        </w:rPr>
      </w:pPr>
      <w:r>
        <w:rPr>
          <w:rFonts w:hint="eastAsia" w:ascii="宋体" w:hAnsi="宋体" w:cs="宋体"/>
          <w:sz w:val="28"/>
          <w:szCs w:val="28"/>
          <w:highlight w:val="none"/>
        </w:rPr>
        <w:br w:type="page" w:clear="all"/>
      </w:r>
      <w:r>
        <w:rPr>
          <w:rFonts w:hint="eastAsia" w:ascii="宋体" w:hAnsi="宋体" w:cs="宋体"/>
          <w:bCs/>
          <w:sz w:val="36"/>
          <w:szCs w:val="36"/>
          <w:highlight w:val="none"/>
        </w:rPr>
        <w:t>第三部分  项目需求</w:t>
      </w:r>
    </w:p>
    <w:bookmarkEnd w:id="0"/>
    <w:bookmarkEnd w:id="1"/>
    <w:bookmarkEnd w:id="2"/>
    <w:p w14:paraId="3B560F53">
      <w:pPr>
        <w:adjustRightInd w:val="0"/>
        <w:snapToGrid w:val="0"/>
        <w:spacing w:line="360" w:lineRule="auto"/>
        <w:ind w:firstLine="480" w:firstLineChars="200"/>
        <w:rPr>
          <w:rFonts w:ascii="宋体" w:hAnsi="宋体" w:cs="宋体"/>
          <w:sz w:val="24"/>
          <w:highlight w:val="none"/>
        </w:rPr>
      </w:pPr>
      <w:bookmarkStart w:id="104" w:name="_Toc13080"/>
      <w:bookmarkStart w:id="105" w:name="_Toc4280"/>
      <w:r>
        <w:rPr>
          <w:rFonts w:hint="eastAsia" w:ascii="宋体" w:hAnsi="宋体" w:cs="宋体"/>
          <w:sz w:val="24"/>
          <w:highlight w:val="none"/>
        </w:rPr>
        <w:t>项目属性：服务类项目</w:t>
      </w:r>
    </w:p>
    <w:p w14:paraId="4A09E94B">
      <w:pPr>
        <w:keepNext/>
        <w:keepLines/>
        <w:adjustRightInd w:val="0"/>
        <w:snapToGrid w:val="0"/>
        <w:spacing w:line="360" w:lineRule="auto"/>
        <w:ind w:firstLine="482" w:firstLineChars="200"/>
        <w:outlineLvl w:val="2"/>
        <w:rPr>
          <w:rFonts w:ascii="宋体" w:hAnsi="宋体" w:cs="宋体"/>
          <w:b/>
          <w:bCs/>
          <w:sz w:val="24"/>
          <w:highlight w:val="none"/>
        </w:rPr>
      </w:pPr>
      <w:r>
        <w:rPr>
          <w:rFonts w:hint="eastAsia" w:ascii="宋体" w:hAnsi="宋体" w:cs="宋体"/>
          <w:b/>
          <w:bCs/>
          <w:sz w:val="24"/>
          <w:highlight w:val="none"/>
        </w:rPr>
        <w:t>一、采购标的清单</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867"/>
        <w:gridCol w:w="3284"/>
        <w:gridCol w:w="3515"/>
      </w:tblGrid>
      <w:tr w14:paraId="4350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5" w:type="pct"/>
            <w:vAlign w:val="center"/>
          </w:tcPr>
          <w:p w14:paraId="55F0ECA5">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分包</w:t>
            </w:r>
          </w:p>
        </w:tc>
        <w:tc>
          <w:tcPr>
            <w:tcW w:w="508" w:type="pct"/>
            <w:vAlign w:val="center"/>
          </w:tcPr>
          <w:p w14:paraId="61938D09">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序号</w:t>
            </w:r>
          </w:p>
        </w:tc>
        <w:tc>
          <w:tcPr>
            <w:tcW w:w="1925" w:type="pct"/>
            <w:vAlign w:val="center"/>
          </w:tcPr>
          <w:p w14:paraId="18ACAA16">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采购标的</w:t>
            </w:r>
          </w:p>
        </w:tc>
        <w:tc>
          <w:tcPr>
            <w:tcW w:w="2060" w:type="pct"/>
            <w:vAlign w:val="center"/>
          </w:tcPr>
          <w:p w14:paraId="3511E72A">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对应中小企业划分标准所属行业</w:t>
            </w:r>
          </w:p>
        </w:tc>
      </w:tr>
      <w:tr w14:paraId="67A8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505" w:type="pct"/>
            <w:vAlign w:val="center"/>
          </w:tcPr>
          <w:p w14:paraId="10B286B1">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1</w:t>
            </w:r>
          </w:p>
        </w:tc>
        <w:tc>
          <w:tcPr>
            <w:tcW w:w="508" w:type="pct"/>
            <w:vAlign w:val="center"/>
          </w:tcPr>
          <w:p w14:paraId="6E36CD70">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1</w:t>
            </w:r>
          </w:p>
        </w:tc>
        <w:tc>
          <w:tcPr>
            <w:tcW w:w="1925" w:type="pct"/>
            <w:vAlign w:val="center"/>
          </w:tcPr>
          <w:p w14:paraId="2533B4F7">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2026年南通城市轨道交通运营第三方安全监管项目</w:t>
            </w:r>
          </w:p>
        </w:tc>
        <w:tc>
          <w:tcPr>
            <w:tcW w:w="2060" w:type="pct"/>
            <w:vAlign w:val="center"/>
          </w:tcPr>
          <w:p w14:paraId="26CEE5F4">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其他未列明行业</w:t>
            </w:r>
          </w:p>
        </w:tc>
      </w:tr>
    </w:tbl>
    <w:p w14:paraId="6774DB87">
      <w:pPr>
        <w:keepNext/>
        <w:keepLines/>
        <w:adjustRightInd w:val="0"/>
        <w:snapToGrid w:val="0"/>
        <w:spacing w:line="360" w:lineRule="auto"/>
        <w:ind w:firstLine="482" w:firstLineChars="200"/>
        <w:outlineLvl w:val="2"/>
        <w:rPr>
          <w:rFonts w:ascii="宋体" w:hAnsi="宋体" w:cs="宋体"/>
          <w:b/>
          <w:bCs/>
          <w:sz w:val="24"/>
          <w:highlight w:val="none"/>
        </w:rPr>
      </w:pPr>
      <w:r>
        <w:rPr>
          <w:rFonts w:hint="eastAsia" w:ascii="宋体" w:hAnsi="宋体" w:cs="宋体"/>
          <w:b/>
          <w:bCs/>
          <w:sz w:val="24"/>
          <w:highlight w:val="none"/>
        </w:rPr>
        <w:t>二、技术要求</w:t>
      </w:r>
    </w:p>
    <w:bookmarkEnd w:id="104"/>
    <w:bookmarkEnd w:id="105"/>
    <w:p w14:paraId="5067D1F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1、项目意义</w:t>
      </w:r>
    </w:p>
    <w:p w14:paraId="5AAA17C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城市轨道交通是城市公共交通系统的骨干，其运营安全对保障人民群众生命财产安全具有重要意义。城市轨道交通运营环境大都处于地下，具有封闭性强、应急疏散难度大等固有特点，一旦发生事故，要比地上公共场所危险得多。近年来，省内外各类城市轨道交通运营险性事件频发，郑州地铁5号线“7·20事件”、“12·14”北京地铁昌平线事故、昌平线“7·25”列车脱轨事故、“2·5”南京地铁10号线渗水事件等，给人民群众生命和财产安全造成巨大损失。为提升我市</w:t>
      </w:r>
      <w:r>
        <w:rPr>
          <w:rFonts w:hint="eastAsia" w:ascii="宋体" w:hAnsi="宋体" w:cs="宋体"/>
          <w:sz w:val="24"/>
          <w:highlight w:val="none"/>
          <w:lang w:eastAsia="zh-CN"/>
        </w:rPr>
        <w:t>城市轨道交通</w:t>
      </w:r>
      <w:r>
        <w:rPr>
          <w:rFonts w:hint="eastAsia" w:ascii="宋体" w:hAnsi="宋体" w:cs="宋体"/>
          <w:sz w:val="24"/>
          <w:highlight w:val="none"/>
        </w:rPr>
        <w:t>运营安全水平，保持安全生产形势稳定，按照“让专业的人做专业的事”的原则，有必要引入第三方专业安全咨询单位，对运营安全生产进行专业化辅助监管。</w:t>
      </w:r>
    </w:p>
    <w:p w14:paraId="017EF36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2、项目内容</w:t>
      </w:r>
    </w:p>
    <w:p w14:paraId="72968DD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（1）工作内容</w:t>
      </w:r>
    </w:p>
    <w:p w14:paraId="1050B41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按照有关法律法规要求，参照《国务院办公厅关于保障城市轨道交通安全运行的意见》（国办发〔2018〕13号）、《城市轨道交通运营管理规定》（交通运输部令2018年第8号）、《城市轨道交通运营安全评估管理办法》（交运规〔2023〕3号）、《交通运输部关于印发&lt;城市轨道交通运营安全风险分级管控和隐患排查治理管理办法&gt;的通知》（交运规〔2024〕10号）等有关规定要求，结合运营各专业及重点环节，结合运营专业及重点环节，</w:t>
      </w:r>
      <w:r>
        <w:rPr>
          <w:rFonts w:hint="eastAsia" w:ascii="宋体" w:hAnsi="宋体" w:cs="宋体"/>
          <w:sz w:val="24"/>
          <w:highlight w:val="none"/>
          <w:lang w:eastAsia="zh-CN"/>
        </w:rPr>
        <w:t>对运营单位制度落实情况、安全生产管理体系建设情况开展检查，并</w:t>
      </w:r>
      <w:r>
        <w:rPr>
          <w:rFonts w:hint="eastAsia" w:ascii="宋体" w:hAnsi="宋体" w:cs="宋体"/>
          <w:sz w:val="24"/>
          <w:highlight w:val="none"/>
        </w:rPr>
        <w:t>每季度</w:t>
      </w:r>
      <w:r>
        <w:rPr>
          <w:rFonts w:hint="eastAsia" w:ascii="宋体" w:hAnsi="宋体" w:cs="宋体"/>
          <w:sz w:val="24"/>
          <w:highlight w:val="none"/>
          <w:lang w:eastAsia="zh-CN"/>
        </w:rPr>
        <w:t>结合重大节假日及防汛防寒等关键节点对</w:t>
      </w:r>
      <w:r>
        <w:rPr>
          <w:rFonts w:hint="eastAsia" w:ascii="宋体" w:hAnsi="宋体" w:cs="宋体"/>
          <w:sz w:val="24"/>
          <w:highlight w:val="none"/>
        </w:rPr>
        <w:t>运营车站、区间（夜间检查）、车辆基地/停车场、主变电所等</w:t>
      </w:r>
      <w:r>
        <w:rPr>
          <w:rFonts w:hint="eastAsia" w:ascii="宋体" w:hAnsi="宋体" w:cs="宋体"/>
          <w:sz w:val="24"/>
          <w:highlight w:val="none"/>
          <w:lang w:eastAsia="zh-CN"/>
        </w:rPr>
        <w:t>至少</w:t>
      </w:r>
      <w:r>
        <w:rPr>
          <w:rFonts w:hint="eastAsia" w:ascii="宋体" w:hAnsi="宋体" w:cs="宋体"/>
          <w:sz w:val="24"/>
          <w:highlight w:val="none"/>
        </w:rPr>
        <w:t>开展一次抽查检查（全年基本覆盖全线）。</w:t>
      </w:r>
    </w:p>
    <w:p w14:paraId="55F020C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（2）预期目标</w:t>
      </w:r>
    </w:p>
    <w:p w14:paraId="7392414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通过每季度引入第三方专业安全咨询单位行业专家对城市轨道交通运营单位进行专题检查、指导，督促运营单位不断加强安全隐患整改，消除事故苗头。同时，针对运营单位遇到的难点、痛点问题，发挥行业专家经验，进行交流指导，帮助运营单位持续改进。通过指导运营单位提早发现问题、做好源头治理、系统治理，提高运营安全管理水平，遏制较大及以上生产安全事故，避免事故事件造成的人员伤亡、经济损失和社会影响，保障我市城市轨道交通运营安全。</w:t>
      </w:r>
    </w:p>
    <w:p w14:paraId="785D123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（3）预期成果</w:t>
      </w:r>
    </w:p>
    <w:p w14:paraId="2B25E43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①</w:t>
      </w:r>
      <w:r>
        <w:rPr>
          <w:rFonts w:hint="eastAsia" w:ascii="宋体" w:hAnsi="宋体" w:cs="宋体"/>
          <w:sz w:val="24"/>
          <w:highlight w:val="none"/>
        </w:rPr>
        <w:tab/>
      </w:r>
      <w:r>
        <w:rPr>
          <w:rFonts w:hint="eastAsia" w:ascii="宋体" w:hAnsi="宋体" w:cs="宋体"/>
          <w:sz w:val="24"/>
          <w:highlight w:val="none"/>
        </w:rPr>
        <w:t>运营安全检查评估标准及检查评估清单；</w:t>
      </w:r>
    </w:p>
    <w:p w14:paraId="543D719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②</w:t>
      </w:r>
      <w:r>
        <w:rPr>
          <w:rFonts w:hint="eastAsia" w:ascii="宋体" w:hAnsi="宋体" w:cs="宋体"/>
          <w:sz w:val="24"/>
          <w:highlight w:val="none"/>
        </w:rPr>
        <w:tab/>
      </w:r>
      <w:r>
        <w:rPr>
          <w:rFonts w:hint="eastAsia" w:ascii="宋体" w:hAnsi="宋体" w:cs="宋体"/>
          <w:sz w:val="24"/>
          <w:highlight w:val="none"/>
        </w:rPr>
        <w:t>专业检查方案，每季度检查工作计划、过程记录资料等；</w:t>
      </w:r>
    </w:p>
    <w:p w14:paraId="732B6ED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③</w:t>
      </w:r>
      <w:r>
        <w:rPr>
          <w:rFonts w:hint="eastAsia" w:ascii="宋体" w:hAnsi="宋体" w:cs="宋体"/>
          <w:sz w:val="24"/>
          <w:highlight w:val="none"/>
        </w:rPr>
        <w:tab/>
      </w:r>
      <w:r>
        <w:rPr>
          <w:rFonts w:hint="eastAsia" w:ascii="宋体" w:hAnsi="宋体" w:cs="宋体"/>
          <w:sz w:val="24"/>
          <w:highlight w:val="none"/>
        </w:rPr>
        <w:t>南通城市轨道交通运营安全第*季度检查报告，应包含检查发现的管理体系及现场设备设施隐患问题、问题分析、隐患整改及管理改进建议等；</w:t>
      </w:r>
    </w:p>
    <w:p w14:paraId="4ABBCFC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④</w:t>
      </w:r>
      <w:r>
        <w:rPr>
          <w:rFonts w:hint="eastAsia" w:ascii="宋体" w:hAnsi="宋体" w:cs="宋体"/>
          <w:sz w:val="24"/>
          <w:highlight w:val="none"/>
        </w:rPr>
        <w:tab/>
      </w:r>
      <w:r>
        <w:rPr>
          <w:rFonts w:hint="eastAsia" w:ascii="宋体" w:hAnsi="宋体" w:cs="宋体"/>
          <w:sz w:val="24"/>
          <w:highlight w:val="none"/>
        </w:rPr>
        <w:t>其他需要服务单位配合完成的资料。</w:t>
      </w:r>
    </w:p>
    <w:p w14:paraId="6263EDF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（4）其他</w:t>
      </w:r>
    </w:p>
    <w:p w14:paraId="2E7C7E5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为确保季度检查、指导质量，项目实施过程中，对第三方专业咨询单位人员配置、项目开展质效、项目推进进度等进行考核，考核结果作为费用支付的依据之一。如因人力、能力不足致使工作不能按要求完成时，要求第三方专业咨询单位增加或调整相应人员。此外，对于检查中应发现但未发现问题导致不良后果的，扣减相应的费用</w:t>
      </w:r>
      <w:r>
        <w:rPr>
          <w:rFonts w:hint="eastAsia" w:ascii="宋体" w:hAnsi="宋体" w:cs="宋体"/>
          <w:sz w:val="24"/>
          <w:highlight w:val="none"/>
          <w:lang w:eastAsia="zh-CN"/>
        </w:rPr>
        <w:t>；</w:t>
      </w:r>
      <w:r>
        <w:rPr>
          <w:rFonts w:hint="eastAsia" w:ascii="宋体" w:hAnsi="宋体" w:cs="宋体"/>
          <w:sz w:val="24"/>
          <w:highlight w:val="none"/>
        </w:rPr>
        <w:t>第三方专业咨询单位</w:t>
      </w:r>
      <w:r>
        <w:rPr>
          <w:rFonts w:hint="eastAsia" w:ascii="宋体" w:hAnsi="宋体" w:cs="宋体"/>
          <w:sz w:val="24"/>
          <w:highlight w:val="none"/>
          <w:lang w:eastAsia="zh-CN"/>
        </w:rPr>
        <w:t>如在检查过程中存在严重违反合同约定的情形，甲方有权终止合同，不予支付合同尾款。</w:t>
      </w:r>
    </w:p>
    <w:p w14:paraId="1D87D3FF">
      <w:pPr>
        <w:autoSpaceDE w:val="0"/>
        <w:autoSpaceDN w:val="0"/>
        <w:adjustRightInd w:val="0"/>
        <w:snapToGrid w:val="0"/>
        <w:spacing w:line="360" w:lineRule="auto"/>
        <w:ind w:firstLine="482" w:firstLineChars="200"/>
        <w:outlineLvl w:val="0"/>
        <w:rPr>
          <w:rFonts w:ascii="宋体" w:hAnsi="宋体" w:cs="宋体"/>
          <w:b/>
          <w:sz w:val="24"/>
          <w:highlight w:val="none"/>
        </w:rPr>
      </w:pPr>
      <w:r>
        <w:rPr>
          <w:rFonts w:hint="eastAsia" w:ascii="宋体" w:hAnsi="宋体" w:cs="宋体"/>
          <w:b/>
          <w:kern w:val="2"/>
          <w:sz w:val="24"/>
          <w:highlight w:val="none"/>
        </w:rPr>
        <w:t>三、</w:t>
      </w:r>
      <w:r>
        <w:rPr>
          <w:rFonts w:hint="eastAsia" w:ascii="宋体" w:hAnsi="宋体" w:cs="宋体"/>
          <w:b/>
          <w:sz w:val="24"/>
          <w:highlight w:val="none"/>
        </w:rPr>
        <w:t>商务要求</w:t>
      </w:r>
    </w:p>
    <w:p w14:paraId="69B84083">
      <w:pPr>
        <w:autoSpaceDE w:val="0"/>
        <w:autoSpaceDN w:val="0"/>
        <w:adjustRightInd w:val="0"/>
        <w:snapToGrid w:val="0"/>
        <w:spacing w:line="360" w:lineRule="auto"/>
        <w:ind w:firstLine="480" w:firstLineChars="200"/>
        <w:outlineLvl w:val="0"/>
        <w:rPr>
          <w:rFonts w:ascii="宋体" w:hAnsi="宋体" w:cs="宋体"/>
          <w:bCs/>
          <w:sz w:val="24"/>
          <w:highlight w:val="none"/>
        </w:rPr>
      </w:pPr>
      <w:r>
        <w:rPr>
          <w:rFonts w:hint="eastAsia" w:ascii="宋体" w:hAnsi="宋体" w:cs="宋体"/>
          <w:bCs/>
          <w:kern w:val="2"/>
          <w:sz w:val="24"/>
          <w:highlight w:val="none"/>
        </w:rPr>
        <w:t>1、</w:t>
      </w:r>
      <w:r>
        <w:rPr>
          <w:rFonts w:hint="eastAsia" w:ascii="宋体" w:hAnsi="宋体" w:cs="宋体"/>
          <w:bCs/>
          <w:sz w:val="24"/>
          <w:highlight w:val="none"/>
        </w:rPr>
        <w:t>报价要求</w:t>
      </w:r>
    </w:p>
    <w:p w14:paraId="1384A619">
      <w:pPr>
        <w:autoSpaceDE w:val="0"/>
        <w:autoSpaceDN w:val="0"/>
        <w:adjustRightInd w:val="0"/>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本项目为总价报价，投标报价包括但不限于人员费用、现场费用、差旅费、设备及相关费用、采购人安排的与完成本项目相关的其它工作的费用、采购代理费、公司税费、保险、利润、法定税金等与履行本合同有关的一切费用。投标人应根据本项目相应情况和有关规范制订必要、合理的人员投入计划，其拟投入现场人员数量应满足本项目工作的要求。在合同实施期间，合同费用不随国家政策或法规、标准及市场因素的变化而进行调整。</w:t>
      </w:r>
    </w:p>
    <w:p w14:paraId="40B69D74">
      <w:pPr>
        <w:autoSpaceDE w:val="0"/>
        <w:autoSpaceDN w:val="0"/>
        <w:adjustRightInd w:val="0"/>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2、合同履行期限：自合</w:t>
      </w:r>
      <w:r>
        <w:rPr>
          <w:rFonts w:hint="eastAsia" w:ascii="宋体" w:hAnsi="宋体" w:cs="宋体"/>
          <w:sz w:val="24"/>
          <w:highlight w:val="none"/>
        </w:rPr>
        <w:t>同签订之日起12个月内。</w:t>
      </w:r>
    </w:p>
    <w:p w14:paraId="57331214">
      <w:pPr>
        <w:autoSpaceDE w:val="0"/>
        <w:autoSpaceDN w:val="0"/>
        <w:adjustRightInd w:val="0"/>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3、付款方式</w:t>
      </w:r>
    </w:p>
    <w:p w14:paraId="2EF026B1">
      <w:pPr>
        <w:autoSpaceDE w:val="0"/>
        <w:autoSpaceDN w:val="0"/>
        <w:adjustRightInd w:val="0"/>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签订合同后30日内支付合同总费用的30%，提交全部工作成果后30日内，根据考核得分支付尾款（合同总费用的70%）。</w:t>
      </w:r>
    </w:p>
    <w:p w14:paraId="7BB7515A">
      <w:pPr>
        <w:adjustRightInd w:val="0"/>
        <w:snapToGrid w:val="0"/>
        <w:spacing w:line="360" w:lineRule="auto"/>
        <w:ind w:firstLine="508"/>
        <w:contextualSpacing/>
        <w:rPr>
          <w:rFonts w:ascii="宋体" w:hAnsi="宋体" w:cs="宋体"/>
          <w:spacing w:val="7"/>
          <w:sz w:val="24"/>
          <w:highlight w:val="none"/>
        </w:rPr>
      </w:pPr>
      <w:r>
        <w:rPr>
          <w:rFonts w:hint="eastAsia" w:ascii="宋体" w:hAnsi="宋体" w:cs="宋体"/>
          <w:spacing w:val="7"/>
          <w:sz w:val="24"/>
          <w:highlight w:val="none"/>
        </w:rPr>
        <w:t>注：</w:t>
      </w:r>
      <w:r>
        <w:rPr>
          <w:rFonts w:hint="eastAsia" w:ascii="宋体" w:hAnsi="宋体" w:cs="宋体"/>
          <w:bCs/>
          <w:sz w:val="24"/>
          <w:highlight w:val="none"/>
        </w:rPr>
        <w:t>（1）评估结果为优秀的，全额支付尾款；评估结果为良好的，支付尾款的</w:t>
      </w:r>
      <w:r>
        <w:rPr>
          <w:rFonts w:hint="eastAsia" w:ascii="宋体" w:hAnsi="宋体" w:cs="宋体"/>
          <w:bCs/>
          <w:sz w:val="24"/>
          <w:highlight w:val="none"/>
          <w:lang w:val="en-US" w:eastAsia="zh-CN"/>
        </w:rPr>
        <w:t>8</w:t>
      </w:r>
      <w:r>
        <w:rPr>
          <w:rFonts w:hint="eastAsia" w:ascii="宋体" w:hAnsi="宋体" w:cs="宋体"/>
          <w:bCs/>
          <w:sz w:val="24"/>
          <w:highlight w:val="none"/>
        </w:rPr>
        <w:t>0%；评估结果为合格的，支付尾款的</w:t>
      </w:r>
      <w:r>
        <w:rPr>
          <w:rFonts w:hint="eastAsia" w:ascii="宋体" w:hAnsi="宋体" w:cs="宋体"/>
          <w:bCs/>
          <w:sz w:val="24"/>
          <w:highlight w:val="none"/>
          <w:lang w:val="en-US" w:eastAsia="zh-CN"/>
        </w:rPr>
        <w:t>6</w:t>
      </w:r>
      <w:r>
        <w:rPr>
          <w:rFonts w:hint="eastAsia" w:ascii="宋体" w:hAnsi="宋体" w:cs="宋体"/>
          <w:bCs/>
          <w:sz w:val="24"/>
          <w:highlight w:val="none"/>
        </w:rPr>
        <w:t>0%；评估结果为不合格的，</w:t>
      </w:r>
      <w:r>
        <w:rPr>
          <w:rFonts w:hint="eastAsia" w:ascii="宋体" w:hAnsi="宋体" w:cs="宋体"/>
          <w:bCs/>
          <w:sz w:val="24"/>
          <w:highlight w:val="none"/>
          <w:lang w:eastAsia="zh-CN"/>
        </w:rPr>
        <w:t>全额扣减尾款</w:t>
      </w:r>
      <w:r>
        <w:rPr>
          <w:rFonts w:hint="eastAsia" w:ascii="宋体" w:hAnsi="宋体" w:cs="宋体"/>
          <w:bCs/>
          <w:sz w:val="24"/>
          <w:highlight w:val="none"/>
        </w:rPr>
        <w:t>。</w:t>
      </w:r>
    </w:p>
    <w:p w14:paraId="69360086">
      <w:pPr>
        <w:adjustRightInd w:val="0"/>
        <w:snapToGrid w:val="0"/>
        <w:spacing w:line="360" w:lineRule="auto"/>
        <w:ind w:firstLine="508"/>
        <w:contextualSpacing/>
        <w:rPr>
          <w:rFonts w:ascii="宋体" w:hAnsi="宋体" w:cs="宋体"/>
          <w:spacing w:val="7"/>
          <w:sz w:val="24"/>
          <w:highlight w:val="none"/>
        </w:rPr>
      </w:pPr>
      <w:r>
        <w:rPr>
          <w:rFonts w:hint="eastAsia" w:ascii="宋体" w:hAnsi="宋体" w:cs="宋体"/>
          <w:spacing w:val="7"/>
          <w:sz w:val="24"/>
          <w:highlight w:val="none"/>
        </w:rPr>
        <w:t>（2）每次付款须按合同扣减违约金和赔偿款；</w:t>
      </w:r>
    </w:p>
    <w:p w14:paraId="5A41CB0F">
      <w:pPr>
        <w:adjustRightInd w:val="0"/>
        <w:snapToGrid w:val="0"/>
        <w:spacing w:line="360" w:lineRule="auto"/>
        <w:ind w:firstLine="508"/>
        <w:contextualSpacing/>
        <w:rPr>
          <w:rFonts w:ascii="宋体" w:hAnsi="宋体" w:cs="宋体"/>
          <w:spacing w:val="7"/>
          <w:sz w:val="24"/>
          <w:highlight w:val="none"/>
        </w:rPr>
      </w:pPr>
      <w:r>
        <w:rPr>
          <w:rFonts w:hint="eastAsia" w:ascii="宋体" w:hAnsi="宋体" w:cs="宋体"/>
          <w:spacing w:val="7"/>
          <w:sz w:val="24"/>
          <w:highlight w:val="none"/>
        </w:rPr>
        <w:t>（3）付款前投标人须提供等额合规发票及相关申请资料，否则采购人可以拒付；</w:t>
      </w:r>
    </w:p>
    <w:p w14:paraId="15DFE4D7">
      <w:pPr>
        <w:adjustRightInd w:val="0"/>
        <w:snapToGrid w:val="0"/>
        <w:spacing w:line="360" w:lineRule="auto"/>
        <w:ind w:firstLine="508"/>
        <w:contextualSpacing/>
        <w:rPr>
          <w:rFonts w:ascii="宋体" w:hAnsi="宋体" w:cs="宋体"/>
          <w:spacing w:val="7"/>
          <w:sz w:val="24"/>
          <w:highlight w:val="none"/>
        </w:rPr>
      </w:pPr>
      <w:r>
        <w:rPr>
          <w:rFonts w:hint="eastAsia" w:ascii="宋体" w:hAnsi="宋体" w:cs="宋体"/>
          <w:spacing w:val="7"/>
          <w:sz w:val="24"/>
          <w:highlight w:val="none"/>
        </w:rPr>
        <w:t>（4）所有付款均不计利息。</w:t>
      </w:r>
    </w:p>
    <w:p w14:paraId="711866E9">
      <w:pPr>
        <w:autoSpaceDE w:val="0"/>
        <w:autoSpaceDN w:val="0"/>
        <w:adjustRightInd w:val="0"/>
        <w:snapToGrid w:val="0"/>
        <w:spacing w:line="360" w:lineRule="auto"/>
        <w:ind w:firstLine="480" w:firstLineChars="200"/>
        <w:outlineLvl w:val="0"/>
        <w:rPr>
          <w:rFonts w:ascii="宋体" w:hAnsi="宋体" w:cs="宋体"/>
          <w:sz w:val="24"/>
          <w:highlight w:val="none"/>
        </w:rPr>
      </w:pPr>
      <w:r>
        <w:rPr>
          <w:rFonts w:hint="eastAsia" w:ascii="宋体" w:hAnsi="宋体" w:cs="宋体"/>
          <w:bCs/>
          <w:kern w:val="2"/>
          <w:sz w:val="24"/>
          <w:highlight w:val="none"/>
        </w:rPr>
        <w:t>4、</w:t>
      </w:r>
      <w:r>
        <w:rPr>
          <w:rFonts w:hint="eastAsia" w:ascii="宋体" w:hAnsi="宋体" w:cs="宋体"/>
          <w:bCs/>
          <w:sz w:val="24"/>
          <w:highlight w:val="none"/>
        </w:rPr>
        <w:t>履约保证金：</w:t>
      </w:r>
      <w:r>
        <w:rPr>
          <w:rFonts w:hint="eastAsia" w:ascii="宋体" w:hAnsi="宋体" w:cs="宋体"/>
          <w:sz w:val="24"/>
          <w:highlight w:val="none"/>
        </w:rPr>
        <w:t>本项目不设履约保证金。</w:t>
      </w:r>
    </w:p>
    <w:p w14:paraId="35E79AFD">
      <w:pPr>
        <w:rPr>
          <w:rFonts w:ascii="宋体" w:hAnsi="宋体" w:cs="宋体"/>
          <w:bCs/>
          <w:sz w:val="28"/>
          <w:szCs w:val="32"/>
          <w:highlight w:val="none"/>
        </w:rPr>
      </w:pPr>
      <w:r>
        <w:rPr>
          <w:rFonts w:hint="eastAsia" w:ascii="宋体" w:hAnsi="宋体" w:cs="宋体"/>
          <w:bCs/>
          <w:sz w:val="28"/>
          <w:szCs w:val="32"/>
          <w:highlight w:val="none"/>
        </w:rPr>
        <w:br w:type="page"/>
      </w:r>
    </w:p>
    <w:p w14:paraId="16FD984E">
      <w:pPr>
        <w:spacing w:line="360" w:lineRule="auto"/>
        <w:jc w:val="center"/>
        <w:rPr>
          <w:rFonts w:ascii="宋体" w:hAnsi="宋体" w:cs="宋体"/>
          <w:bCs/>
          <w:sz w:val="28"/>
          <w:szCs w:val="32"/>
          <w:highlight w:val="none"/>
        </w:rPr>
      </w:pPr>
      <w:r>
        <w:rPr>
          <w:rFonts w:hint="eastAsia" w:ascii="宋体" w:hAnsi="宋体" w:cs="宋体"/>
          <w:bCs/>
          <w:sz w:val="28"/>
          <w:szCs w:val="32"/>
          <w:highlight w:val="none"/>
        </w:rPr>
        <w:t>2026年南通城市轨道交通运营第三方安全监管项目年度考核表</w:t>
      </w:r>
    </w:p>
    <w:p w14:paraId="2BD10F5F">
      <w:pPr>
        <w:tabs>
          <w:tab w:val="left" w:pos="1440"/>
        </w:tabs>
        <w:spacing w:line="360" w:lineRule="auto"/>
        <w:rPr>
          <w:rFonts w:ascii="宋体" w:hAnsi="宋体" w:cs="宋体"/>
          <w:highlight w:val="none"/>
        </w:rPr>
      </w:pPr>
      <w:r>
        <w:rPr>
          <w:rFonts w:hint="eastAsia" w:ascii="宋体" w:hAnsi="宋体" w:cs="宋体"/>
          <w:highlight w:val="none"/>
        </w:rPr>
        <w:t>服务单位：</w:t>
      </w:r>
      <w:r>
        <w:rPr>
          <w:rFonts w:hint="eastAsia" w:ascii="宋体" w:hAnsi="宋体" w:cs="宋体"/>
          <w:highlight w:val="none"/>
          <w:u w:val="single"/>
        </w:rPr>
        <w:t xml:space="preserve">                                    </w:t>
      </w:r>
      <w:r>
        <w:rPr>
          <w:rFonts w:hint="eastAsia" w:ascii="宋体" w:hAnsi="宋体" w:cs="宋体"/>
          <w:highlight w:val="none"/>
        </w:rPr>
        <w:t xml:space="preserve">                     </w:t>
      </w:r>
    </w:p>
    <w:p w14:paraId="4274D64F">
      <w:pPr>
        <w:tabs>
          <w:tab w:val="left" w:pos="1440"/>
        </w:tabs>
        <w:spacing w:line="360" w:lineRule="auto"/>
        <w:rPr>
          <w:rFonts w:ascii="宋体" w:hAnsi="宋体" w:cs="宋体"/>
          <w:b/>
          <w:highlight w:val="none"/>
        </w:rPr>
      </w:pPr>
      <w:r>
        <w:rPr>
          <w:rFonts w:hint="eastAsia" w:ascii="宋体" w:hAnsi="宋体" w:cs="宋体"/>
          <w:highlight w:val="none"/>
        </w:rPr>
        <w:t>服务期间：</w:t>
      </w:r>
      <w:r>
        <w:rPr>
          <w:rFonts w:hint="eastAsia" w:ascii="宋体" w:hAnsi="宋体" w:cs="宋体"/>
          <w:highlight w:val="none"/>
          <w:u w:val="single"/>
        </w:rPr>
        <w:t xml:space="preserve">                     </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1393"/>
        <w:gridCol w:w="4221"/>
        <w:gridCol w:w="1174"/>
        <w:gridCol w:w="1174"/>
      </w:tblGrid>
      <w:tr w14:paraId="3D30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332" w:type="pct"/>
            <w:vAlign w:val="center"/>
          </w:tcPr>
          <w:p w14:paraId="2FBFFF2B">
            <w:pPr>
              <w:jc w:val="center"/>
              <w:rPr>
                <w:rFonts w:ascii="宋体" w:hAnsi="宋体" w:cs="宋体"/>
                <w:b/>
                <w:bCs/>
                <w:highlight w:val="none"/>
              </w:rPr>
            </w:pPr>
            <w:r>
              <w:rPr>
                <w:rFonts w:hint="eastAsia" w:ascii="宋体" w:hAnsi="宋体" w:cs="宋体"/>
                <w:b/>
                <w:bCs/>
                <w:highlight w:val="none"/>
              </w:rPr>
              <w:t>序号</w:t>
            </w:r>
          </w:p>
        </w:tc>
        <w:tc>
          <w:tcPr>
            <w:tcW w:w="817" w:type="pct"/>
            <w:vAlign w:val="center"/>
          </w:tcPr>
          <w:p w14:paraId="24A115F1">
            <w:pPr>
              <w:jc w:val="center"/>
              <w:rPr>
                <w:rFonts w:ascii="宋体" w:hAnsi="宋体" w:cs="宋体"/>
                <w:b/>
                <w:bCs/>
                <w:highlight w:val="none"/>
              </w:rPr>
            </w:pPr>
            <w:r>
              <w:rPr>
                <w:rFonts w:hint="eastAsia" w:ascii="宋体" w:hAnsi="宋体" w:cs="宋体"/>
                <w:b/>
                <w:bCs/>
                <w:highlight w:val="none"/>
              </w:rPr>
              <w:t>评估项目</w:t>
            </w:r>
          </w:p>
        </w:tc>
        <w:tc>
          <w:tcPr>
            <w:tcW w:w="2475" w:type="pct"/>
            <w:vAlign w:val="center"/>
          </w:tcPr>
          <w:p w14:paraId="0907B96F">
            <w:pPr>
              <w:jc w:val="center"/>
              <w:rPr>
                <w:rFonts w:ascii="宋体" w:hAnsi="宋体" w:cs="宋体"/>
                <w:b/>
                <w:bCs/>
                <w:highlight w:val="none"/>
              </w:rPr>
            </w:pPr>
            <w:r>
              <w:rPr>
                <w:rFonts w:hint="eastAsia" w:ascii="宋体" w:hAnsi="宋体" w:cs="宋体"/>
                <w:b/>
                <w:bCs/>
                <w:highlight w:val="none"/>
              </w:rPr>
              <w:t>评价要点</w:t>
            </w:r>
          </w:p>
        </w:tc>
        <w:tc>
          <w:tcPr>
            <w:tcW w:w="688" w:type="pct"/>
            <w:vAlign w:val="center"/>
          </w:tcPr>
          <w:p w14:paraId="7E0BC61F">
            <w:pPr>
              <w:jc w:val="center"/>
              <w:rPr>
                <w:rFonts w:ascii="宋体" w:hAnsi="宋体" w:cs="宋体"/>
                <w:b/>
                <w:bCs/>
                <w:highlight w:val="none"/>
              </w:rPr>
            </w:pPr>
            <w:r>
              <w:rPr>
                <w:rFonts w:hint="eastAsia" w:ascii="宋体" w:hAnsi="宋体" w:cs="宋体"/>
                <w:b/>
                <w:bCs/>
                <w:highlight w:val="none"/>
              </w:rPr>
              <w:t>考核情况</w:t>
            </w:r>
          </w:p>
          <w:p w14:paraId="67E287D0">
            <w:pPr>
              <w:jc w:val="center"/>
              <w:rPr>
                <w:rFonts w:ascii="宋体" w:hAnsi="宋体" w:cs="宋体"/>
                <w:b/>
                <w:bCs/>
                <w:highlight w:val="none"/>
              </w:rPr>
            </w:pPr>
            <w:r>
              <w:rPr>
                <w:rFonts w:hint="eastAsia" w:ascii="宋体" w:hAnsi="宋体" w:cs="宋体"/>
                <w:b/>
                <w:bCs/>
                <w:highlight w:val="none"/>
              </w:rPr>
              <w:t>（是或否）</w:t>
            </w:r>
          </w:p>
        </w:tc>
        <w:tc>
          <w:tcPr>
            <w:tcW w:w="688" w:type="pct"/>
            <w:vAlign w:val="center"/>
          </w:tcPr>
          <w:p w14:paraId="3E0445F7">
            <w:pPr>
              <w:jc w:val="center"/>
              <w:rPr>
                <w:rFonts w:ascii="宋体" w:hAnsi="宋体" w:cs="宋体"/>
                <w:b/>
                <w:bCs/>
                <w:highlight w:val="none"/>
              </w:rPr>
            </w:pPr>
            <w:r>
              <w:rPr>
                <w:rFonts w:hint="eastAsia" w:ascii="宋体" w:hAnsi="宋体" w:cs="宋体"/>
                <w:b/>
                <w:bCs/>
                <w:highlight w:val="none"/>
              </w:rPr>
              <w:t>备注</w:t>
            </w:r>
          </w:p>
          <w:p w14:paraId="48E1B413">
            <w:pPr>
              <w:jc w:val="center"/>
              <w:rPr>
                <w:rFonts w:ascii="宋体" w:hAnsi="宋体" w:cs="宋体"/>
                <w:b/>
                <w:bCs/>
                <w:highlight w:val="none"/>
              </w:rPr>
            </w:pPr>
            <w:r>
              <w:rPr>
                <w:rFonts w:hint="eastAsia" w:ascii="宋体" w:hAnsi="宋体" w:cs="宋体"/>
                <w:b/>
                <w:bCs/>
                <w:highlight w:val="none"/>
              </w:rPr>
              <w:t>（合格标准）</w:t>
            </w:r>
          </w:p>
        </w:tc>
      </w:tr>
      <w:tr w14:paraId="4697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32" w:type="pct"/>
            <w:vMerge w:val="restart"/>
            <w:vAlign w:val="center"/>
          </w:tcPr>
          <w:p w14:paraId="0DEA9A03">
            <w:pPr>
              <w:jc w:val="center"/>
              <w:rPr>
                <w:rFonts w:ascii="宋体" w:hAnsi="宋体" w:cs="宋体"/>
                <w:highlight w:val="none"/>
              </w:rPr>
            </w:pPr>
            <w:r>
              <w:rPr>
                <w:rFonts w:hint="eastAsia" w:ascii="宋体" w:hAnsi="宋体" w:cs="宋体"/>
                <w:highlight w:val="none"/>
              </w:rPr>
              <w:t>1</w:t>
            </w:r>
          </w:p>
        </w:tc>
        <w:tc>
          <w:tcPr>
            <w:tcW w:w="817" w:type="pct"/>
            <w:vMerge w:val="restart"/>
            <w:vAlign w:val="center"/>
          </w:tcPr>
          <w:p w14:paraId="36F049A7">
            <w:pPr>
              <w:jc w:val="center"/>
              <w:rPr>
                <w:rFonts w:ascii="宋体" w:hAnsi="宋体" w:cs="宋体"/>
                <w:highlight w:val="none"/>
              </w:rPr>
            </w:pPr>
            <w:r>
              <w:rPr>
                <w:rFonts w:hint="eastAsia" w:ascii="宋体" w:hAnsi="宋体" w:cs="宋体"/>
                <w:highlight w:val="none"/>
              </w:rPr>
              <w:t>人员配置</w:t>
            </w:r>
          </w:p>
        </w:tc>
        <w:tc>
          <w:tcPr>
            <w:tcW w:w="2475" w:type="pct"/>
            <w:vAlign w:val="center"/>
          </w:tcPr>
          <w:p w14:paraId="6C5D5CB2">
            <w:pPr>
              <w:snapToGrid w:val="0"/>
              <w:rPr>
                <w:rFonts w:ascii="宋体" w:hAnsi="宋体" w:cs="宋体"/>
                <w:highlight w:val="none"/>
              </w:rPr>
            </w:pPr>
            <w:r>
              <w:rPr>
                <w:rFonts w:hint="eastAsia" w:ascii="宋体" w:hAnsi="宋体" w:cs="宋体"/>
                <w:highlight w:val="none"/>
              </w:rPr>
              <w:t>*是否根据合同约定配备项目负责人</w:t>
            </w:r>
          </w:p>
        </w:tc>
        <w:tc>
          <w:tcPr>
            <w:tcW w:w="688" w:type="pct"/>
            <w:vAlign w:val="center"/>
          </w:tcPr>
          <w:p w14:paraId="4C966D2E">
            <w:pPr>
              <w:jc w:val="center"/>
              <w:rPr>
                <w:rFonts w:ascii="宋体" w:hAnsi="宋体" w:cs="宋体"/>
                <w:highlight w:val="none"/>
              </w:rPr>
            </w:pPr>
          </w:p>
        </w:tc>
        <w:tc>
          <w:tcPr>
            <w:tcW w:w="688" w:type="pct"/>
            <w:vAlign w:val="center"/>
          </w:tcPr>
          <w:p w14:paraId="2FF7A280">
            <w:pPr>
              <w:jc w:val="center"/>
              <w:rPr>
                <w:rFonts w:ascii="宋体" w:hAnsi="宋体" w:cs="宋体"/>
                <w:highlight w:val="none"/>
              </w:rPr>
            </w:pPr>
            <w:r>
              <w:rPr>
                <w:rFonts w:hint="eastAsia" w:ascii="宋体" w:hAnsi="宋体" w:cs="宋体"/>
                <w:highlight w:val="none"/>
              </w:rPr>
              <w:t>是</w:t>
            </w:r>
          </w:p>
        </w:tc>
      </w:tr>
      <w:tr w14:paraId="6C6C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332" w:type="pct"/>
            <w:vMerge w:val="continue"/>
            <w:vAlign w:val="center"/>
          </w:tcPr>
          <w:p w14:paraId="384587EF">
            <w:pPr>
              <w:jc w:val="center"/>
              <w:rPr>
                <w:rFonts w:ascii="宋体" w:hAnsi="宋体" w:cs="宋体"/>
                <w:highlight w:val="none"/>
              </w:rPr>
            </w:pPr>
          </w:p>
        </w:tc>
        <w:tc>
          <w:tcPr>
            <w:tcW w:w="817" w:type="pct"/>
            <w:vMerge w:val="continue"/>
            <w:vAlign w:val="center"/>
          </w:tcPr>
          <w:p w14:paraId="5D496E5B">
            <w:pPr>
              <w:jc w:val="center"/>
              <w:rPr>
                <w:rFonts w:ascii="宋体" w:hAnsi="宋体" w:cs="宋体"/>
                <w:highlight w:val="none"/>
              </w:rPr>
            </w:pPr>
          </w:p>
        </w:tc>
        <w:tc>
          <w:tcPr>
            <w:tcW w:w="2475" w:type="pct"/>
          </w:tcPr>
          <w:p w14:paraId="0AFFBD7E">
            <w:pPr>
              <w:snapToGrid w:val="0"/>
              <w:rPr>
                <w:rFonts w:ascii="宋体" w:hAnsi="宋体" w:cs="宋体"/>
                <w:highlight w:val="none"/>
              </w:rPr>
            </w:pPr>
            <w:r>
              <w:rPr>
                <w:rFonts w:hint="eastAsia" w:ascii="宋体" w:hAnsi="宋体" w:cs="宋体"/>
                <w:highlight w:val="none"/>
              </w:rPr>
              <w:t>是否未经采购人同意咨询服务单位更换项目负责人</w:t>
            </w:r>
          </w:p>
        </w:tc>
        <w:tc>
          <w:tcPr>
            <w:tcW w:w="688" w:type="pct"/>
            <w:vAlign w:val="center"/>
          </w:tcPr>
          <w:p w14:paraId="6EDB0435">
            <w:pPr>
              <w:jc w:val="center"/>
              <w:rPr>
                <w:rFonts w:ascii="宋体" w:hAnsi="宋体" w:cs="宋体"/>
                <w:highlight w:val="none"/>
              </w:rPr>
            </w:pPr>
          </w:p>
        </w:tc>
        <w:tc>
          <w:tcPr>
            <w:tcW w:w="688" w:type="pct"/>
            <w:vAlign w:val="center"/>
          </w:tcPr>
          <w:p w14:paraId="71B3DD38">
            <w:pPr>
              <w:jc w:val="center"/>
              <w:rPr>
                <w:rFonts w:ascii="宋体" w:hAnsi="宋体" w:cs="宋体"/>
                <w:highlight w:val="none"/>
              </w:rPr>
            </w:pPr>
            <w:r>
              <w:rPr>
                <w:rFonts w:hint="eastAsia" w:ascii="宋体" w:hAnsi="宋体" w:cs="宋体"/>
                <w:highlight w:val="none"/>
              </w:rPr>
              <w:t>否</w:t>
            </w:r>
          </w:p>
        </w:tc>
      </w:tr>
      <w:tr w14:paraId="0629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332" w:type="pct"/>
            <w:vMerge w:val="continue"/>
            <w:vAlign w:val="center"/>
          </w:tcPr>
          <w:p w14:paraId="5E8C92C4">
            <w:pPr>
              <w:jc w:val="center"/>
              <w:rPr>
                <w:rFonts w:ascii="宋体" w:hAnsi="宋体" w:cs="宋体"/>
                <w:highlight w:val="none"/>
              </w:rPr>
            </w:pPr>
          </w:p>
        </w:tc>
        <w:tc>
          <w:tcPr>
            <w:tcW w:w="817" w:type="pct"/>
            <w:vMerge w:val="continue"/>
            <w:vAlign w:val="center"/>
          </w:tcPr>
          <w:p w14:paraId="4A715569">
            <w:pPr>
              <w:jc w:val="center"/>
              <w:rPr>
                <w:rFonts w:ascii="宋体" w:hAnsi="宋体" w:cs="宋体"/>
                <w:highlight w:val="none"/>
              </w:rPr>
            </w:pPr>
          </w:p>
        </w:tc>
        <w:tc>
          <w:tcPr>
            <w:tcW w:w="2475" w:type="pct"/>
          </w:tcPr>
          <w:p w14:paraId="57900CF8">
            <w:pPr>
              <w:snapToGrid w:val="0"/>
              <w:rPr>
                <w:rFonts w:ascii="宋体" w:hAnsi="宋体" w:cs="宋体"/>
                <w:highlight w:val="none"/>
              </w:rPr>
            </w:pPr>
            <w:r>
              <w:rPr>
                <w:rFonts w:hint="eastAsia" w:ascii="宋体" w:hAnsi="宋体" w:cs="宋体"/>
                <w:highlight w:val="none"/>
              </w:rPr>
              <w:t>是否拒不根据要求无条件撤换相关人员</w:t>
            </w:r>
          </w:p>
        </w:tc>
        <w:tc>
          <w:tcPr>
            <w:tcW w:w="688" w:type="pct"/>
            <w:vAlign w:val="center"/>
          </w:tcPr>
          <w:p w14:paraId="2FB8F5CB">
            <w:pPr>
              <w:jc w:val="center"/>
              <w:rPr>
                <w:rFonts w:ascii="宋体" w:hAnsi="宋体" w:cs="宋体"/>
                <w:highlight w:val="none"/>
              </w:rPr>
            </w:pPr>
          </w:p>
        </w:tc>
        <w:tc>
          <w:tcPr>
            <w:tcW w:w="688" w:type="pct"/>
            <w:vAlign w:val="center"/>
          </w:tcPr>
          <w:p w14:paraId="1AD53771">
            <w:pPr>
              <w:jc w:val="center"/>
              <w:rPr>
                <w:rFonts w:ascii="宋体" w:hAnsi="宋体" w:cs="宋体"/>
                <w:highlight w:val="none"/>
              </w:rPr>
            </w:pPr>
            <w:r>
              <w:rPr>
                <w:rFonts w:hint="eastAsia" w:ascii="宋体" w:hAnsi="宋体" w:cs="宋体"/>
                <w:highlight w:val="none"/>
              </w:rPr>
              <w:t>否</w:t>
            </w:r>
          </w:p>
        </w:tc>
      </w:tr>
      <w:tr w14:paraId="1918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32" w:type="pct"/>
            <w:vMerge w:val="restart"/>
            <w:vAlign w:val="center"/>
          </w:tcPr>
          <w:p w14:paraId="69B8BC4B">
            <w:pPr>
              <w:jc w:val="center"/>
              <w:rPr>
                <w:rFonts w:ascii="宋体" w:hAnsi="宋体" w:cs="宋体"/>
                <w:highlight w:val="none"/>
              </w:rPr>
            </w:pPr>
            <w:r>
              <w:rPr>
                <w:rFonts w:hint="eastAsia" w:ascii="宋体" w:hAnsi="宋体" w:cs="宋体"/>
                <w:highlight w:val="none"/>
              </w:rPr>
              <w:t>2</w:t>
            </w:r>
          </w:p>
        </w:tc>
        <w:tc>
          <w:tcPr>
            <w:tcW w:w="817" w:type="pct"/>
            <w:vMerge w:val="restart"/>
            <w:vAlign w:val="center"/>
          </w:tcPr>
          <w:p w14:paraId="08D5D99F">
            <w:pPr>
              <w:jc w:val="center"/>
              <w:rPr>
                <w:rFonts w:ascii="宋体" w:hAnsi="宋体" w:cs="宋体"/>
                <w:highlight w:val="none"/>
              </w:rPr>
            </w:pPr>
            <w:r>
              <w:rPr>
                <w:rFonts w:hint="eastAsia" w:ascii="宋体" w:hAnsi="宋体" w:cs="宋体"/>
                <w:highlight w:val="none"/>
              </w:rPr>
              <w:t>服务效率、态度及纪律</w:t>
            </w:r>
          </w:p>
        </w:tc>
        <w:tc>
          <w:tcPr>
            <w:tcW w:w="2475" w:type="pct"/>
          </w:tcPr>
          <w:p w14:paraId="38BF734F">
            <w:pPr>
              <w:snapToGrid w:val="0"/>
              <w:rPr>
                <w:rFonts w:ascii="宋体" w:hAnsi="宋体" w:cs="宋体"/>
                <w:highlight w:val="none"/>
              </w:rPr>
            </w:pPr>
            <w:r>
              <w:rPr>
                <w:rFonts w:hint="eastAsia" w:ascii="宋体" w:hAnsi="宋体" w:cs="宋体"/>
                <w:highlight w:val="none"/>
              </w:rPr>
              <w:t>是否未按要求及时到场开展</w:t>
            </w:r>
            <w:r>
              <w:rPr>
                <w:rFonts w:ascii="宋体" w:hAnsi="宋体" w:cs="宋体"/>
                <w:highlight w:val="none"/>
              </w:rPr>
              <w:t>咨询</w:t>
            </w:r>
            <w:r>
              <w:rPr>
                <w:rFonts w:hint="eastAsia" w:ascii="宋体" w:hAnsi="宋体" w:cs="宋体"/>
                <w:highlight w:val="none"/>
              </w:rPr>
              <w:t>服务事务</w:t>
            </w:r>
          </w:p>
        </w:tc>
        <w:tc>
          <w:tcPr>
            <w:tcW w:w="688" w:type="pct"/>
            <w:vAlign w:val="center"/>
          </w:tcPr>
          <w:p w14:paraId="39A30A1D">
            <w:pPr>
              <w:jc w:val="center"/>
              <w:rPr>
                <w:rFonts w:ascii="宋体" w:hAnsi="宋体" w:cs="宋体"/>
                <w:highlight w:val="none"/>
              </w:rPr>
            </w:pPr>
          </w:p>
        </w:tc>
        <w:tc>
          <w:tcPr>
            <w:tcW w:w="688" w:type="pct"/>
            <w:vAlign w:val="center"/>
          </w:tcPr>
          <w:p w14:paraId="03502CF4">
            <w:pPr>
              <w:jc w:val="center"/>
              <w:rPr>
                <w:rFonts w:ascii="宋体" w:hAnsi="宋体" w:cs="宋体"/>
                <w:highlight w:val="none"/>
              </w:rPr>
            </w:pPr>
            <w:r>
              <w:rPr>
                <w:rFonts w:hint="eastAsia" w:ascii="宋体" w:hAnsi="宋体" w:cs="宋体"/>
                <w:highlight w:val="none"/>
              </w:rPr>
              <w:t>否</w:t>
            </w:r>
          </w:p>
        </w:tc>
      </w:tr>
      <w:tr w14:paraId="526A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332" w:type="pct"/>
            <w:vMerge w:val="continue"/>
            <w:vAlign w:val="center"/>
          </w:tcPr>
          <w:p w14:paraId="55A0AD7B">
            <w:pPr>
              <w:jc w:val="center"/>
              <w:rPr>
                <w:rFonts w:ascii="宋体" w:hAnsi="宋体" w:cs="宋体"/>
                <w:highlight w:val="none"/>
              </w:rPr>
            </w:pPr>
          </w:p>
        </w:tc>
        <w:tc>
          <w:tcPr>
            <w:tcW w:w="817" w:type="pct"/>
            <w:vMerge w:val="continue"/>
            <w:vAlign w:val="center"/>
          </w:tcPr>
          <w:p w14:paraId="06E644AA">
            <w:pPr>
              <w:jc w:val="center"/>
              <w:rPr>
                <w:rFonts w:ascii="宋体" w:hAnsi="宋体" w:cs="宋体"/>
                <w:highlight w:val="none"/>
              </w:rPr>
            </w:pPr>
          </w:p>
        </w:tc>
        <w:tc>
          <w:tcPr>
            <w:tcW w:w="2475" w:type="pct"/>
          </w:tcPr>
          <w:p w14:paraId="320AFF68">
            <w:pPr>
              <w:snapToGrid w:val="0"/>
              <w:rPr>
                <w:rFonts w:ascii="宋体" w:hAnsi="宋体" w:cs="宋体"/>
                <w:highlight w:val="none"/>
              </w:rPr>
            </w:pPr>
            <w:r>
              <w:rPr>
                <w:rFonts w:hint="eastAsia" w:ascii="宋体" w:hAnsi="宋体" w:cs="宋体"/>
                <w:highlight w:val="none"/>
              </w:rPr>
              <w:t>是否因服务工作不及时影响工作开展</w:t>
            </w:r>
          </w:p>
        </w:tc>
        <w:tc>
          <w:tcPr>
            <w:tcW w:w="688" w:type="pct"/>
            <w:vAlign w:val="center"/>
          </w:tcPr>
          <w:p w14:paraId="47F7003D">
            <w:pPr>
              <w:jc w:val="center"/>
              <w:rPr>
                <w:rFonts w:ascii="宋体" w:hAnsi="宋体" w:cs="宋体"/>
                <w:highlight w:val="none"/>
              </w:rPr>
            </w:pPr>
          </w:p>
        </w:tc>
        <w:tc>
          <w:tcPr>
            <w:tcW w:w="688" w:type="pct"/>
            <w:vAlign w:val="center"/>
          </w:tcPr>
          <w:p w14:paraId="4DA1FB8B">
            <w:pPr>
              <w:jc w:val="center"/>
              <w:rPr>
                <w:rFonts w:ascii="宋体" w:hAnsi="宋体" w:cs="宋体"/>
                <w:highlight w:val="none"/>
              </w:rPr>
            </w:pPr>
            <w:r>
              <w:rPr>
                <w:rFonts w:hint="eastAsia" w:ascii="宋体" w:hAnsi="宋体" w:cs="宋体"/>
                <w:highlight w:val="none"/>
              </w:rPr>
              <w:t>否</w:t>
            </w:r>
          </w:p>
        </w:tc>
      </w:tr>
      <w:tr w14:paraId="0F8E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32" w:type="pct"/>
            <w:vMerge w:val="continue"/>
            <w:vAlign w:val="center"/>
          </w:tcPr>
          <w:p w14:paraId="6B2C336E">
            <w:pPr>
              <w:jc w:val="center"/>
              <w:rPr>
                <w:rFonts w:ascii="宋体" w:hAnsi="宋体" w:cs="宋体"/>
                <w:highlight w:val="none"/>
              </w:rPr>
            </w:pPr>
          </w:p>
        </w:tc>
        <w:tc>
          <w:tcPr>
            <w:tcW w:w="817" w:type="pct"/>
            <w:vMerge w:val="continue"/>
            <w:vAlign w:val="center"/>
          </w:tcPr>
          <w:p w14:paraId="2514D139">
            <w:pPr>
              <w:jc w:val="center"/>
              <w:rPr>
                <w:rFonts w:ascii="宋体" w:hAnsi="宋体" w:cs="宋体"/>
                <w:highlight w:val="none"/>
              </w:rPr>
            </w:pPr>
          </w:p>
        </w:tc>
        <w:tc>
          <w:tcPr>
            <w:tcW w:w="2475" w:type="pct"/>
          </w:tcPr>
          <w:p w14:paraId="25CC2F50">
            <w:pPr>
              <w:snapToGrid w:val="0"/>
              <w:rPr>
                <w:rFonts w:ascii="宋体" w:hAnsi="宋体" w:cs="宋体"/>
                <w:highlight w:val="none"/>
              </w:rPr>
            </w:pPr>
            <w:r>
              <w:rPr>
                <w:rFonts w:hint="eastAsia" w:ascii="宋体" w:hAnsi="宋体" w:cs="宋体"/>
                <w:highlight w:val="none"/>
              </w:rPr>
              <w:t>是否工作态度存在问题</w:t>
            </w:r>
          </w:p>
        </w:tc>
        <w:tc>
          <w:tcPr>
            <w:tcW w:w="688" w:type="pct"/>
            <w:vAlign w:val="center"/>
          </w:tcPr>
          <w:p w14:paraId="0A6CF5D9">
            <w:pPr>
              <w:jc w:val="center"/>
              <w:rPr>
                <w:rFonts w:ascii="宋体" w:hAnsi="宋体" w:cs="宋体"/>
                <w:highlight w:val="none"/>
              </w:rPr>
            </w:pPr>
          </w:p>
        </w:tc>
        <w:tc>
          <w:tcPr>
            <w:tcW w:w="688" w:type="pct"/>
            <w:vAlign w:val="center"/>
          </w:tcPr>
          <w:p w14:paraId="431FBACD">
            <w:pPr>
              <w:jc w:val="center"/>
              <w:rPr>
                <w:rFonts w:ascii="宋体" w:hAnsi="宋体" w:cs="宋体"/>
                <w:highlight w:val="none"/>
              </w:rPr>
            </w:pPr>
            <w:r>
              <w:rPr>
                <w:rFonts w:hint="eastAsia" w:ascii="宋体" w:hAnsi="宋体" w:cs="宋体"/>
                <w:highlight w:val="none"/>
              </w:rPr>
              <w:t>否</w:t>
            </w:r>
          </w:p>
        </w:tc>
      </w:tr>
      <w:tr w14:paraId="47517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32" w:type="pct"/>
            <w:vMerge w:val="continue"/>
            <w:vAlign w:val="center"/>
          </w:tcPr>
          <w:p w14:paraId="188EE9DC">
            <w:pPr>
              <w:jc w:val="center"/>
              <w:rPr>
                <w:rFonts w:ascii="宋体" w:hAnsi="宋体" w:cs="宋体"/>
                <w:highlight w:val="none"/>
              </w:rPr>
            </w:pPr>
          </w:p>
        </w:tc>
        <w:tc>
          <w:tcPr>
            <w:tcW w:w="817" w:type="pct"/>
            <w:vMerge w:val="continue"/>
            <w:vAlign w:val="center"/>
          </w:tcPr>
          <w:p w14:paraId="2ECFCC07">
            <w:pPr>
              <w:jc w:val="center"/>
              <w:rPr>
                <w:rFonts w:ascii="宋体" w:hAnsi="宋体" w:cs="宋体"/>
                <w:highlight w:val="none"/>
              </w:rPr>
            </w:pPr>
          </w:p>
        </w:tc>
        <w:tc>
          <w:tcPr>
            <w:tcW w:w="2475" w:type="pct"/>
          </w:tcPr>
          <w:p w14:paraId="18BD2547">
            <w:pPr>
              <w:snapToGrid w:val="0"/>
              <w:rPr>
                <w:rFonts w:ascii="宋体" w:hAnsi="宋体" w:cs="宋体"/>
                <w:highlight w:val="none"/>
              </w:rPr>
            </w:pPr>
            <w:r>
              <w:rPr>
                <w:rFonts w:hint="eastAsia" w:ascii="宋体" w:hAnsi="宋体" w:cs="宋体"/>
                <w:highlight w:val="none"/>
              </w:rPr>
              <w:t>是否违反服务纪律要求</w:t>
            </w:r>
          </w:p>
        </w:tc>
        <w:tc>
          <w:tcPr>
            <w:tcW w:w="688" w:type="pct"/>
            <w:vAlign w:val="center"/>
          </w:tcPr>
          <w:p w14:paraId="79723A79">
            <w:pPr>
              <w:jc w:val="center"/>
              <w:rPr>
                <w:rFonts w:ascii="宋体" w:hAnsi="宋体" w:cs="宋体"/>
                <w:highlight w:val="none"/>
              </w:rPr>
            </w:pPr>
          </w:p>
        </w:tc>
        <w:tc>
          <w:tcPr>
            <w:tcW w:w="688" w:type="pct"/>
            <w:vAlign w:val="center"/>
          </w:tcPr>
          <w:p w14:paraId="7351F5F6">
            <w:pPr>
              <w:jc w:val="center"/>
              <w:rPr>
                <w:rFonts w:ascii="宋体" w:hAnsi="宋体" w:cs="宋体"/>
                <w:highlight w:val="none"/>
              </w:rPr>
            </w:pPr>
            <w:r>
              <w:rPr>
                <w:rFonts w:hint="eastAsia" w:ascii="宋体" w:hAnsi="宋体" w:cs="宋体"/>
                <w:highlight w:val="none"/>
              </w:rPr>
              <w:t>否</w:t>
            </w:r>
          </w:p>
        </w:tc>
      </w:tr>
      <w:tr w14:paraId="092A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32" w:type="pct"/>
            <w:vMerge w:val="continue"/>
            <w:vAlign w:val="center"/>
          </w:tcPr>
          <w:p w14:paraId="3DC2F9E3">
            <w:pPr>
              <w:jc w:val="center"/>
              <w:rPr>
                <w:rFonts w:ascii="宋体" w:hAnsi="宋体" w:cs="宋体"/>
                <w:highlight w:val="none"/>
              </w:rPr>
            </w:pPr>
          </w:p>
        </w:tc>
        <w:tc>
          <w:tcPr>
            <w:tcW w:w="817" w:type="pct"/>
            <w:vMerge w:val="continue"/>
            <w:vAlign w:val="center"/>
          </w:tcPr>
          <w:p w14:paraId="1A68DD82">
            <w:pPr>
              <w:jc w:val="center"/>
              <w:rPr>
                <w:rFonts w:ascii="宋体" w:hAnsi="宋体" w:cs="宋体"/>
                <w:highlight w:val="none"/>
              </w:rPr>
            </w:pPr>
          </w:p>
        </w:tc>
        <w:tc>
          <w:tcPr>
            <w:tcW w:w="2475" w:type="pct"/>
          </w:tcPr>
          <w:p w14:paraId="771E0130">
            <w:pPr>
              <w:snapToGrid w:val="0"/>
              <w:rPr>
                <w:rFonts w:ascii="宋体" w:hAnsi="宋体" w:cs="宋体"/>
                <w:highlight w:val="none"/>
              </w:rPr>
            </w:pPr>
            <w:r>
              <w:rPr>
                <w:rFonts w:hint="eastAsia" w:ascii="宋体" w:hAnsi="宋体" w:cs="宋体"/>
                <w:highlight w:val="none"/>
              </w:rPr>
              <w:t>是否存在日常工作中因能力不足造成</w:t>
            </w:r>
            <w:r>
              <w:rPr>
                <w:rFonts w:ascii="宋体" w:hAnsi="宋体" w:cs="宋体"/>
                <w:highlight w:val="none"/>
              </w:rPr>
              <w:t>咨询</w:t>
            </w:r>
            <w:r>
              <w:rPr>
                <w:rFonts w:hint="eastAsia" w:ascii="宋体" w:hAnsi="宋体" w:cs="宋体"/>
                <w:highlight w:val="none"/>
              </w:rPr>
              <w:t>成果不达标</w:t>
            </w:r>
          </w:p>
        </w:tc>
        <w:tc>
          <w:tcPr>
            <w:tcW w:w="688" w:type="pct"/>
            <w:vAlign w:val="center"/>
          </w:tcPr>
          <w:p w14:paraId="11400323">
            <w:pPr>
              <w:jc w:val="center"/>
              <w:rPr>
                <w:rFonts w:ascii="宋体" w:hAnsi="宋体" w:cs="宋体"/>
                <w:highlight w:val="none"/>
              </w:rPr>
            </w:pPr>
          </w:p>
        </w:tc>
        <w:tc>
          <w:tcPr>
            <w:tcW w:w="688" w:type="pct"/>
            <w:vAlign w:val="center"/>
          </w:tcPr>
          <w:p w14:paraId="2FD0BBC5">
            <w:pPr>
              <w:jc w:val="center"/>
              <w:rPr>
                <w:rFonts w:ascii="宋体" w:hAnsi="宋体" w:cs="宋体"/>
                <w:highlight w:val="none"/>
              </w:rPr>
            </w:pPr>
            <w:r>
              <w:rPr>
                <w:rFonts w:hint="eastAsia" w:ascii="宋体" w:hAnsi="宋体" w:cs="宋体"/>
                <w:highlight w:val="none"/>
              </w:rPr>
              <w:t>否</w:t>
            </w:r>
          </w:p>
        </w:tc>
      </w:tr>
      <w:tr w14:paraId="5FF8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32" w:type="pct"/>
            <w:vMerge w:val="continue"/>
            <w:vAlign w:val="center"/>
          </w:tcPr>
          <w:p w14:paraId="6945EBF9">
            <w:pPr>
              <w:jc w:val="center"/>
              <w:rPr>
                <w:rFonts w:ascii="宋体" w:hAnsi="宋体" w:cs="宋体"/>
                <w:highlight w:val="none"/>
              </w:rPr>
            </w:pPr>
          </w:p>
        </w:tc>
        <w:tc>
          <w:tcPr>
            <w:tcW w:w="817" w:type="pct"/>
            <w:vMerge w:val="continue"/>
            <w:vAlign w:val="center"/>
          </w:tcPr>
          <w:p w14:paraId="68014FA7">
            <w:pPr>
              <w:jc w:val="center"/>
              <w:rPr>
                <w:rFonts w:ascii="宋体" w:hAnsi="宋体" w:cs="宋体"/>
                <w:highlight w:val="none"/>
              </w:rPr>
            </w:pPr>
          </w:p>
        </w:tc>
        <w:tc>
          <w:tcPr>
            <w:tcW w:w="2475" w:type="pct"/>
          </w:tcPr>
          <w:p w14:paraId="7C2276DC">
            <w:pPr>
              <w:snapToGrid w:val="0"/>
              <w:rPr>
                <w:rFonts w:ascii="宋体" w:hAnsi="宋体" w:cs="宋体"/>
                <w:highlight w:val="none"/>
              </w:rPr>
            </w:pPr>
            <w:r>
              <w:rPr>
                <w:rFonts w:hint="eastAsia" w:ascii="宋体" w:hAnsi="宋体" w:cs="宋体"/>
                <w:highlight w:val="none"/>
              </w:rPr>
              <w:t>是否存在缺失等原因影响工作，造成不良后果</w:t>
            </w:r>
          </w:p>
        </w:tc>
        <w:tc>
          <w:tcPr>
            <w:tcW w:w="688" w:type="pct"/>
            <w:vAlign w:val="center"/>
          </w:tcPr>
          <w:p w14:paraId="0088132D">
            <w:pPr>
              <w:jc w:val="center"/>
              <w:rPr>
                <w:rFonts w:ascii="宋体" w:hAnsi="宋体" w:cs="宋体"/>
                <w:highlight w:val="none"/>
              </w:rPr>
            </w:pPr>
          </w:p>
        </w:tc>
        <w:tc>
          <w:tcPr>
            <w:tcW w:w="688" w:type="pct"/>
            <w:vAlign w:val="center"/>
          </w:tcPr>
          <w:p w14:paraId="7B7A1C32">
            <w:pPr>
              <w:jc w:val="center"/>
              <w:rPr>
                <w:rFonts w:ascii="宋体" w:hAnsi="宋体" w:cs="宋体"/>
                <w:highlight w:val="none"/>
              </w:rPr>
            </w:pPr>
            <w:r>
              <w:rPr>
                <w:rFonts w:hint="eastAsia" w:ascii="宋体" w:hAnsi="宋体" w:cs="宋体"/>
                <w:highlight w:val="none"/>
              </w:rPr>
              <w:t>否</w:t>
            </w:r>
          </w:p>
        </w:tc>
      </w:tr>
      <w:tr w14:paraId="2BEF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32" w:type="pct"/>
            <w:vMerge w:val="restart"/>
            <w:vAlign w:val="center"/>
          </w:tcPr>
          <w:p w14:paraId="483C53E7">
            <w:pPr>
              <w:jc w:val="center"/>
              <w:rPr>
                <w:rFonts w:ascii="宋体" w:hAnsi="宋体" w:cs="宋体"/>
                <w:highlight w:val="none"/>
              </w:rPr>
            </w:pPr>
            <w:r>
              <w:rPr>
                <w:rFonts w:hint="eastAsia" w:ascii="宋体" w:hAnsi="宋体" w:cs="宋体"/>
                <w:highlight w:val="none"/>
              </w:rPr>
              <w:t>3</w:t>
            </w:r>
          </w:p>
        </w:tc>
        <w:tc>
          <w:tcPr>
            <w:tcW w:w="817" w:type="pct"/>
            <w:vMerge w:val="restart"/>
            <w:vAlign w:val="center"/>
          </w:tcPr>
          <w:p w14:paraId="486C6C7D">
            <w:pPr>
              <w:jc w:val="center"/>
              <w:rPr>
                <w:rFonts w:ascii="宋体" w:hAnsi="宋体" w:cs="宋体"/>
                <w:highlight w:val="none"/>
              </w:rPr>
            </w:pPr>
            <w:r>
              <w:rPr>
                <w:rFonts w:hint="eastAsia" w:ascii="宋体" w:hAnsi="宋体" w:cs="宋体"/>
                <w:highlight w:val="none"/>
              </w:rPr>
              <w:t>服务质量</w:t>
            </w:r>
          </w:p>
        </w:tc>
        <w:tc>
          <w:tcPr>
            <w:tcW w:w="2475" w:type="pct"/>
          </w:tcPr>
          <w:p w14:paraId="34E11F48">
            <w:pPr>
              <w:snapToGrid w:val="0"/>
              <w:rPr>
                <w:rFonts w:ascii="宋体" w:hAnsi="宋体" w:cs="宋体"/>
                <w:highlight w:val="none"/>
              </w:rPr>
            </w:pPr>
            <w:r>
              <w:rPr>
                <w:rFonts w:hint="eastAsia" w:ascii="宋体" w:hAnsi="宋体" w:cs="宋体"/>
                <w:highlight w:val="none"/>
              </w:rPr>
              <w:t>*咨询服务意见、咨询服务成果中作出的评价、结论是否能保证公正性、客观性、合理性</w:t>
            </w:r>
          </w:p>
        </w:tc>
        <w:tc>
          <w:tcPr>
            <w:tcW w:w="688" w:type="pct"/>
            <w:vAlign w:val="center"/>
          </w:tcPr>
          <w:p w14:paraId="64D38871">
            <w:pPr>
              <w:jc w:val="center"/>
              <w:rPr>
                <w:rFonts w:ascii="宋体" w:hAnsi="宋体" w:cs="宋体"/>
                <w:highlight w:val="none"/>
              </w:rPr>
            </w:pPr>
          </w:p>
        </w:tc>
        <w:tc>
          <w:tcPr>
            <w:tcW w:w="688" w:type="pct"/>
            <w:vAlign w:val="center"/>
          </w:tcPr>
          <w:p w14:paraId="481BA0D4">
            <w:pPr>
              <w:jc w:val="center"/>
              <w:rPr>
                <w:rFonts w:ascii="宋体" w:hAnsi="宋体" w:cs="宋体"/>
                <w:highlight w:val="none"/>
              </w:rPr>
            </w:pPr>
            <w:r>
              <w:rPr>
                <w:rFonts w:hint="eastAsia" w:ascii="宋体" w:hAnsi="宋体" w:cs="宋体"/>
                <w:highlight w:val="none"/>
              </w:rPr>
              <w:t>是</w:t>
            </w:r>
          </w:p>
        </w:tc>
      </w:tr>
      <w:tr w14:paraId="58D9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32" w:type="pct"/>
            <w:vMerge w:val="continue"/>
            <w:vAlign w:val="center"/>
          </w:tcPr>
          <w:p w14:paraId="06D3EE5B">
            <w:pPr>
              <w:jc w:val="center"/>
              <w:rPr>
                <w:rFonts w:ascii="宋体" w:hAnsi="宋体" w:cs="宋体"/>
                <w:highlight w:val="none"/>
              </w:rPr>
            </w:pPr>
          </w:p>
        </w:tc>
        <w:tc>
          <w:tcPr>
            <w:tcW w:w="817" w:type="pct"/>
            <w:vMerge w:val="continue"/>
            <w:vAlign w:val="center"/>
          </w:tcPr>
          <w:p w14:paraId="61EEAD35">
            <w:pPr>
              <w:jc w:val="center"/>
              <w:rPr>
                <w:rFonts w:ascii="宋体" w:hAnsi="宋体" w:cs="宋体"/>
                <w:highlight w:val="none"/>
              </w:rPr>
            </w:pPr>
          </w:p>
        </w:tc>
        <w:tc>
          <w:tcPr>
            <w:tcW w:w="2475" w:type="pct"/>
          </w:tcPr>
          <w:p w14:paraId="5C596950">
            <w:pPr>
              <w:snapToGrid w:val="0"/>
              <w:rPr>
                <w:rFonts w:ascii="宋体" w:hAnsi="宋体" w:cs="宋体"/>
                <w:highlight w:val="none"/>
              </w:rPr>
            </w:pPr>
            <w:r>
              <w:rPr>
                <w:rFonts w:hint="eastAsia" w:ascii="宋体" w:hAnsi="宋体" w:cs="宋体"/>
                <w:highlight w:val="none"/>
              </w:rPr>
              <w:t>咨询服务成果是否按照合同与招标文件的要求能达到合同约定要求</w:t>
            </w:r>
          </w:p>
        </w:tc>
        <w:tc>
          <w:tcPr>
            <w:tcW w:w="688" w:type="pct"/>
            <w:vAlign w:val="center"/>
          </w:tcPr>
          <w:p w14:paraId="432F5E0F">
            <w:pPr>
              <w:jc w:val="center"/>
              <w:rPr>
                <w:rFonts w:ascii="宋体" w:hAnsi="宋体" w:cs="宋体"/>
                <w:highlight w:val="none"/>
              </w:rPr>
            </w:pPr>
          </w:p>
        </w:tc>
        <w:tc>
          <w:tcPr>
            <w:tcW w:w="688" w:type="pct"/>
            <w:vAlign w:val="center"/>
          </w:tcPr>
          <w:p w14:paraId="263BB222">
            <w:pPr>
              <w:jc w:val="center"/>
              <w:rPr>
                <w:rFonts w:ascii="宋体" w:hAnsi="宋体" w:cs="宋体"/>
                <w:highlight w:val="none"/>
              </w:rPr>
            </w:pPr>
            <w:r>
              <w:rPr>
                <w:rFonts w:hint="eastAsia" w:ascii="宋体" w:hAnsi="宋体" w:cs="宋体"/>
                <w:highlight w:val="none"/>
              </w:rPr>
              <w:t>是</w:t>
            </w:r>
          </w:p>
        </w:tc>
      </w:tr>
      <w:tr w14:paraId="4E86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32" w:type="pct"/>
            <w:vMerge w:val="continue"/>
            <w:vAlign w:val="center"/>
          </w:tcPr>
          <w:p w14:paraId="2700BEC5">
            <w:pPr>
              <w:jc w:val="center"/>
              <w:rPr>
                <w:rFonts w:ascii="宋体" w:hAnsi="宋体" w:cs="宋体"/>
                <w:highlight w:val="none"/>
              </w:rPr>
            </w:pPr>
          </w:p>
        </w:tc>
        <w:tc>
          <w:tcPr>
            <w:tcW w:w="817" w:type="pct"/>
            <w:vMerge w:val="continue"/>
            <w:vAlign w:val="center"/>
          </w:tcPr>
          <w:p w14:paraId="5914AB07">
            <w:pPr>
              <w:jc w:val="center"/>
              <w:rPr>
                <w:rFonts w:ascii="宋体" w:hAnsi="宋体" w:cs="宋体"/>
                <w:highlight w:val="none"/>
              </w:rPr>
            </w:pPr>
          </w:p>
        </w:tc>
        <w:tc>
          <w:tcPr>
            <w:tcW w:w="2475" w:type="pct"/>
          </w:tcPr>
          <w:p w14:paraId="062ED733">
            <w:pPr>
              <w:snapToGrid w:val="0"/>
              <w:rPr>
                <w:rFonts w:ascii="宋体" w:hAnsi="宋体" w:cs="宋体"/>
                <w:highlight w:val="none"/>
              </w:rPr>
            </w:pPr>
            <w:r>
              <w:rPr>
                <w:rFonts w:hint="eastAsia" w:ascii="宋体" w:hAnsi="宋体" w:cs="宋体"/>
                <w:highlight w:val="none"/>
              </w:rPr>
              <w:t>是否按照合同约定的时间和进度完成相应咨询服务工作</w:t>
            </w:r>
          </w:p>
        </w:tc>
        <w:tc>
          <w:tcPr>
            <w:tcW w:w="688" w:type="pct"/>
            <w:vAlign w:val="center"/>
          </w:tcPr>
          <w:p w14:paraId="08AE5D80">
            <w:pPr>
              <w:jc w:val="center"/>
              <w:rPr>
                <w:rFonts w:ascii="宋体" w:hAnsi="宋体" w:cs="宋体"/>
                <w:highlight w:val="none"/>
              </w:rPr>
            </w:pPr>
          </w:p>
        </w:tc>
        <w:tc>
          <w:tcPr>
            <w:tcW w:w="688" w:type="pct"/>
            <w:vAlign w:val="center"/>
          </w:tcPr>
          <w:p w14:paraId="232E95C3">
            <w:pPr>
              <w:jc w:val="center"/>
              <w:rPr>
                <w:rFonts w:ascii="宋体" w:hAnsi="宋体" w:cs="宋体"/>
                <w:highlight w:val="none"/>
              </w:rPr>
            </w:pPr>
            <w:r>
              <w:rPr>
                <w:rFonts w:hint="eastAsia" w:ascii="宋体" w:hAnsi="宋体" w:cs="宋体"/>
                <w:highlight w:val="none"/>
              </w:rPr>
              <w:t>是</w:t>
            </w:r>
          </w:p>
        </w:tc>
      </w:tr>
      <w:tr w14:paraId="0A58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32" w:type="pct"/>
            <w:vMerge w:val="continue"/>
            <w:vAlign w:val="center"/>
          </w:tcPr>
          <w:p w14:paraId="72FC588A">
            <w:pPr>
              <w:jc w:val="center"/>
              <w:rPr>
                <w:rFonts w:ascii="宋体" w:hAnsi="宋体" w:cs="宋体"/>
                <w:highlight w:val="none"/>
              </w:rPr>
            </w:pPr>
          </w:p>
        </w:tc>
        <w:tc>
          <w:tcPr>
            <w:tcW w:w="817" w:type="pct"/>
            <w:vMerge w:val="continue"/>
            <w:vAlign w:val="center"/>
          </w:tcPr>
          <w:p w14:paraId="0C91EC2A">
            <w:pPr>
              <w:jc w:val="center"/>
              <w:rPr>
                <w:rFonts w:ascii="宋体" w:hAnsi="宋体" w:cs="宋体"/>
                <w:highlight w:val="none"/>
              </w:rPr>
            </w:pPr>
          </w:p>
        </w:tc>
        <w:tc>
          <w:tcPr>
            <w:tcW w:w="2475" w:type="pct"/>
          </w:tcPr>
          <w:p w14:paraId="31FED90B">
            <w:pPr>
              <w:snapToGrid w:val="0"/>
              <w:rPr>
                <w:rFonts w:ascii="宋体" w:hAnsi="宋体" w:cs="宋体"/>
                <w:highlight w:val="none"/>
              </w:rPr>
            </w:pPr>
            <w:r>
              <w:rPr>
                <w:rFonts w:hint="eastAsia" w:ascii="宋体" w:hAnsi="宋体" w:cs="宋体"/>
                <w:highlight w:val="none"/>
              </w:rPr>
              <w:t>咨询服务意见、咨询服务合同成果正式提交前是否履行其内部严格的审控程序和签发流程</w:t>
            </w:r>
          </w:p>
        </w:tc>
        <w:tc>
          <w:tcPr>
            <w:tcW w:w="688" w:type="pct"/>
            <w:vAlign w:val="center"/>
          </w:tcPr>
          <w:p w14:paraId="7B01C700">
            <w:pPr>
              <w:jc w:val="center"/>
              <w:rPr>
                <w:rFonts w:ascii="宋体" w:hAnsi="宋体" w:cs="宋体"/>
                <w:highlight w:val="none"/>
              </w:rPr>
            </w:pPr>
          </w:p>
        </w:tc>
        <w:tc>
          <w:tcPr>
            <w:tcW w:w="688" w:type="pct"/>
            <w:vAlign w:val="center"/>
          </w:tcPr>
          <w:p w14:paraId="0C2EDD32">
            <w:pPr>
              <w:jc w:val="center"/>
              <w:rPr>
                <w:rFonts w:ascii="宋体" w:hAnsi="宋体" w:cs="宋体"/>
                <w:highlight w:val="none"/>
              </w:rPr>
            </w:pPr>
            <w:r>
              <w:rPr>
                <w:rFonts w:hint="eastAsia" w:ascii="宋体" w:hAnsi="宋体" w:cs="宋体"/>
                <w:highlight w:val="none"/>
              </w:rPr>
              <w:t>是</w:t>
            </w:r>
          </w:p>
        </w:tc>
      </w:tr>
      <w:tr w14:paraId="54C4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32" w:type="pct"/>
            <w:vMerge w:val="continue"/>
            <w:vAlign w:val="center"/>
          </w:tcPr>
          <w:p w14:paraId="74B3BF3F">
            <w:pPr>
              <w:jc w:val="center"/>
              <w:rPr>
                <w:rFonts w:ascii="宋体" w:hAnsi="宋体" w:cs="宋体"/>
                <w:highlight w:val="none"/>
              </w:rPr>
            </w:pPr>
          </w:p>
        </w:tc>
        <w:tc>
          <w:tcPr>
            <w:tcW w:w="817" w:type="pct"/>
            <w:vMerge w:val="continue"/>
            <w:vAlign w:val="center"/>
          </w:tcPr>
          <w:p w14:paraId="39F0D53D">
            <w:pPr>
              <w:jc w:val="center"/>
              <w:rPr>
                <w:rFonts w:ascii="宋体" w:hAnsi="宋体" w:cs="宋体"/>
                <w:highlight w:val="none"/>
              </w:rPr>
            </w:pPr>
          </w:p>
        </w:tc>
        <w:tc>
          <w:tcPr>
            <w:tcW w:w="2475" w:type="pct"/>
          </w:tcPr>
          <w:p w14:paraId="03598ACC">
            <w:pPr>
              <w:snapToGrid w:val="0"/>
              <w:rPr>
                <w:rFonts w:ascii="宋体" w:hAnsi="宋体" w:cs="宋体"/>
                <w:highlight w:val="none"/>
              </w:rPr>
            </w:pPr>
            <w:r>
              <w:rPr>
                <w:rFonts w:hint="eastAsia" w:ascii="宋体" w:hAnsi="宋体" w:cs="宋体"/>
                <w:highlight w:val="none"/>
              </w:rPr>
              <w:t>咨询服务工作涉及对外协调的，是否积极配合买方单位或自行开展相关对外协调工作，保证合同顺利实施</w:t>
            </w:r>
          </w:p>
        </w:tc>
        <w:tc>
          <w:tcPr>
            <w:tcW w:w="688" w:type="pct"/>
            <w:vAlign w:val="center"/>
          </w:tcPr>
          <w:p w14:paraId="561870A3">
            <w:pPr>
              <w:jc w:val="center"/>
              <w:rPr>
                <w:rFonts w:ascii="宋体" w:hAnsi="宋体" w:cs="宋体"/>
                <w:highlight w:val="none"/>
              </w:rPr>
            </w:pPr>
          </w:p>
        </w:tc>
        <w:tc>
          <w:tcPr>
            <w:tcW w:w="688" w:type="pct"/>
            <w:vAlign w:val="center"/>
          </w:tcPr>
          <w:p w14:paraId="62F0FF9D">
            <w:pPr>
              <w:jc w:val="center"/>
              <w:rPr>
                <w:rFonts w:ascii="宋体" w:hAnsi="宋体" w:cs="宋体"/>
                <w:highlight w:val="none"/>
              </w:rPr>
            </w:pPr>
            <w:r>
              <w:rPr>
                <w:rFonts w:hint="eastAsia" w:ascii="宋体" w:hAnsi="宋体" w:cs="宋体"/>
                <w:highlight w:val="none"/>
              </w:rPr>
              <w:t>是</w:t>
            </w:r>
          </w:p>
        </w:tc>
      </w:tr>
      <w:tr w14:paraId="10647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149" w:type="pct"/>
            <w:gridSpan w:val="2"/>
            <w:vAlign w:val="center"/>
          </w:tcPr>
          <w:p w14:paraId="27D0D3F7">
            <w:pPr>
              <w:jc w:val="center"/>
              <w:rPr>
                <w:rFonts w:ascii="宋体" w:hAnsi="宋体" w:cs="宋体"/>
                <w:highlight w:val="none"/>
              </w:rPr>
            </w:pPr>
            <w:r>
              <w:rPr>
                <w:rFonts w:hint="eastAsia" w:ascii="宋体" w:hAnsi="宋体" w:cs="宋体"/>
                <w:highlight w:val="none"/>
              </w:rPr>
              <w:t>评估方法</w:t>
            </w:r>
          </w:p>
        </w:tc>
        <w:tc>
          <w:tcPr>
            <w:tcW w:w="3851" w:type="pct"/>
            <w:gridSpan w:val="3"/>
            <w:vAlign w:val="center"/>
          </w:tcPr>
          <w:p w14:paraId="1C70DC32">
            <w:pPr>
              <w:rPr>
                <w:rFonts w:ascii="宋体" w:hAnsi="宋体" w:cs="宋体"/>
                <w:highlight w:val="none"/>
              </w:rPr>
            </w:pPr>
            <w:r>
              <w:rPr>
                <w:rFonts w:hint="eastAsia" w:ascii="宋体" w:hAnsi="宋体" w:cs="宋体"/>
                <w:highlight w:val="none"/>
              </w:rPr>
              <w:t>评估等级共分级：优秀、良好、合格、不合格。</w:t>
            </w:r>
          </w:p>
          <w:p w14:paraId="686B2680">
            <w:pPr>
              <w:ind w:firstLine="210" w:firstLineChars="100"/>
              <w:rPr>
                <w:rFonts w:ascii="宋体" w:hAnsi="宋体" w:cs="宋体"/>
                <w:highlight w:val="none"/>
              </w:rPr>
            </w:pPr>
            <w:r>
              <w:rPr>
                <w:rFonts w:hint="eastAsia" w:ascii="宋体" w:hAnsi="宋体" w:cs="宋体"/>
                <w:highlight w:val="none"/>
              </w:rPr>
              <w:t>①打*号的评价要点的考核情况与非打*号的评价要点的考核情况均与合格标准一致，评估结果为优秀；</w:t>
            </w:r>
          </w:p>
          <w:p w14:paraId="03D78325">
            <w:pPr>
              <w:ind w:firstLine="210" w:firstLineChars="100"/>
              <w:rPr>
                <w:rFonts w:ascii="宋体" w:hAnsi="宋体" w:cs="宋体"/>
                <w:highlight w:val="none"/>
              </w:rPr>
            </w:pPr>
            <w:r>
              <w:rPr>
                <w:rFonts w:hint="eastAsia" w:ascii="宋体" w:hAnsi="宋体" w:cs="宋体"/>
                <w:highlight w:val="none"/>
              </w:rPr>
              <w:t>②打*号的评价要点的考核情况与合格标准一致，但非打*号的评价要点的考核情况有一项或两项与合格标准不一致，评估结果为良好；</w:t>
            </w:r>
          </w:p>
          <w:p w14:paraId="048D4DD3">
            <w:pPr>
              <w:ind w:firstLine="210" w:firstLineChars="100"/>
              <w:rPr>
                <w:rFonts w:ascii="宋体" w:hAnsi="宋体" w:cs="宋体"/>
                <w:highlight w:val="none"/>
              </w:rPr>
            </w:pPr>
            <w:r>
              <w:rPr>
                <w:rFonts w:hint="eastAsia" w:ascii="宋体" w:hAnsi="宋体" w:cs="宋体"/>
                <w:highlight w:val="none"/>
              </w:rPr>
              <w:t>③打*号的评价要点的考核情况有一项与合格标准不一致，或者非打*号的评价要点的考核情况有三项合格标准不一致，评估结果为合格；</w:t>
            </w:r>
          </w:p>
          <w:p w14:paraId="055FC2B1">
            <w:pPr>
              <w:ind w:firstLine="210" w:firstLineChars="100"/>
              <w:rPr>
                <w:rFonts w:ascii="宋体" w:hAnsi="宋体" w:cs="宋体"/>
                <w:highlight w:val="none"/>
              </w:rPr>
            </w:pPr>
            <w:r>
              <w:rPr>
                <w:rFonts w:hint="eastAsia" w:ascii="宋体" w:hAnsi="宋体" w:cs="宋体"/>
                <w:highlight w:val="none"/>
              </w:rPr>
              <w:t>④除优秀、良好、合格以外的其它情况，评估结果为不合格</w:t>
            </w:r>
          </w:p>
        </w:tc>
      </w:tr>
      <w:tr w14:paraId="7E10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149" w:type="pct"/>
            <w:gridSpan w:val="2"/>
            <w:vAlign w:val="center"/>
          </w:tcPr>
          <w:p w14:paraId="153F883A">
            <w:pPr>
              <w:jc w:val="center"/>
              <w:rPr>
                <w:rFonts w:ascii="宋体" w:hAnsi="宋体" w:cs="宋体"/>
                <w:highlight w:val="none"/>
              </w:rPr>
            </w:pPr>
            <w:r>
              <w:rPr>
                <w:rFonts w:hint="eastAsia" w:ascii="宋体" w:hAnsi="宋体" w:cs="宋体"/>
                <w:highlight w:val="none"/>
              </w:rPr>
              <w:t>评估结果</w:t>
            </w:r>
          </w:p>
        </w:tc>
        <w:tc>
          <w:tcPr>
            <w:tcW w:w="3851" w:type="pct"/>
            <w:gridSpan w:val="3"/>
            <w:vAlign w:val="center"/>
          </w:tcPr>
          <w:p w14:paraId="4DDBB6E5">
            <w:pPr>
              <w:rPr>
                <w:rFonts w:ascii="宋体" w:hAnsi="宋体" w:cs="宋体"/>
                <w:highlight w:val="none"/>
              </w:rPr>
            </w:pPr>
            <w:r>
              <w:rPr>
                <w:rFonts w:hint="eastAsia" w:ascii="宋体" w:hAnsi="宋体" w:cs="宋体"/>
                <w:highlight w:val="none"/>
              </w:rPr>
              <w:t>□优秀        □良好        □合格        □不合格</w:t>
            </w:r>
          </w:p>
        </w:tc>
      </w:tr>
    </w:tbl>
    <w:p w14:paraId="132540A5">
      <w:pPr>
        <w:rPr>
          <w:rFonts w:ascii="宋体" w:hAnsi="宋体" w:cs="宋体"/>
          <w:b/>
          <w:sz w:val="36"/>
          <w:szCs w:val="36"/>
          <w:highlight w:val="none"/>
        </w:rPr>
      </w:pPr>
      <w:r>
        <w:rPr>
          <w:rFonts w:hint="eastAsia" w:ascii="宋体" w:hAnsi="宋体" w:cs="宋体"/>
          <w:b/>
          <w:sz w:val="36"/>
          <w:szCs w:val="36"/>
          <w:highlight w:val="none"/>
        </w:rPr>
        <w:br w:type="page"/>
      </w:r>
    </w:p>
    <w:p w14:paraId="1D38F33B">
      <w:pPr>
        <w:spacing w:line="500" w:lineRule="exact"/>
        <w:jc w:val="center"/>
        <w:outlineLvl w:val="0"/>
        <w:rPr>
          <w:rFonts w:ascii="宋体" w:hAnsi="宋体" w:cs="宋体"/>
          <w:b/>
          <w:sz w:val="36"/>
          <w:szCs w:val="36"/>
          <w:highlight w:val="none"/>
        </w:rPr>
      </w:pPr>
      <w:r>
        <w:rPr>
          <w:rFonts w:hint="eastAsia" w:ascii="宋体" w:hAnsi="宋体" w:cs="宋体"/>
          <w:b/>
          <w:sz w:val="36"/>
          <w:szCs w:val="36"/>
          <w:highlight w:val="none"/>
        </w:rPr>
        <w:t>第四部分  评标方法与评标标准</w:t>
      </w:r>
    </w:p>
    <w:p w14:paraId="51328847">
      <w:pPr>
        <w:adjustRightInd w:val="0"/>
        <w:snapToGrid w:val="0"/>
        <w:spacing w:line="360" w:lineRule="auto"/>
        <w:ind w:firstLine="555"/>
        <w:rPr>
          <w:rFonts w:ascii="宋体" w:hAnsi="宋体" w:cs="宋体"/>
          <w:sz w:val="24"/>
          <w:highlight w:val="none"/>
        </w:rPr>
      </w:pPr>
      <w:r>
        <w:rPr>
          <w:rFonts w:hint="eastAsia" w:ascii="宋体" w:hAnsi="宋体" w:cs="宋体"/>
          <w:sz w:val="24"/>
          <w:highlight w:val="none"/>
        </w:rPr>
        <w:t>本项目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中标候选人。本项目选取1名中标人。</w:t>
      </w:r>
    </w:p>
    <w:tbl>
      <w:tblPr>
        <w:tblStyle w:val="47"/>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65"/>
        <w:gridCol w:w="5649"/>
      </w:tblGrid>
      <w:tr w14:paraId="7A90C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88" w:type="dxa"/>
            <w:vAlign w:val="center"/>
          </w:tcPr>
          <w:p w14:paraId="0A032F5A">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选取中标人数量</w:t>
            </w:r>
          </w:p>
        </w:tc>
        <w:tc>
          <w:tcPr>
            <w:tcW w:w="5912" w:type="dxa"/>
            <w:vAlign w:val="center"/>
          </w:tcPr>
          <w:p w14:paraId="23360196">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选取中标人的原则</w:t>
            </w:r>
          </w:p>
        </w:tc>
      </w:tr>
      <w:tr w14:paraId="6DCC5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88" w:type="dxa"/>
            <w:vAlign w:val="center"/>
          </w:tcPr>
          <w:p w14:paraId="04C28254">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1</w:t>
            </w:r>
          </w:p>
        </w:tc>
        <w:tc>
          <w:tcPr>
            <w:tcW w:w="5912" w:type="dxa"/>
            <w:vAlign w:val="center"/>
          </w:tcPr>
          <w:p w14:paraId="38C487DB">
            <w:pPr>
              <w:adjustRightInd w:val="0"/>
              <w:snapToGrid w:val="0"/>
              <w:spacing w:line="360" w:lineRule="auto"/>
              <w:jc w:val="left"/>
              <w:rPr>
                <w:rFonts w:ascii="宋体" w:hAnsi="宋体" w:cs="宋体"/>
                <w:sz w:val="24"/>
                <w:highlight w:val="none"/>
              </w:rPr>
            </w:pPr>
            <w:r>
              <w:rPr>
                <w:rFonts w:hint="eastAsia" w:ascii="宋体" w:hAnsi="宋体" w:cs="宋体"/>
                <w:sz w:val="24"/>
                <w:highlight w:val="none"/>
              </w:rPr>
              <w:t>满足招标文件全部实质性要求，且按照评审因素的量化指标评审得分最高的投标人为中标人。</w:t>
            </w:r>
          </w:p>
        </w:tc>
      </w:tr>
    </w:tbl>
    <w:p w14:paraId="7AE384A2">
      <w:pPr>
        <w:adjustRightInd w:val="0"/>
        <w:snapToGrid w:val="0"/>
        <w:spacing w:line="360" w:lineRule="auto"/>
        <w:ind w:firstLine="555"/>
        <w:rPr>
          <w:rFonts w:ascii="宋体" w:hAnsi="宋体" w:cs="宋体"/>
          <w:b/>
          <w:bCs/>
          <w:sz w:val="24"/>
          <w:highlight w:val="none"/>
        </w:rPr>
      </w:pPr>
      <w:r>
        <w:rPr>
          <w:rFonts w:hint="eastAsia" w:ascii="宋体" w:hAnsi="宋体" w:cs="宋体"/>
          <w:b/>
          <w:bCs/>
          <w:sz w:val="24"/>
          <w:highlight w:val="none"/>
        </w:rPr>
        <w:t>一、政府采购政策功能落实</w:t>
      </w:r>
    </w:p>
    <w:p w14:paraId="1832F013">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1、小微型企业价格扣除</w:t>
      </w:r>
    </w:p>
    <w:p w14:paraId="4ADBFADA">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（1）本项目对小型和微型企业给予</w:t>
      </w:r>
      <w:r>
        <w:rPr>
          <w:rFonts w:hint="eastAsia" w:ascii="宋体" w:hAnsi="宋体" w:cs="宋体"/>
          <w:sz w:val="24"/>
          <w:highlight w:val="none"/>
          <w:u w:val="single"/>
        </w:rPr>
        <w:t>10%</w:t>
      </w:r>
      <w:r>
        <w:rPr>
          <w:rFonts w:hint="eastAsia" w:ascii="宋体" w:hAnsi="宋体" w:cs="宋体"/>
          <w:sz w:val="24"/>
          <w:highlight w:val="none"/>
        </w:rPr>
        <w:t>的扣除价格，用扣除后的价格参与评审。</w:t>
      </w:r>
    </w:p>
    <w:p w14:paraId="25FBCEB4">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（2）投标人需按照招标文件的要求提供相应的《小微企业声明函》。</w:t>
      </w:r>
    </w:p>
    <w:p w14:paraId="7E2E3583">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（3）企业标准请参照《关于印发中小企业划型标准规定的通知》（工信部联企业[2011]300号）文件规定自行填写。</w:t>
      </w:r>
    </w:p>
    <w:p w14:paraId="0D023403">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2、残疾人福利单位价格扣除</w:t>
      </w:r>
    </w:p>
    <w:p w14:paraId="4107EC9E">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（1）本项目对残疾人福利性单位视同小型、微型企业，给予</w:t>
      </w:r>
      <w:r>
        <w:rPr>
          <w:rFonts w:hint="eastAsia" w:ascii="宋体" w:hAnsi="宋体" w:cs="宋体"/>
          <w:sz w:val="24"/>
          <w:highlight w:val="none"/>
          <w:u w:val="single"/>
        </w:rPr>
        <w:t>10%</w:t>
      </w:r>
      <w:r>
        <w:rPr>
          <w:rFonts w:hint="eastAsia" w:ascii="宋体" w:hAnsi="宋体" w:cs="宋体"/>
          <w:sz w:val="24"/>
          <w:highlight w:val="none"/>
        </w:rPr>
        <w:t>的价格扣除，用扣除后的价格参与评审。</w:t>
      </w:r>
    </w:p>
    <w:p w14:paraId="7A75D9D1">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（2）残疾人福利单位需按照招标文件的要求提供《残疾人福利性单位声明函》。</w:t>
      </w:r>
    </w:p>
    <w:p w14:paraId="530EEF80">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（3）残疾人福利单位标准请参照《关于促进残疾人就业政府采购政策的通知》（财库〔2017〕141号）。</w:t>
      </w:r>
    </w:p>
    <w:p w14:paraId="79060F6F">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3、监狱和戒毒企业价格扣除</w:t>
      </w:r>
    </w:p>
    <w:p w14:paraId="2BEB5C52">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（1）本项目对监狱和戒毒企业（简称监狱企业）视同小型、微型企业，给予</w:t>
      </w:r>
      <w:r>
        <w:rPr>
          <w:rFonts w:hint="eastAsia" w:ascii="宋体" w:hAnsi="宋体" w:cs="宋体"/>
          <w:sz w:val="24"/>
          <w:highlight w:val="none"/>
          <w:u w:val="single"/>
        </w:rPr>
        <w:t>10%</w:t>
      </w:r>
      <w:r>
        <w:rPr>
          <w:rFonts w:hint="eastAsia" w:ascii="宋体" w:hAnsi="宋体" w:cs="宋体"/>
          <w:sz w:val="24"/>
          <w:highlight w:val="none"/>
        </w:rPr>
        <w:t>的价格扣除，用扣除后的价格参与评审。</w:t>
      </w:r>
    </w:p>
    <w:p w14:paraId="64DDE2B1">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（2）监狱企业参加政府采购活动时，需提供由省级以上监狱管理局、戒毒管理局(含新疆生产建设兵团)出具的属于监狱企业的证明文件。投标人如不提供上述证明文件，价格将不做相应扣除。</w:t>
      </w:r>
    </w:p>
    <w:p w14:paraId="780AF346">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（3）监狱企业标准请参照《关于政府采购支持监狱企业发展有关问题的通知》（财库[2014]68号）。</w:t>
      </w:r>
    </w:p>
    <w:p w14:paraId="527DC035">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4、残疾人福利单位、监狱企业属于小型、微型企业的，不重复享受政策。</w:t>
      </w:r>
    </w:p>
    <w:p w14:paraId="72E45988">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5、如本项目同意联合体参加投标或同意分包履行合同的,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w:t>
      </w:r>
      <w:r>
        <w:rPr>
          <w:rFonts w:hint="eastAsia" w:ascii="宋体" w:hAnsi="宋体" w:cs="宋体"/>
          <w:sz w:val="24"/>
          <w:highlight w:val="none"/>
          <w:u w:val="single"/>
        </w:rPr>
        <w:t>4%</w:t>
      </w:r>
      <w:r>
        <w:rPr>
          <w:rFonts w:hint="eastAsia" w:ascii="宋体" w:hAnsi="宋体" w:cs="宋体"/>
          <w:sz w:val="24"/>
          <w:highlight w:val="none"/>
        </w:rPr>
        <w:t>的价格扣除，用扣除后的价格参与评审。</w:t>
      </w:r>
    </w:p>
    <w:p w14:paraId="7F9EE693">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6、联合体各方均为小型、微型企业（残疾人福利单位、监狱企业）的，联合体享受</w:t>
      </w:r>
      <w:r>
        <w:rPr>
          <w:rFonts w:hint="eastAsia" w:ascii="宋体" w:hAnsi="宋体" w:cs="宋体"/>
          <w:sz w:val="24"/>
          <w:highlight w:val="none"/>
          <w:u w:val="single"/>
        </w:rPr>
        <w:t>10%</w:t>
      </w:r>
      <w:r>
        <w:rPr>
          <w:rFonts w:hint="eastAsia" w:ascii="宋体" w:hAnsi="宋体" w:cs="宋体"/>
          <w:sz w:val="24"/>
          <w:highlight w:val="none"/>
        </w:rPr>
        <w:t>价格扣除，用扣除后的价格参与评审。</w:t>
      </w:r>
    </w:p>
    <w:p w14:paraId="014D96CC">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7、</w:t>
      </w:r>
      <w:r>
        <w:rPr>
          <w:rFonts w:hint="eastAsia" w:ascii="宋体" w:hAnsi="宋体" w:cs="宋体"/>
          <w:bCs/>
          <w:sz w:val="24"/>
          <w:highlight w:val="none"/>
        </w:rPr>
        <w:t>专门面向中小企业采购的项目或者采购包，不再执行价格评审优惠的扶持政策。</w:t>
      </w:r>
    </w:p>
    <w:p w14:paraId="1597D715">
      <w:pPr>
        <w:adjustRightInd w:val="0"/>
        <w:snapToGrid w:val="0"/>
        <w:spacing w:line="360" w:lineRule="auto"/>
        <w:ind w:firstLine="555"/>
        <w:rPr>
          <w:rFonts w:ascii="宋体" w:hAnsi="宋体" w:cs="宋体"/>
          <w:b/>
          <w:bCs/>
          <w:sz w:val="24"/>
          <w:highlight w:val="none"/>
        </w:rPr>
      </w:pPr>
      <w:r>
        <w:rPr>
          <w:rFonts w:hint="eastAsia" w:ascii="宋体" w:hAnsi="宋体" w:cs="宋体"/>
          <w:b/>
          <w:bCs/>
          <w:sz w:val="24"/>
          <w:highlight w:val="none"/>
        </w:rPr>
        <w:t>二、评标方法与评标标准</w:t>
      </w:r>
    </w:p>
    <w:p w14:paraId="71CBFF86">
      <w:pPr>
        <w:adjustRightInd w:val="0"/>
        <w:snapToGrid w:val="0"/>
        <w:spacing w:line="360" w:lineRule="auto"/>
        <w:ind w:firstLine="555"/>
        <w:rPr>
          <w:rFonts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一</w:t>
      </w:r>
      <w:r>
        <w:rPr>
          <w:rFonts w:hint="eastAsia" w:ascii="宋体" w:hAnsi="宋体" w:cs="宋体"/>
          <w:sz w:val="24"/>
          <w:highlight w:val="none"/>
          <w:lang w:val="zh-CN"/>
        </w:rPr>
        <w:t>）价格分</w:t>
      </w:r>
      <w:r>
        <w:rPr>
          <w:rFonts w:hint="eastAsia" w:ascii="宋体" w:hAnsi="宋体" w:cs="宋体"/>
          <w:sz w:val="24"/>
          <w:highlight w:val="none"/>
        </w:rPr>
        <w:t>：</w:t>
      </w:r>
      <w:r>
        <w:rPr>
          <w:rFonts w:ascii="宋体" w:hAnsi="宋体" w:cs="宋体"/>
          <w:sz w:val="24"/>
          <w:highlight w:val="none"/>
        </w:rPr>
        <w:t>20</w:t>
      </w:r>
      <w:r>
        <w:rPr>
          <w:rFonts w:hint="eastAsia" w:ascii="宋体" w:hAnsi="宋体" w:cs="宋体"/>
          <w:sz w:val="24"/>
          <w:highlight w:val="none"/>
        </w:rPr>
        <w:t>分</w:t>
      </w:r>
    </w:p>
    <w:p w14:paraId="25A6DC81">
      <w:pPr>
        <w:adjustRightInd w:val="0"/>
        <w:snapToGrid w:val="0"/>
        <w:spacing w:line="360" w:lineRule="auto"/>
        <w:ind w:firstLine="555"/>
        <w:rPr>
          <w:rFonts w:ascii="宋体" w:hAnsi="宋体" w:cs="宋体"/>
          <w:sz w:val="24"/>
          <w:highlight w:val="none"/>
        </w:rPr>
      </w:pPr>
      <w:r>
        <w:rPr>
          <w:rFonts w:hint="eastAsia" w:ascii="宋体" w:hAnsi="宋体" w:cs="宋体"/>
          <w:sz w:val="24"/>
          <w:highlight w:val="none"/>
        </w:rPr>
        <w:t>价格分统一采用低价优先法计算，即满足招标文件要求且投标价格最低的投标报价为评标基准价，其价格分为满分。其他投标人的价格分统一按照下列公式计算：</w:t>
      </w:r>
    </w:p>
    <w:p w14:paraId="084F46A4">
      <w:pPr>
        <w:adjustRightInd w:val="0"/>
        <w:snapToGrid w:val="0"/>
        <w:spacing w:line="360" w:lineRule="auto"/>
        <w:ind w:firstLine="555"/>
        <w:rPr>
          <w:rFonts w:hint="eastAsia" w:ascii="宋体" w:hAnsi="宋体" w:cs="宋体"/>
          <w:sz w:val="24"/>
          <w:highlight w:val="none"/>
        </w:rPr>
      </w:pPr>
      <w:r>
        <w:rPr>
          <w:rFonts w:hint="eastAsia" w:ascii="宋体" w:hAnsi="宋体" w:cs="宋体"/>
          <w:sz w:val="24"/>
          <w:highlight w:val="none"/>
        </w:rPr>
        <w:t>投标报价得分=（评标基准价/投标报价）×价格权值×100</w:t>
      </w:r>
    </w:p>
    <w:p w14:paraId="2AAB7861">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二）评审过程异常低价的审查</w:t>
      </w:r>
    </w:p>
    <w:p w14:paraId="40D272E5">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1.评审过程中出现下列情形之一的，评标委员会应当启动异常低价投标审查程序：</w:t>
      </w:r>
    </w:p>
    <w:p w14:paraId="42C784B0">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（1）投标报价低于采购项目预算50%的，即投标报价&lt;采购项目预算×50%；</w:t>
      </w:r>
    </w:p>
    <w:p w14:paraId="59A6CBCF">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（2）投标报价低于采购项目最高限价45%的，即投标报价&lt;采购项目最高限价×45%；</w:t>
      </w:r>
    </w:p>
    <w:p w14:paraId="5C73D29A">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（3）评标委员会认定的供应商报价过低、有可能影响产品质量或者不能诚信履约的其他情形。</w:t>
      </w:r>
    </w:p>
    <w:p w14:paraId="6DAEDB4A">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启动异常低价投标审查</w:t>
      </w:r>
    </w:p>
    <w:p w14:paraId="50E6FD9C">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20EEB50F">
      <w:pPr>
        <w:numPr>
          <w:ilvl w:val="0"/>
          <w:numId w:val="0"/>
        </w:numPr>
        <w:adjustRightInd w:val="0"/>
        <w:snapToGrid w:val="0"/>
        <w:spacing w:line="360" w:lineRule="auto"/>
        <w:ind w:firstLine="555" w:firstLineChars="0"/>
        <w:rPr>
          <w:rFonts w:ascii="宋体" w:hAnsi="宋体" w:cs="宋体"/>
          <w:sz w:val="24"/>
          <w:highlight w:val="none"/>
          <w:lang w:val="zh-CN"/>
        </w:rPr>
      </w:pPr>
      <w:r>
        <w:rPr>
          <w:rFonts w:hint="eastAsia" w:ascii="宋体" w:hAnsi="宋体" w:eastAsia="宋体" w:cs="宋体"/>
          <w:sz w:val="24"/>
          <w:szCs w:val="24"/>
          <w:lang w:val="zh-CN" w:eastAsia="zh-CN" w:bidi="ar-SA"/>
        </w:rPr>
        <w:t>（</w:t>
      </w:r>
      <w:r>
        <w:rPr>
          <w:rFonts w:hint="eastAsia" w:ascii="宋体" w:hAnsi="宋体" w:cs="宋体"/>
          <w:sz w:val="24"/>
          <w:szCs w:val="24"/>
          <w:lang w:val="en-US" w:eastAsia="zh-CN" w:bidi="ar-SA"/>
        </w:rPr>
        <w:t>三</w:t>
      </w:r>
      <w:r>
        <w:rPr>
          <w:rFonts w:hint="eastAsia" w:ascii="宋体" w:hAnsi="宋体" w:eastAsia="宋体" w:cs="宋体"/>
          <w:sz w:val="24"/>
          <w:szCs w:val="24"/>
          <w:lang w:val="zh-CN" w:eastAsia="zh-CN" w:bidi="ar-SA"/>
        </w:rPr>
        <w:t>）</w:t>
      </w:r>
      <w:r>
        <w:rPr>
          <w:rFonts w:hint="eastAsia" w:ascii="宋体" w:hAnsi="宋体" w:cs="宋体"/>
          <w:sz w:val="24"/>
          <w:highlight w:val="none"/>
          <w:lang w:val="zh-CN"/>
        </w:rPr>
        <w:t>商务技术分：</w:t>
      </w:r>
      <w:r>
        <w:rPr>
          <w:rFonts w:ascii="宋体" w:hAnsi="宋体" w:cs="宋体"/>
          <w:sz w:val="24"/>
          <w:highlight w:val="none"/>
        </w:rPr>
        <w:t>80</w:t>
      </w:r>
      <w:r>
        <w:rPr>
          <w:rFonts w:hint="eastAsia" w:ascii="宋体" w:hAnsi="宋体" w:cs="宋体"/>
          <w:sz w:val="24"/>
          <w:highlight w:val="none"/>
          <w:lang w:val="zh-CN"/>
        </w:rPr>
        <w:t>分</w:t>
      </w:r>
    </w:p>
    <w:p w14:paraId="56F4BFBC">
      <w:pPr>
        <w:adjustRightInd w:val="0"/>
        <w:snapToGrid w:val="0"/>
        <w:spacing w:line="360" w:lineRule="auto"/>
        <w:ind w:firstLine="555"/>
        <w:rPr>
          <w:rFonts w:ascii="宋体" w:hAnsi="宋体" w:cs="宋体"/>
          <w:sz w:val="24"/>
          <w:highlight w:val="none"/>
        </w:rPr>
      </w:pPr>
      <w:r>
        <w:rPr>
          <w:rFonts w:hint="eastAsia" w:ascii="宋体" w:hAnsi="宋体" w:cs="宋体"/>
          <w:sz w:val="24"/>
          <w:highlight w:val="none"/>
        </w:rPr>
        <w:t>各投标人得分为评委会成员评分的算术平均分，分值四舍五入保留小数点后两位。</w:t>
      </w:r>
    </w:p>
    <w:tbl>
      <w:tblPr>
        <w:tblStyle w:val="48"/>
        <w:tblW w:w="50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1940"/>
        <w:gridCol w:w="819"/>
        <w:gridCol w:w="4884"/>
      </w:tblGrid>
      <w:tr w14:paraId="0322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pct"/>
            <w:vAlign w:val="center"/>
          </w:tcPr>
          <w:p w14:paraId="3E7A8C06">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序号</w:t>
            </w:r>
          </w:p>
        </w:tc>
        <w:tc>
          <w:tcPr>
            <w:tcW w:w="1116" w:type="pct"/>
            <w:vAlign w:val="center"/>
          </w:tcPr>
          <w:p w14:paraId="326444D5">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评分点名称</w:t>
            </w:r>
          </w:p>
        </w:tc>
        <w:tc>
          <w:tcPr>
            <w:tcW w:w="471" w:type="pct"/>
            <w:vAlign w:val="center"/>
          </w:tcPr>
          <w:p w14:paraId="543C0AAE">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分值</w:t>
            </w:r>
          </w:p>
        </w:tc>
        <w:tc>
          <w:tcPr>
            <w:tcW w:w="2810" w:type="pct"/>
            <w:vAlign w:val="center"/>
          </w:tcPr>
          <w:p w14:paraId="72EE534F">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评审标准</w:t>
            </w:r>
          </w:p>
        </w:tc>
      </w:tr>
      <w:tr w14:paraId="343C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pct"/>
            <w:vAlign w:val="center"/>
          </w:tcPr>
          <w:p w14:paraId="51940131">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1</w:t>
            </w:r>
          </w:p>
        </w:tc>
        <w:tc>
          <w:tcPr>
            <w:tcW w:w="1116" w:type="pct"/>
            <w:vAlign w:val="center"/>
          </w:tcPr>
          <w:p w14:paraId="5E6F6C4E">
            <w:pPr>
              <w:adjustRightInd w:val="0"/>
              <w:snapToGrid w:val="0"/>
              <w:spacing w:line="360" w:lineRule="auto"/>
              <w:jc w:val="center"/>
              <w:rPr>
                <w:rFonts w:ascii="宋体" w:hAnsi="宋体"/>
                <w:szCs w:val="21"/>
                <w:highlight w:val="none"/>
                <w:lang w:val="zh-CN"/>
              </w:rPr>
            </w:pPr>
            <w:r>
              <w:rPr>
                <w:rFonts w:hint="eastAsia" w:ascii="宋体" w:hAnsi="宋体"/>
                <w:szCs w:val="21"/>
                <w:highlight w:val="none"/>
              </w:rPr>
              <w:t>投标人业绩</w:t>
            </w:r>
          </w:p>
        </w:tc>
        <w:tc>
          <w:tcPr>
            <w:tcW w:w="471" w:type="pct"/>
            <w:vAlign w:val="center"/>
          </w:tcPr>
          <w:p w14:paraId="7DE164FA">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6</w:t>
            </w:r>
          </w:p>
        </w:tc>
        <w:tc>
          <w:tcPr>
            <w:tcW w:w="2810" w:type="pct"/>
            <w:vAlign w:val="center"/>
          </w:tcPr>
          <w:p w14:paraId="48EC5E8A">
            <w:pPr>
              <w:adjustRightInd w:val="0"/>
              <w:snapToGrid w:val="0"/>
              <w:rPr>
                <w:color w:val="000000"/>
                <w:szCs w:val="21"/>
                <w:highlight w:val="none"/>
              </w:rPr>
            </w:pPr>
            <w:r>
              <w:rPr>
                <w:rFonts w:hint="eastAsia"/>
                <w:color w:val="000000"/>
                <w:szCs w:val="21"/>
                <w:highlight w:val="none"/>
              </w:rPr>
              <w:t>自2020年1月1日以来（以合同签订时间为准），投标人每具有1项城市轨道交通运营安全检查或者运营安全评估项目业绩的，得2分，最高得6分。</w:t>
            </w:r>
          </w:p>
          <w:p w14:paraId="006846DD">
            <w:pPr>
              <w:adjustRightInd w:val="0"/>
              <w:snapToGrid w:val="0"/>
              <w:rPr>
                <w:rFonts w:ascii="宋体" w:hAnsi="宋体" w:cs="宋体"/>
                <w:highlight w:val="none"/>
              </w:rPr>
            </w:pPr>
            <w:r>
              <w:rPr>
                <w:rFonts w:hint="eastAsia"/>
                <w:color w:val="000000"/>
                <w:szCs w:val="21"/>
                <w:highlight w:val="none"/>
              </w:rPr>
              <w:t>提供合同复印件（或扫描件）加盖投标人公章（提供能够明确显示主要信息的关键页，证明材料须清晰，否则视为无效业绩），否则不得分。</w:t>
            </w:r>
          </w:p>
        </w:tc>
      </w:tr>
      <w:tr w14:paraId="4CBFB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pct"/>
            <w:vAlign w:val="center"/>
          </w:tcPr>
          <w:p w14:paraId="4A9781EF">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2</w:t>
            </w:r>
          </w:p>
        </w:tc>
        <w:tc>
          <w:tcPr>
            <w:tcW w:w="1116" w:type="pct"/>
            <w:vAlign w:val="center"/>
          </w:tcPr>
          <w:p w14:paraId="3CB26FFF">
            <w:pPr>
              <w:adjustRightInd w:val="0"/>
              <w:snapToGrid w:val="0"/>
              <w:spacing w:line="360" w:lineRule="auto"/>
              <w:jc w:val="center"/>
              <w:rPr>
                <w:rFonts w:ascii="宋体" w:hAnsi="宋体"/>
                <w:szCs w:val="21"/>
                <w:highlight w:val="none"/>
              </w:rPr>
            </w:pPr>
            <w:r>
              <w:rPr>
                <w:rFonts w:hint="eastAsia" w:ascii="宋体" w:hAnsi="宋体"/>
                <w:szCs w:val="21"/>
                <w:highlight w:val="none"/>
              </w:rPr>
              <w:t>项目负责人</w:t>
            </w:r>
          </w:p>
        </w:tc>
        <w:tc>
          <w:tcPr>
            <w:tcW w:w="471" w:type="pct"/>
            <w:vAlign w:val="center"/>
          </w:tcPr>
          <w:p w14:paraId="054D7CFD">
            <w:pPr>
              <w:adjustRightInd w:val="0"/>
              <w:snapToGrid w:val="0"/>
              <w:spacing w:line="360" w:lineRule="auto"/>
              <w:jc w:val="center"/>
              <w:rPr>
                <w:rFonts w:ascii="宋体" w:hAnsi="宋体" w:cs="宋体"/>
                <w:sz w:val="24"/>
                <w:highlight w:val="none"/>
              </w:rPr>
            </w:pPr>
            <w:r>
              <w:rPr>
                <w:rFonts w:ascii="宋体" w:hAnsi="宋体" w:cs="宋体"/>
                <w:sz w:val="24"/>
                <w:highlight w:val="none"/>
              </w:rPr>
              <w:t>6</w:t>
            </w:r>
          </w:p>
        </w:tc>
        <w:tc>
          <w:tcPr>
            <w:tcW w:w="2810" w:type="pct"/>
            <w:vAlign w:val="center"/>
          </w:tcPr>
          <w:p w14:paraId="5366EEA2">
            <w:pPr>
              <w:pStyle w:val="308"/>
              <w:jc w:val="both"/>
              <w:rPr>
                <w:color w:val="000000"/>
                <w:sz w:val="21"/>
                <w:szCs w:val="21"/>
                <w:highlight w:val="none"/>
              </w:rPr>
            </w:pPr>
            <w:r>
              <w:rPr>
                <w:rFonts w:hint="eastAsia"/>
                <w:color w:val="000000"/>
                <w:sz w:val="21"/>
                <w:szCs w:val="21"/>
                <w:highlight w:val="none"/>
              </w:rPr>
              <w:t>自2020年1月1日以来（以合同签订时间为准）拟投入的项目负责人每承担过1项城市轨道交通运营安全检查或者运营安全评估的项目负责人业绩的，得2分，最高得</w:t>
            </w:r>
            <w:r>
              <w:rPr>
                <w:color w:val="000000"/>
                <w:sz w:val="21"/>
                <w:szCs w:val="21"/>
                <w:highlight w:val="none"/>
              </w:rPr>
              <w:t>6</w:t>
            </w:r>
            <w:r>
              <w:rPr>
                <w:rFonts w:hint="eastAsia"/>
                <w:color w:val="000000"/>
                <w:sz w:val="21"/>
                <w:szCs w:val="21"/>
                <w:highlight w:val="none"/>
              </w:rPr>
              <w:t>分。</w:t>
            </w:r>
          </w:p>
          <w:p w14:paraId="6396EF44">
            <w:pPr>
              <w:adjustRightInd w:val="0"/>
              <w:snapToGrid w:val="0"/>
              <w:rPr>
                <w:color w:val="000000"/>
                <w:szCs w:val="21"/>
                <w:highlight w:val="none"/>
              </w:rPr>
            </w:pPr>
            <w:r>
              <w:rPr>
                <w:rFonts w:hint="eastAsia"/>
                <w:color w:val="000000"/>
                <w:szCs w:val="21"/>
                <w:highlight w:val="none"/>
              </w:rPr>
              <w:t>提供合同复印件（或扫描件）加盖投标人公章（提供能够明确显示主要信息的关键页，证明材料须清晰，否则视为无效业绩），否则不得分。</w:t>
            </w:r>
          </w:p>
          <w:p w14:paraId="00827033">
            <w:pPr>
              <w:adjustRightInd w:val="0"/>
              <w:snapToGrid w:val="0"/>
              <w:rPr>
                <w:color w:val="000000"/>
                <w:szCs w:val="21"/>
                <w:highlight w:val="none"/>
              </w:rPr>
            </w:pPr>
            <w:r>
              <w:rPr>
                <w:rFonts w:hint="eastAsia"/>
                <w:color w:val="000000"/>
                <w:szCs w:val="21"/>
                <w:highlight w:val="none"/>
              </w:rPr>
              <w:t>注：若合同中无法体现项目负责人姓名的可由项目业主方提供证明材料，并加盖项目业主的公章，否则相关业绩不予认可。</w:t>
            </w:r>
          </w:p>
        </w:tc>
      </w:tr>
      <w:tr w14:paraId="47ACC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pct"/>
            <w:vAlign w:val="center"/>
          </w:tcPr>
          <w:p w14:paraId="00EF2B8E">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3</w:t>
            </w:r>
          </w:p>
        </w:tc>
        <w:tc>
          <w:tcPr>
            <w:tcW w:w="1116" w:type="pct"/>
            <w:vAlign w:val="center"/>
          </w:tcPr>
          <w:p w14:paraId="6DAE6453">
            <w:pPr>
              <w:adjustRightInd w:val="0"/>
              <w:snapToGrid w:val="0"/>
              <w:spacing w:line="360" w:lineRule="auto"/>
              <w:jc w:val="center"/>
              <w:rPr>
                <w:rFonts w:ascii="宋体" w:hAnsi="宋体"/>
                <w:szCs w:val="21"/>
                <w:highlight w:val="none"/>
              </w:rPr>
            </w:pPr>
            <w:r>
              <w:rPr>
                <w:rFonts w:hint="eastAsia" w:ascii="宋体" w:hAnsi="宋体"/>
                <w:szCs w:val="21"/>
                <w:highlight w:val="none"/>
              </w:rPr>
              <w:t>项目团队</w:t>
            </w:r>
          </w:p>
        </w:tc>
        <w:tc>
          <w:tcPr>
            <w:tcW w:w="471" w:type="pct"/>
            <w:vAlign w:val="center"/>
          </w:tcPr>
          <w:p w14:paraId="01EF418F">
            <w:pPr>
              <w:adjustRightInd w:val="0"/>
              <w:snapToGrid w:val="0"/>
              <w:spacing w:line="360" w:lineRule="auto"/>
              <w:jc w:val="center"/>
              <w:rPr>
                <w:rFonts w:ascii="宋体" w:hAnsi="宋体" w:cs="宋体"/>
                <w:sz w:val="24"/>
                <w:highlight w:val="none"/>
              </w:rPr>
            </w:pPr>
            <w:r>
              <w:rPr>
                <w:rFonts w:ascii="宋体" w:hAnsi="宋体" w:cs="宋体"/>
                <w:sz w:val="24"/>
                <w:highlight w:val="none"/>
              </w:rPr>
              <w:t>18</w:t>
            </w:r>
          </w:p>
        </w:tc>
        <w:tc>
          <w:tcPr>
            <w:tcW w:w="2810" w:type="pct"/>
            <w:vAlign w:val="center"/>
          </w:tcPr>
          <w:p w14:paraId="178452EA">
            <w:pPr>
              <w:pStyle w:val="308"/>
              <w:numPr>
                <w:numId w:val="0"/>
              </w:numPr>
              <w:jc w:val="both"/>
              <w:rPr>
                <w:rFonts w:hint="eastAsia"/>
                <w:color w:val="000000"/>
                <w:sz w:val="21"/>
                <w:szCs w:val="21"/>
                <w:highlight w:val="none"/>
                <w:lang w:eastAsia="zh-CN"/>
              </w:rPr>
            </w:pPr>
            <w:r>
              <w:rPr>
                <w:rFonts w:hint="eastAsia"/>
                <w:color w:val="000000"/>
                <w:sz w:val="21"/>
                <w:szCs w:val="21"/>
                <w:highlight w:val="none"/>
              </w:rPr>
              <w:t>项目团队人员（除项目负责人外）具有高级及以上职称</w:t>
            </w:r>
            <w:r>
              <w:rPr>
                <w:rFonts w:hint="eastAsia"/>
                <w:color w:val="000000"/>
                <w:sz w:val="21"/>
                <w:szCs w:val="21"/>
                <w:highlight w:val="none"/>
                <w:lang w:val="en-US" w:eastAsia="zh-CN"/>
              </w:rPr>
              <w:t>且具有</w:t>
            </w:r>
            <w:r>
              <w:rPr>
                <w:rFonts w:hint="eastAsia"/>
                <w:color w:val="000000"/>
                <w:sz w:val="21"/>
                <w:szCs w:val="21"/>
                <w:highlight w:val="none"/>
              </w:rPr>
              <w:t>注册安全工程师职业资格证书的，每有1人得</w:t>
            </w:r>
            <w:r>
              <w:rPr>
                <w:rFonts w:hint="eastAsia"/>
                <w:color w:val="000000"/>
                <w:sz w:val="21"/>
                <w:szCs w:val="21"/>
                <w:highlight w:val="none"/>
                <w:lang w:val="en-US" w:eastAsia="zh-CN"/>
              </w:rPr>
              <w:t>3</w:t>
            </w:r>
            <w:r>
              <w:rPr>
                <w:color w:val="000000"/>
                <w:sz w:val="21"/>
                <w:szCs w:val="21"/>
                <w:highlight w:val="none"/>
              </w:rPr>
              <w:t>分</w:t>
            </w:r>
            <w:r>
              <w:rPr>
                <w:rFonts w:hint="eastAsia"/>
                <w:color w:val="000000"/>
                <w:sz w:val="21"/>
                <w:szCs w:val="21"/>
                <w:highlight w:val="none"/>
              </w:rPr>
              <w:t>，最高得</w:t>
            </w:r>
            <w:r>
              <w:rPr>
                <w:rFonts w:hint="eastAsia"/>
                <w:color w:val="000000"/>
                <w:sz w:val="21"/>
                <w:szCs w:val="21"/>
                <w:highlight w:val="none"/>
                <w:lang w:val="en-US" w:eastAsia="zh-CN"/>
              </w:rPr>
              <w:t>12</w:t>
            </w:r>
            <w:r>
              <w:rPr>
                <w:rFonts w:hint="eastAsia"/>
                <w:color w:val="000000"/>
                <w:sz w:val="21"/>
                <w:szCs w:val="21"/>
                <w:highlight w:val="none"/>
              </w:rPr>
              <w:t>分</w:t>
            </w:r>
            <w:r>
              <w:rPr>
                <w:color w:val="000000"/>
                <w:sz w:val="21"/>
                <w:szCs w:val="21"/>
                <w:highlight w:val="none"/>
              </w:rPr>
              <w:t>；</w:t>
            </w:r>
            <w:r>
              <w:rPr>
                <w:rFonts w:hint="eastAsia"/>
                <w:color w:val="000000"/>
                <w:sz w:val="21"/>
                <w:szCs w:val="21"/>
                <w:highlight w:val="none"/>
              </w:rPr>
              <w:t>具有</w:t>
            </w:r>
            <w:r>
              <w:rPr>
                <w:rFonts w:hint="eastAsia"/>
                <w:color w:val="000000"/>
                <w:sz w:val="21"/>
                <w:szCs w:val="21"/>
                <w:highlight w:val="none"/>
                <w:lang w:val="en-US" w:eastAsia="zh-CN"/>
              </w:rPr>
              <w:t>中级</w:t>
            </w:r>
            <w:r>
              <w:rPr>
                <w:rFonts w:hint="eastAsia"/>
                <w:color w:val="000000"/>
                <w:sz w:val="21"/>
                <w:szCs w:val="21"/>
                <w:highlight w:val="none"/>
              </w:rPr>
              <w:t>职称</w:t>
            </w:r>
            <w:r>
              <w:rPr>
                <w:rFonts w:hint="eastAsia"/>
                <w:color w:val="000000"/>
                <w:sz w:val="21"/>
                <w:szCs w:val="21"/>
                <w:highlight w:val="none"/>
                <w:lang w:val="en-US" w:eastAsia="zh-CN"/>
              </w:rPr>
              <w:t>且具有</w:t>
            </w:r>
            <w:r>
              <w:rPr>
                <w:rFonts w:hint="eastAsia"/>
                <w:color w:val="000000"/>
                <w:sz w:val="21"/>
                <w:szCs w:val="21"/>
                <w:highlight w:val="none"/>
              </w:rPr>
              <w:t>注册安全工程师职业资格证书的，每有1人得</w:t>
            </w:r>
            <w:r>
              <w:rPr>
                <w:rFonts w:hint="eastAsia"/>
                <w:color w:val="000000"/>
                <w:sz w:val="21"/>
                <w:szCs w:val="21"/>
                <w:highlight w:val="none"/>
                <w:lang w:val="en-US" w:eastAsia="zh-CN"/>
              </w:rPr>
              <w:t>2</w:t>
            </w:r>
            <w:r>
              <w:rPr>
                <w:color w:val="000000"/>
                <w:sz w:val="21"/>
                <w:szCs w:val="21"/>
                <w:highlight w:val="none"/>
              </w:rPr>
              <w:t>分</w:t>
            </w:r>
            <w:r>
              <w:rPr>
                <w:rFonts w:hint="eastAsia"/>
                <w:color w:val="000000"/>
                <w:sz w:val="21"/>
                <w:szCs w:val="21"/>
                <w:highlight w:val="none"/>
              </w:rPr>
              <w:t>，最高得</w:t>
            </w:r>
            <w:r>
              <w:rPr>
                <w:rFonts w:hint="eastAsia"/>
                <w:color w:val="000000"/>
                <w:sz w:val="21"/>
                <w:szCs w:val="21"/>
                <w:highlight w:val="none"/>
                <w:lang w:val="en-US" w:eastAsia="zh-CN"/>
              </w:rPr>
              <w:t>6</w:t>
            </w:r>
            <w:r>
              <w:rPr>
                <w:rFonts w:hint="eastAsia"/>
                <w:color w:val="000000"/>
                <w:sz w:val="21"/>
                <w:szCs w:val="21"/>
                <w:highlight w:val="none"/>
              </w:rPr>
              <w:t>分</w:t>
            </w:r>
            <w:r>
              <w:rPr>
                <w:rFonts w:hint="eastAsia"/>
                <w:color w:val="000000"/>
                <w:sz w:val="21"/>
                <w:szCs w:val="21"/>
                <w:highlight w:val="none"/>
                <w:lang w:eastAsia="zh-CN"/>
              </w:rPr>
              <w:t>。</w:t>
            </w:r>
          </w:p>
          <w:p w14:paraId="38E8D7E5">
            <w:pPr>
              <w:pStyle w:val="308"/>
              <w:numPr>
                <w:numId w:val="0"/>
              </w:numPr>
              <w:jc w:val="both"/>
              <w:rPr>
                <w:rFonts w:hint="default"/>
                <w:color w:val="000000"/>
                <w:sz w:val="21"/>
                <w:szCs w:val="21"/>
                <w:highlight w:val="none"/>
                <w:lang w:val="en-US" w:eastAsia="zh-CN"/>
              </w:rPr>
            </w:pPr>
            <w:r>
              <w:rPr>
                <w:rFonts w:hint="eastAsia"/>
                <w:color w:val="000000"/>
                <w:sz w:val="21"/>
                <w:szCs w:val="21"/>
                <w:highlight w:val="none"/>
                <w:lang w:val="en-US" w:eastAsia="zh-CN"/>
              </w:rPr>
              <w:t>本项最高得18分。</w:t>
            </w:r>
          </w:p>
          <w:p w14:paraId="43FA2671">
            <w:pPr>
              <w:numPr>
                <w:ilvl w:val="255"/>
                <w:numId w:val="0"/>
              </w:numPr>
              <w:adjustRightInd w:val="0"/>
              <w:snapToGrid w:val="0"/>
              <w:rPr>
                <w:color w:val="000000"/>
                <w:szCs w:val="21"/>
                <w:highlight w:val="none"/>
              </w:rPr>
            </w:pPr>
            <w:r>
              <w:rPr>
                <w:rFonts w:hint="eastAsia" w:ascii="宋体" w:hAnsi="宋体" w:cs="宋体"/>
                <w:szCs w:val="21"/>
                <w:highlight w:val="none"/>
              </w:rPr>
              <w:t>同时提</w:t>
            </w:r>
            <w:r>
              <w:rPr>
                <w:rFonts w:hint="eastAsia"/>
                <w:color w:val="000000"/>
                <w:szCs w:val="21"/>
                <w:highlight w:val="none"/>
              </w:rPr>
              <w:t>供上述证书及投标人为其缴纳的近三个月内（2025年10月至2025年12月）任意一个月社保缴费证明，社保缴纳证明材料需含缴费起止时间、缴费单位、缴费人员姓名并由社保机构加盖缴费证明专用章，社保机构官网上打印件与线下的盖章件具有同等效力，缴费单位须与投标人名称一致（投标人下属不具备独立法人资格的分支机构缴纳的社保视为本单位），否则相应人员不得分。</w:t>
            </w:r>
          </w:p>
          <w:p w14:paraId="54C8736F">
            <w:pPr>
              <w:numPr>
                <w:ilvl w:val="255"/>
                <w:numId w:val="0"/>
              </w:numPr>
              <w:adjustRightInd w:val="0"/>
              <w:snapToGrid w:val="0"/>
              <w:rPr>
                <w:color w:val="000000"/>
                <w:szCs w:val="21"/>
                <w:highlight w:val="none"/>
              </w:rPr>
            </w:pPr>
            <w:r>
              <w:rPr>
                <w:rFonts w:hint="eastAsia"/>
                <w:color w:val="000000"/>
                <w:szCs w:val="21"/>
                <w:highlight w:val="none"/>
              </w:rPr>
              <w:t>注：同一人员有多种证书的可累计得分。</w:t>
            </w:r>
          </w:p>
        </w:tc>
      </w:tr>
      <w:tr w14:paraId="509B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pct"/>
            <w:vAlign w:val="center"/>
          </w:tcPr>
          <w:p w14:paraId="29D0549E">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4</w:t>
            </w:r>
          </w:p>
        </w:tc>
        <w:tc>
          <w:tcPr>
            <w:tcW w:w="1116" w:type="pct"/>
            <w:vAlign w:val="center"/>
          </w:tcPr>
          <w:p w14:paraId="6F81A420">
            <w:pPr>
              <w:adjustRightInd w:val="0"/>
              <w:snapToGrid w:val="0"/>
              <w:spacing w:line="360" w:lineRule="auto"/>
              <w:jc w:val="center"/>
              <w:rPr>
                <w:rFonts w:ascii="宋体" w:hAnsi="宋体" w:cs="宋体"/>
                <w:sz w:val="24"/>
                <w:highlight w:val="none"/>
              </w:rPr>
            </w:pPr>
            <w:r>
              <w:rPr>
                <w:rFonts w:hint="eastAsia" w:ascii="宋体" w:hAnsi="宋体"/>
                <w:szCs w:val="21"/>
                <w:highlight w:val="none"/>
              </w:rPr>
              <w:t>服务大纲</w:t>
            </w:r>
          </w:p>
        </w:tc>
        <w:tc>
          <w:tcPr>
            <w:tcW w:w="471" w:type="pct"/>
            <w:vAlign w:val="center"/>
          </w:tcPr>
          <w:p w14:paraId="6EA6702C">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15</w:t>
            </w:r>
          </w:p>
        </w:tc>
        <w:tc>
          <w:tcPr>
            <w:tcW w:w="2810" w:type="pct"/>
            <w:vAlign w:val="center"/>
          </w:tcPr>
          <w:p w14:paraId="417DB011">
            <w:pPr>
              <w:pStyle w:val="308"/>
              <w:jc w:val="both"/>
              <w:rPr>
                <w:sz w:val="21"/>
                <w:szCs w:val="21"/>
                <w:highlight w:val="none"/>
              </w:rPr>
            </w:pPr>
            <w:r>
              <w:rPr>
                <w:rFonts w:hint="eastAsia"/>
                <w:sz w:val="21"/>
                <w:szCs w:val="21"/>
                <w:highlight w:val="none"/>
              </w:rPr>
              <w:t>根据投标人提供服务大纲的内容是否全面性，采用标准及规范是否合理、完整，服务大纲中对本项服务的难点、要点和关键部位是否阐明进行评分。</w:t>
            </w:r>
          </w:p>
          <w:p w14:paraId="0BFF9EBC">
            <w:pPr>
              <w:pStyle w:val="308"/>
              <w:jc w:val="both"/>
              <w:rPr>
                <w:sz w:val="21"/>
                <w:szCs w:val="21"/>
                <w:highlight w:val="none"/>
              </w:rPr>
            </w:pPr>
            <w:r>
              <w:rPr>
                <w:rFonts w:hint="eastAsia"/>
                <w:sz w:val="21"/>
                <w:szCs w:val="21"/>
                <w:highlight w:val="none"/>
              </w:rPr>
              <w:t>服务大纲的内容全面，采用标准及规范合理、完整，服务大纲中对本项服务的难点、要点和关键部位描述详细、准确的得15分；</w:t>
            </w:r>
          </w:p>
          <w:p w14:paraId="58371A25">
            <w:pPr>
              <w:pStyle w:val="308"/>
              <w:jc w:val="both"/>
              <w:rPr>
                <w:sz w:val="21"/>
                <w:szCs w:val="21"/>
                <w:highlight w:val="none"/>
              </w:rPr>
            </w:pPr>
            <w:r>
              <w:rPr>
                <w:rFonts w:hint="eastAsia"/>
                <w:sz w:val="21"/>
                <w:szCs w:val="21"/>
                <w:highlight w:val="none"/>
              </w:rPr>
              <w:t>服务大纲的内容较全面，采用标准及规范较合理、较完整，服务大纲中对本项服务的难点、要点和关键部位描述较详细、较准确的得10分；</w:t>
            </w:r>
          </w:p>
          <w:p w14:paraId="49B88AF8">
            <w:pPr>
              <w:pStyle w:val="308"/>
              <w:jc w:val="both"/>
              <w:rPr>
                <w:sz w:val="21"/>
                <w:szCs w:val="21"/>
                <w:highlight w:val="none"/>
              </w:rPr>
            </w:pPr>
            <w:r>
              <w:rPr>
                <w:rFonts w:hint="eastAsia"/>
                <w:sz w:val="21"/>
                <w:szCs w:val="21"/>
                <w:highlight w:val="none"/>
              </w:rPr>
              <w:t>服务大纲的内容基本全面，采用标准及规范基本合理、基本完整，服务大纲中对本项服务的难点、要点和关键部位有描述、描述基本准确的得5分；</w:t>
            </w:r>
          </w:p>
          <w:p w14:paraId="695843DB">
            <w:pPr>
              <w:pStyle w:val="308"/>
              <w:jc w:val="both"/>
              <w:rPr>
                <w:rFonts w:ascii="宋体" w:hAnsi="宋体" w:cs="宋体"/>
                <w:sz w:val="24"/>
                <w:szCs w:val="24"/>
                <w:highlight w:val="none"/>
              </w:rPr>
            </w:pPr>
            <w:r>
              <w:rPr>
                <w:rFonts w:hint="eastAsia"/>
                <w:sz w:val="21"/>
                <w:szCs w:val="21"/>
                <w:highlight w:val="none"/>
              </w:rPr>
              <w:t>未提供不得分。</w:t>
            </w:r>
          </w:p>
        </w:tc>
      </w:tr>
      <w:tr w14:paraId="2651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601" w:type="pct"/>
            <w:vMerge w:val="restart"/>
            <w:vAlign w:val="center"/>
          </w:tcPr>
          <w:p w14:paraId="1141AD36">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5</w:t>
            </w:r>
          </w:p>
        </w:tc>
        <w:tc>
          <w:tcPr>
            <w:tcW w:w="1116" w:type="pct"/>
            <w:vMerge w:val="restart"/>
            <w:vAlign w:val="center"/>
          </w:tcPr>
          <w:p w14:paraId="11087844">
            <w:pPr>
              <w:adjustRightInd w:val="0"/>
              <w:snapToGrid w:val="0"/>
              <w:spacing w:line="360" w:lineRule="auto"/>
              <w:jc w:val="center"/>
              <w:rPr>
                <w:rFonts w:ascii="宋体" w:hAnsi="宋体" w:cs="宋体"/>
                <w:sz w:val="24"/>
                <w:highlight w:val="none"/>
              </w:rPr>
            </w:pPr>
            <w:r>
              <w:rPr>
                <w:rFonts w:hint="eastAsia" w:cs="宋体"/>
                <w:szCs w:val="21"/>
                <w:highlight w:val="none"/>
              </w:rPr>
              <w:t>预测方法</w:t>
            </w:r>
          </w:p>
        </w:tc>
        <w:tc>
          <w:tcPr>
            <w:tcW w:w="471" w:type="pct"/>
            <w:vMerge w:val="restart"/>
            <w:vAlign w:val="center"/>
          </w:tcPr>
          <w:p w14:paraId="3D335DB4">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25</w:t>
            </w:r>
          </w:p>
        </w:tc>
        <w:tc>
          <w:tcPr>
            <w:tcW w:w="2810" w:type="pct"/>
            <w:vAlign w:val="center"/>
          </w:tcPr>
          <w:p w14:paraId="6961BE87">
            <w:pPr>
              <w:numPr>
                <w:ilvl w:val="0"/>
                <w:numId w:val="2"/>
              </w:numPr>
              <w:adjustRightInd w:val="0"/>
              <w:snapToGrid w:val="0"/>
              <w:rPr>
                <w:rFonts w:ascii="宋体" w:hAnsi="宋体" w:cs="宋体"/>
                <w:spacing w:val="-1"/>
                <w:szCs w:val="21"/>
                <w:highlight w:val="none"/>
              </w:rPr>
            </w:pPr>
            <w:r>
              <w:rPr>
                <w:rFonts w:hint="eastAsia" w:ascii="宋体" w:hAnsi="宋体" w:cs="宋体"/>
                <w:spacing w:val="-1"/>
                <w:szCs w:val="21"/>
                <w:highlight w:val="none"/>
              </w:rPr>
              <w:t>根据投标人提供的调研手段、方法及引用的相关、文献、案例标准是否全面、准确、实用，是否体现轨道交通行业特点进行评分</w:t>
            </w:r>
          </w:p>
          <w:p w14:paraId="2623FFBE">
            <w:pPr>
              <w:adjustRightInd w:val="0"/>
              <w:snapToGrid w:val="0"/>
              <w:rPr>
                <w:rFonts w:ascii="宋体" w:hAnsi="宋体" w:cs="宋体"/>
                <w:spacing w:val="-1"/>
                <w:szCs w:val="21"/>
                <w:highlight w:val="none"/>
              </w:rPr>
            </w:pPr>
            <w:r>
              <w:rPr>
                <w:rFonts w:hint="eastAsia" w:ascii="宋体" w:hAnsi="宋体" w:cs="宋体"/>
                <w:spacing w:val="-1"/>
                <w:szCs w:val="21"/>
                <w:highlight w:val="none"/>
              </w:rPr>
              <w:t>调研手段、方法及引用的相关、文献、案例标准全面、准确、实用，体现轨道交通行业特点的得10分；</w:t>
            </w:r>
          </w:p>
          <w:p w14:paraId="07609550">
            <w:pPr>
              <w:adjustRightInd w:val="0"/>
              <w:snapToGrid w:val="0"/>
              <w:rPr>
                <w:rFonts w:ascii="宋体" w:hAnsi="宋体" w:cs="宋体"/>
                <w:spacing w:val="-1"/>
                <w:szCs w:val="21"/>
                <w:highlight w:val="none"/>
              </w:rPr>
            </w:pPr>
            <w:r>
              <w:rPr>
                <w:rFonts w:hint="eastAsia" w:ascii="宋体" w:hAnsi="宋体" w:cs="宋体"/>
                <w:spacing w:val="-1"/>
                <w:szCs w:val="21"/>
                <w:highlight w:val="none"/>
              </w:rPr>
              <w:t>调研手段、方法及引用的相关、文献、案例标准较全面、较准确、较实用，较能体现轨道交通行业特点的得6分；</w:t>
            </w:r>
          </w:p>
          <w:p w14:paraId="0E6027FD">
            <w:pPr>
              <w:adjustRightInd w:val="0"/>
              <w:snapToGrid w:val="0"/>
              <w:rPr>
                <w:rFonts w:ascii="宋体" w:hAnsi="宋体" w:cs="宋体"/>
                <w:spacing w:val="-1"/>
                <w:szCs w:val="21"/>
                <w:highlight w:val="none"/>
              </w:rPr>
            </w:pPr>
            <w:r>
              <w:rPr>
                <w:rFonts w:hint="eastAsia" w:ascii="宋体" w:hAnsi="宋体" w:cs="宋体"/>
                <w:spacing w:val="-1"/>
                <w:szCs w:val="21"/>
                <w:highlight w:val="none"/>
              </w:rPr>
              <w:t>调研手段、方法及引用的相关、文献、案例标准基本全面、基本准确、基本实用，基本能体现轨道交通行业特点的得2分；</w:t>
            </w:r>
          </w:p>
          <w:p w14:paraId="280BD857">
            <w:pPr>
              <w:adjustRightInd w:val="0"/>
              <w:snapToGrid w:val="0"/>
              <w:rPr>
                <w:rFonts w:ascii="宋体" w:hAnsi="宋体" w:cs="宋体"/>
                <w:spacing w:val="-1"/>
                <w:szCs w:val="21"/>
                <w:highlight w:val="none"/>
              </w:rPr>
            </w:pPr>
            <w:r>
              <w:rPr>
                <w:rFonts w:hint="eastAsia"/>
                <w:szCs w:val="21"/>
                <w:highlight w:val="none"/>
              </w:rPr>
              <w:t>未提供不得分。</w:t>
            </w:r>
          </w:p>
        </w:tc>
      </w:tr>
      <w:tr w14:paraId="335B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601" w:type="pct"/>
            <w:vMerge w:val="continue"/>
            <w:vAlign w:val="center"/>
          </w:tcPr>
          <w:p w14:paraId="42D7B907">
            <w:pPr>
              <w:adjustRightInd w:val="0"/>
              <w:snapToGrid w:val="0"/>
              <w:spacing w:line="360" w:lineRule="auto"/>
              <w:jc w:val="center"/>
              <w:rPr>
                <w:rFonts w:ascii="宋体" w:hAnsi="宋体" w:cs="宋体"/>
                <w:sz w:val="24"/>
                <w:highlight w:val="none"/>
              </w:rPr>
            </w:pPr>
          </w:p>
        </w:tc>
        <w:tc>
          <w:tcPr>
            <w:tcW w:w="1116" w:type="pct"/>
            <w:vMerge w:val="continue"/>
            <w:vAlign w:val="center"/>
          </w:tcPr>
          <w:p w14:paraId="563C96DD">
            <w:pPr>
              <w:adjustRightInd w:val="0"/>
              <w:snapToGrid w:val="0"/>
              <w:spacing w:line="360" w:lineRule="auto"/>
              <w:jc w:val="center"/>
              <w:rPr>
                <w:rFonts w:cs="宋体"/>
                <w:szCs w:val="21"/>
                <w:highlight w:val="none"/>
              </w:rPr>
            </w:pPr>
          </w:p>
        </w:tc>
        <w:tc>
          <w:tcPr>
            <w:tcW w:w="471" w:type="pct"/>
            <w:vMerge w:val="continue"/>
            <w:vAlign w:val="center"/>
          </w:tcPr>
          <w:p w14:paraId="092DDC77">
            <w:pPr>
              <w:adjustRightInd w:val="0"/>
              <w:snapToGrid w:val="0"/>
              <w:spacing w:line="360" w:lineRule="auto"/>
              <w:jc w:val="center"/>
              <w:rPr>
                <w:rFonts w:ascii="宋体" w:hAnsi="宋体" w:cs="宋体"/>
                <w:sz w:val="24"/>
                <w:highlight w:val="none"/>
              </w:rPr>
            </w:pPr>
          </w:p>
        </w:tc>
        <w:tc>
          <w:tcPr>
            <w:tcW w:w="2810" w:type="pct"/>
            <w:vAlign w:val="center"/>
          </w:tcPr>
          <w:p w14:paraId="4AF1D8C2">
            <w:pPr>
              <w:numPr>
                <w:ilvl w:val="0"/>
                <w:numId w:val="2"/>
              </w:numPr>
              <w:adjustRightInd w:val="0"/>
              <w:snapToGrid w:val="0"/>
              <w:rPr>
                <w:rFonts w:ascii="宋体" w:hAnsi="宋体" w:cs="宋体"/>
                <w:spacing w:val="-1"/>
                <w:szCs w:val="21"/>
                <w:highlight w:val="none"/>
              </w:rPr>
            </w:pPr>
            <w:r>
              <w:rPr>
                <w:rFonts w:hint="eastAsia" w:ascii="宋体" w:hAnsi="宋体" w:cs="宋体"/>
                <w:spacing w:val="-1"/>
                <w:szCs w:val="21"/>
                <w:highlight w:val="none"/>
              </w:rPr>
              <w:t>根据投标人提供的评估指标体系、模型、方法是否科学合理进行评分。</w:t>
            </w:r>
          </w:p>
          <w:p w14:paraId="235C5FD5">
            <w:pPr>
              <w:adjustRightInd w:val="0"/>
              <w:snapToGrid w:val="0"/>
              <w:rPr>
                <w:rFonts w:ascii="宋体" w:hAnsi="宋体" w:cs="宋体"/>
                <w:spacing w:val="-1"/>
                <w:szCs w:val="21"/>
                <w:highlight w:val="none"/>
              </w:rPr>
            </w:pPr>
            <w:r>
              <w:rPr>
                <w:rFonts w:hint="eastAsia" w:ascii="宋体" w:hAnsi="宋体" w:cs="宋体"/>
                <w:spacing w:val="-1"/>
                <w:szCs w:val="21"/>
                <w:highlight w:val="none"/>
              </w:rPr>
              <w:t>评估指标体系、模型、方法科学合理的得15分；</w:t>
            </w:r>
          </w:p>
          <w:p w14:paraId="40741179">
            <w:pPr>
              <w:adjustRightInd w:val="0"/>
              <w:snapToGrid w:val="0"/>
              <w:rPr>
                <w:rFonts w:ascii="宋体" w:hAnsi="宋体" w:cs="宋体"/>
                <w:spacing w:val="-1"/>
                <w:szCs w:val="21"/>
                <w:highlight w:val="none"/>
              </w:rPr>
            </w:pPr>
            <w:r>
              <w:rPr>
                <w:rFonts w:hint="eastAsia" w:ascii="宋体" w:hAnsi="宋体" w:cs="宋体"/>
                <w:spacing w:val="-1"/>
                <w:szCs w:val="21"/>
                <w:highlight w:val="none"/>
              </w:rPr>
              <w:t>评估指标体系、模型、方法较科学合理的得10分；</w:t>
            </w:r>
          </w:p>
          <w:p w14:paraId="2E79E02F">
            <w:pPr>
              <w:adjustRightInd w:val="0"/>
              <w:snapToGrid w:val="0"/>
              <w:rPr>
                <w:rFonts w:ascii="宋体" w:hAnsi="宋体" w:cs="宋体"/>
                <w:spacing w:val="-1"/>
                <w:szCs w:val="21"/>
                <w:highlight w:val="none"/>
              </w:rPr>
            </w:pPr>
            <w:r>
              <w:rPr>
                <w:rFonts w:hint="eastAsia" w:ascii="宋体" w:hAnsi="宋体" w:cs="宋体"/>
                <w:spacing w:val="-1"/>
                <w:szCs w:val="21"/>
                <w:highlight w:val="none"/>
              </w:rPr>
              <w:t>评估指标体系、模型、方法基本科学合理的得5分；</w:t>
            </w:r>
          </w:p>
          <w:p w14:paraId="320B7968">
            <w:pPr>
              <w:adjustRightInd w:val="0"/>
              <w:snapToGrid w:val="0"/>
              <w:rPr>
                <w:rFonts w:ascii="宋体" w:hAnsi="宋体" w:cs="宋体"/>
                <w:spacing w:val="-1"/>
                <w:szCs w:val="21"/>
                <w:highlight w:val="none"/>
              </w:rPr>
            </w:pPr>
            <w:r>
              <w:rPr>
                <w:rFonts w:hint="eastAsia" w:ascii="宋体" w:hAnsi="宋体" w:cs="宋体"/>
                <w:spacing w:val="-1"/>
                <w:szCs w:val="21"/>
                <w:highlight w:val="none"/>
              </w:rPr>
              <w:t>未提供不得分。</w:t>
            </w:r>
          </w:p>
        </w:tc>
      </w:tr>
      <w:tr w14:paraId="23A4E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pct"/>
            <w:vAlign w:val="center"/>
          </w:tcPr>
          <w:p w14:paraId="0B43AA52">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6</w:t>
            </w:r>
          </w:p>
        </w:tc>
        <w:tc>
          <w:tcPr>
            <w:tcW w:w="1116" w:type="pct"/>
            <w:vAlign w:val="center"/>
          </w:tcPr>
          <w:p w14:paraId="1005B2C4">
            <w:pPr>
              <w:adjustRightInd w:val="0"/>
              <w:snapToGrid w:val="0"/>
              <w:spacing w:line="360" w:lineRule="auto"/>
              <w:jc w:val="center"/>
              <w:rPr>
                <w:rFonts w:ascii="宋体" w:hAnsi="宋体" w:cs="宋体"/>
                <w:sz w:val="24"/>
                <w:highlight w:val="none"/>
              </w:rPr>
            </w:pPr>
            <w:r>
              <w:rPr>
                <w:rFonts w:hint="eastAsia" w:cs="宋体"/>
                <w:bCs/>
                <w:szCs w:val="21"/>
                <w:highlight w:val="none"/>
              </w:rPr>
              <w:t>质量进度保证措施</w:t>
            </w:r>
          </w:p>
        </w:tc>
        <w:tc>
          <w:tcPr>
            <w:tcW w:w="471" w:type="pct"/>
            <w:vAlign w:val="center"/>
          </w:tcPr>
          <w:p w14:paraId="3E8316A9">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5</w:t>
            </w:r>
          </w:p>
        </w:tc>
        <w:tc>
          <w:tcPr>
            <w:tcW w:w="2810" w:type="pct"/>
            <w:vAlign w:val="center"/>
          </w:tcPr>
          <w:p w14:paraId="43B16F4E">
            <w:pPr>
              <w:pStyle w:val="308"/>
              <w:jc w:val="both"/>
              <w:rPr>
                <w:rFonts w:cs="宋体"/>
                <w:spacing w:val="-1"/>
                <w:sz w:val="21"/>
                <w:szCs w:val="21"/>
                <w:highlight w:val="none"/>
              </w:rPr>
            </w:pPr>
            <w:r>
              <w:rPr>
                <w:rFonts w:hint="eastAsia" w:ascii="宋体" w:hAnsi="宋体" w:cs="宋体"/>
                <w:spacing w:val="-3"/>
                <w:sz w:val="21"/>
                <w:szCs w:val="21"/>
                <w:highlight w:val="none"/>
              </w:rPr>
              <w:t>根据投标人提供</w:t>
            </w:r>
            <w:r>
              <w:rPr>
                <w:rFonts w:ascii="宋体" w:hAnsi="宋体" w:cs="宋体"/>
                <w:spacing w:val="-3"/>
                <w:sz w:val="21"/>
                <w:szCs w:val="21"/>
                <w:highlight w:val="none"/>
              </w:rPr>
              <w:t>质量保证措</w:t>
            </w:r>
            <w:r>
              <w:rPr>
                <w:rFonts w:ascii="宋体" w:hAnsi="宋体" w:cs="宋体"/>
                <w:spacing w:val="-2"/>
                <w:sz w:val="21"/>
                <w:szCs w:val="21"/>
                <w:highlight w:val="none"/>
              </w:rPr>
              <w:t>施和手段是否科学、可靠</w:t>
            </w:r>
            <w:r>
              <w:rPr>
                <w:rFonts w:hint="eastAsia" w:cs="宋体"/>
                <w:bCs/>
                <w:sz w:val="21"/>
                <w:szCs w:val="21"/>
                <w:highlight w:val="none"/>
                <w:lang w:val="zh-CN"/>
              </w:rPr>
              <w:t>优；</w:t>
            </w:r>
            <w:r>
              <w:rPr>
                <w:rFonts w:ascii="宋体" w:hAnsi="宋体" w:cs="宋体"/>
                <w:spacing w:val="-1"/>
                <w:sz w:val="21"/>
                <w:szCs w:val="21"/>
                <w:highlight w:val="none"/>
              </w:rPr>
              <w:t>进度</w:t>
            </w:r>
            <w:r>
              <w:rPr>
                <w:rFonts w:hint="eastAsia" w:ascii="宋体" w:hAnsi="宋体" w:cs="宋体"/>
                <w:spacing w:val="-1"/>
                <w:sz w:val="21"/>
                <w:szCs w:val="21"/>
                <w:highlight w:val="none"/>
              </w:rPr>
              <w:t>计划及</w:t>
            </w:r>
            <w:r>
              <w:rPr>
                <w:rFonts w:ascii="宋体" w:hAnsi="宋体" w:cs="宋体"/>
                <w:spacing w:val="-1"/>
                <w:sz w:val="21"/>
                <w:szCs w:val="21"/>
                <w:highlight w:val="none"/>
              </w:rPr>
              <w:t>保证措施是否合理、科学</w:t>
            </w:r>
            <w:r>
              <w:rPr>
                <w:rFonts w:hint="eastAsia" w:cs="宋体"/>
                <w:spacing w:val="-1"/>
                <w:sz w:val="21"/>
                <w:szCs w:val="21"/>
                <w:highlight w:val="none"/>
              </w:rPr>
              <w:t>进行评分。</w:t>
            </w:r>
          </w:p>
          <w:p w14:paraId="54CA0A7D">
            <w:pPr>
              <w:pStyle w:val="308"/>
              <w:jc w:val="both"/>
              <w:rPr>
                <w:rFonts w:cs="宋体"/>
                <w:spacing w:val="-1"/>
                <w:sz w:val="21"/>
                <w:szCs w:val="21"/>
                <w:highlight w:val="none"/>
              </w:rPr>
            </w:pPr>
            <w:r>
              <w:rPr>
                <w:rFonts w:hint="eastAsia" w:ascii="宋体" w:hAnsi="宋体" w:cs="宋体"/>
                <w:spacing w:val="-3"/>
                <w:sz w:val="21"/>
                <w:szCs w:val="21"/>
                <w:highlight w:val="none"/>
              </w:rPr>
              <w:t>质</w:t>
            </w:r>
            <w:r>
              <w:rPr>
                <w:rFonts w:ascii="宋体" w:hAnsi="宋体" w:cs="宋体"/>
                <w:spacing w:val="-3"/>
                <w:sz w:val="21"/>
                <w:szCs w:val="21"/>
                <w:highlight w:val="none"/>
              </w:rPr>
              <w:t>量保证措</w:t>
            </w:r>
            <w:r>
              <w:rPr>
                <w:rFonts w:ascii="宋体" w:hAnsi="宋体" w:cs="宋体"/>
                <w:spacing w:val="-2"/>
                <w:sz w:val="21"/>
                <w:szCs w:val="21"/>
                <w:highlight w:val="none"/>
              </w:rPr>
              <w:t>施和手段科学、可靠</w:t>
            </w:r>
            <w:r>
              <w:rPr>
                <w:rFonts w:hint="eastAsia" w:ascii="宋体" w:hAnsi="宋体" w:cs="宋体"/>
                <w:spacing w:val="-2"/>
                <w:sz w:val="21"/>
                <w:szCs w:val="21"/>
                <w:highlight w:val="none"/>
              </w:rPr>
              <w:t>的</w:t>
            </w:r>
            <w:r>
              <w:rPr>
                <w:rFonts w:hint="eastAsia" w:cs="宋体"/>
                <w:bCs/>
                <w:sz w:val="21"/>
                <w:szCs w:val="21"/>
                <w:highlight w:val="none"/>
                <w:lang w:val="zh-CN"/>
              </w:rPr>
              <w:t>，</w:t>
            </w:r>
            <w:r>
              <w:rPr>
                <w:rFonts w:ascii="宋体" w:hAnsi="宋体" w:cs="宋体"/>
                <w:spacing w:val="-1"/>
                <w:sz w:val="21"/>
                <w:szCs w:val="21"/>
                <w:highlight w:val="none"/>
              </w:rPr>
              <w:t>进度</w:t>
            </w:r>
            <w:r>
              <w:rPr>
                <w:rFonts w:hint="eastAsia" w:ascii="宋体" w:hAnsi="宋体" w:cs="宋体"/>
                <w:spacing w:val="-1"/>
                <w:sz w:val="21"/>
                <w:szCs w:val="21"/>
                <w:highlight w:val="none"/>
              </w:rPr>
              <w:t>计划及</w:t>
            </w:r>
            <w:r>
              <w:rPr>
                <w:rFonts w:ascii="宋体" w:hAnsi="宋体" w:cs="宋体"/>
                <w:spacing w:val="-1"/>
                <w:sz w:val="21"/>
                <w:szCs w:val="21"/>
                <w:highlight w:val="none"/>
              </w:rPr>
              <w:t>保证措施合理、科学</w:t>
            </w:r>
            <w:r>
              <w:rPr>
                <w:rFonts w:hint="eastAsia" w:ascii="宋体" w:hAnsi="宋体" w:cs="宋体"/>
                <w:spacing w:val="-1"/>
                <w:sz w:val="21"/>
                <w:szCs w:val="21"/>
                <w:highlight w:val="none"/>
              </w:rPr>
              <w:t>的得5分；</w:t>
            </w:r>
          </w:p>
          <w:p w14:paraId="35DC745B">
            <w:pPr>
              <w:pStyle w:val="308"/>
              <w:jc w:val="both"/>
              <w:rPr>
                <w:rFonts w:ascii="宋体" w:hAnsi="宋体" w:cs="宋体"/>
                <w:spacing w:val="-1"/>
                <w:sz w:val="21"/>
                <w:szCs w:val="21"/>
                <w:highlight w:val="none"/>
              </w:rPr>
            </w:pPr>
            <w:r>
              <w:rPr>
                <w:rFonts w:hint="eastAsia" w:ascii="宋体" w:hAnsi="宋体" w:cs="宋体"/>
                <w:spacing w:val="-3"/>
                <w:sz w:val="21"/>
                <w:szCs w:val="21"/>
                <w:highlight w:val="none"/>
              </w:rPr>
              <w:t>质</w:t>
            </w:r>
            <w:r>
              <w:rPr>
                <w:rFonts w:ascii="宋体" w:hAnsi="宋体" w:cs="宋体"/>
                <w:spacing w:val="-3"/>
                <w:sz w:val="21"/>
                <w:szCs w:val="21"/>
                <w:highlight w:val="none"/>
              </w:rPr>
              <w:t>量保证措</w:t>
            </w:r>
            <w:r>
              <w:rPr>
                <w:rFonts w:ascii="宋体" w:hAnsi="宋体" w:cs="宋体"/>
                <w:spacing w:val="-2"/>
                <w:sz w:val="21"/>
                <w:szCs w:val="21"/>
                <w:highlight w:val="none"/>
              </w:rPr>
              <w:t>施和手段</w:t>
            </w:r>
            <w:r>
              <w:rPr>
                <w:rFonts w:hint="eastAsia" w:ascii="宋体" w:hAnsi="宋体" w:cs="宋体"/>
                <w:spacing w:val="-2"/>
                <w:sz w:val="21"/>
                <w:szCs w:val="21"/>
                <w:highlight w:val="none"/>
              </w:rPr>
              <w:t>较</w:t>
            </w:r>
            <w:r>
              <w:rPr>
                <w:rFonts w:ascii="宋体" w:hAnsi="宋体" w:cs="宋体"/>
                <w:spacing w:val="-2"/>
                <w:sz w:val="21"/>
                <w:szCs w:val="21"/>
                <w:highlight w:val="none"/>
              </w:rPr>
              <w:t>科学、</w:t>
            </w:r>
            <w:r>
              <w:rPr>
                <w:rFonts w:hint="eastAsia" w:ascii="宋体" w:hAnsi="宋体" w:cs="宋体"/>
                <w:spacing w:val="-2"/>
                <w:sz w:val="21"/>
                <w:szCs w:val="21"/>
                <w:highlight w:val="none"/>
              </w:rPr>
              <w:t>较</w:t>
            </w:r>
            <w:r>
              <w:rPr>
                <w:rFonts w:ascii="宋体" w:hAnsi="宋体" w:cs="宋体"/>
                <w:spacing w:val="-2"/>
                <w:sz w:val="21"/>
                <w:szCs w:val="21"/>
                <w:highlight w:val="none"/>
              </w:rPr>
              <w:t>可靠</w:t>
            </w:r>
            <w:r>
              <w:rPr>
                <w:rFonts w:hint="eastAsia" w:ascii="宋体" w:hAnsi="宋体" w:cs="宋体"/>
                <w:spacing w:val="-2"/>
                <w:sz w:val="21"/>
                <w:szCs w:val="21"/>
                <w:highlight w:val="none"/>
              </w:rPr>
              <w:t>的</w:t>
            </w:r>
            <w:r>
              <w:rPr>
                <w:rFonts w:hint="eastAsia" w:cs="宋体"/>
                <w:bCs/>
                <w:sz w:val="21"/>
                <w:szCs w:val="21"/>
                <w:highlight w:val="none"/>
                <w:lang w:val="zh-CN"/>
              </w:rPr>
              <w:t>，</w:t>
            </w:r>
            <w:r>
              <w:rPr>
                <w:rFonts w:ascii="宋体" w:hAnsi="宋体" w:cs="宋体"/>
                <w:spacing w:val="-1"/>
                <w:sz w:val="21"/>
                <w:szCs w:val="21"/>
                <w:highlight w:val="none"/>
              </w:rPr>
              <w:t>进度</w:t>
            </w:r>
            <w:r>
              <w:rPr>
                <w:rFonts w:hint="eastAsia" w:ascii="宋体" w:hAnsi="宋体" w:cs="宋体"/>
                <w:spacing w:val="-1"/>
                <w:sz w:val="21"/>
                <w:szCs w:val="21"/>
                <w:highlight w:val="none"/>
              </w:rPr>
              <w:t>计划及</w:t>
            </w:r>
            <w:r>
              <w:rPr>
                <w:rFonts w:ascii="宋体" w:hAnsi="宋体" w:cs="宋体"/>
                <w:spacing w:val="-1"/>
                <w:sz w:val="21"/>
                <w:szCs w:val="21"/>
                <w:highlight w:val="none"/>
              </w:rPr>
              <w:t>保证措施</w:t>
            </w:r>
            <w:r>
              <w:rPr>
                <w:rFonts w:hint="eastAsia" w:ascii="宋体" w:hAnsi="宋体" w:cs="宋体"/>
                <w:spacing w:val="-1"/>
                <w:sz w:val="21"/>
                <w:szCs w:val="21"/>
                <w:highlight w:val="none"/>
              </w:rPr>
              <w:t>较</w:t>
            </w:r>
            <w:r>
              <w:rPr>
                <w:rFonts w:ascii="宋体" w:hAnsi="宋体" w:cs="宋体"/>
                <w:spacing w:val="-1"/>
                <w:sz w:val="21"/>
                <w:szCs w:val="21"/>
                <w:highlight w:val="none"/>
              </w:rPr>
              <w:t>合理、</w:t>
            </w:r>
            <w:r>
              <w:rPr>
                <w:rFonts w:hint="eastAsia" w:ascii="宋体" w:hAnsi="宋体" w:cs="宋体"/>
                <w:spacing w:val="-1"/>
                <w:sz w:val="21"/>
                <w:szCs w:val="21"/>
                <w:highlight w:val="none"/>
              </w:rPr>
              <w:t>较</w:t>
            </w:r>
            <w:r>
              <w:rPr>
                <w:rFonts w:ascii="宋体" w:hAnsi="宋体" w:cs="宋体"/>
                <w:spacing w:val="-1"/>
                <w:sz w:val="21"/>
                <w:szCs w:val="21"/>
                <w:highlight w:val="none"/>
              </w:rPr>
              <w:t>科学</w:t>
            </w:r>
            <w:r>
              <w:rPr>
                <w:rFonts w:hint="eastAsia" w:ascii="宋体" w:hAnsi="宋体" w:cs="宋体"/>
                <w:spacing w:val="-1"/>
                <w:sz w:val="21"/>
                <w:szCs w:val="21"/>
                <w:highlight w:val="none"/>
              </w:rPr>
              <w:t>的得3分；</w:t>
            </w:r>
          </w:p>
          <w:p w14:paraId="096D44FC">
            <w:pPr>
              <w:pStyle w:val="308"/>
              <w:jc w:val="both"/>
              <w:rPr>
                <w:rFonts w:ascii="宋体" w:hAnsi="宋体" w:cs="宋体"/>
                <w:spacing w:val="-1"/>
                <w:sz w:val="21"/>
                <w:szCs w:val="21"/>
                <w:highlight w:val="none"/>
              </w:rPr>
            </w:pPr>
            <w:r>
              <w:rPr>
                <w:rFonts w:hint="eastAsia" w:ascii="宋体" w:hAnsi="宋体" w:cs="宋体"/>
                <w:spacing w:val="-1"/>
                <w:sz w:val="21"/>
                <w:szCs w:val="21"/>
                <w:highlight w:val="none"/>
              </w:rPr>
              <w:t>质</w:t>
            </w:r>
            <w:r>
              <w:rPr>
                <w:rFonts w:ascii="宋体" w:hAnsi="宋体" w:cs="宋体"/>
                <w:spacing w:val="-1"/>
                <w:sz w:val="21"/>
                <w:szCs w:val="21"/>
                <w:highlight w:val="none"/>
              </w:rPr>
              <w:t>量保证措施和手段</w:t>
            </w:r>
            <w:r>
              <w:rPr>
                <w:rFonts w:hint="eastAsia" w:ascii="宋体" w:hAnsi="宋体" w:cs="宋体"/>
                <w:spacing w:val="-1"/>
                <w:sz w:val="21"/>
                <w:szCs w:val="21"/>
                <w:highlight w:val="none"/>
              </w:rPr>
              <w:t>基本</w:t>
            </w:r>
            <w:r>
              <w:rPr>
                <w:rFonts w:ascii="宋体" w:hAnsi="宋体" w:cs="宋体"/>
                <w:spacing w:val="-1"/>
                <w:sz w:val="21"/>
                <w:szCs w:val="21"/>
                <w:highlight w:val="none"/>
              </w:rPr>
              <w:t>可靠</w:t>
            </w:r>
            <w:r>
              <w:rPr>
                <w:rFonts w:hint="eastAsia" w:ascii="宋体" w:hAnsi="宋体" w:cs="宋体"/>
                <w:spacing w:val="-1"/>
                <w:sz w:val="21"/>
                <w:szCs w:val="21"/>
                <w:highlight w:val="none"/>
              </w:rPr>
              <w:t>的</w:t>
            </w:r>
            <w:r>
              <w:rPr>
                <w:rFonts w:hint="eastAsia" w:ascii="宋体" w:hAnsi="宋体" w:cs="宋体"/>
                <w:spacing w:val="-1"/>
                <w:sz w:val="21"/>
                <w:szCs w:val="21"/>
                <w:highlight w:val="none"/>
                <w:lang w:val="zh-CN"/>
              </w:rPr>
              <w:t>，</w:t>
            </w:r>
            <w:r>
              <w:rPr>
                <w:rFonts w:ascii="宋体" w:hAnsi="宋体" w:cs="宋体"/>
                <w:spacing w:val="-1"/>
                <w:sz w:val="21"/>
                <w:szCs w:val="21"/>
                <w:highlight w:val="none"/>
              </w:rPr>
              <w:t>进度</w:t>
            </w:r>
            <w:r>
              <w:rPr>
                <w:rFonts w:hint="eastAsia" w:ascii="宋体" w:hAnsi="宋体" w:cs="宋体"/>
                <w:spacing w:val="-1"/>
                <w:sz w:val="21"/>
                <w:szCs w:val="21"/>
                <w:highlight w:val="none"/>
              </w:rPr>
              <w:t>计划及</w:t>
            </w:r>
            <w:r>
              <w:rPr>
                <w:rFonts w:ascii="宋体" w:hAnsi="宋体" w:cs="宋体"/>
                <w:spacing w:val="-1"/>
                <w:sz w:val="21"/>
                <w:szCs w:val="21"/>
                <w:highlight w:val="none"/>
              </w:rPr>
              <w:t>保证措施</w:t>
            </w:r>
            <w:r>
              <w:rPr>
                <w:rFonts w:hint="eastAsia" w:ascii="宋体" w:hAnsi="宋体" w:cs="宋体"/>
                <w:spacing w:val="-1"/>
                <w:sz w:val="21"/>
                <w:szCs w:val="21"/>
                <w:highlight w:val="none"/>
              </w:rPr>
              <w:t>基本</w:t>
            </w:r>
            <w:r>
              <w:rPr>
                <w:rFonts w:ascii="宋体" w:hAnsi="宋体" w:cs="宋体"/>
                <w:spacing w:val="-1"/>
                <w:sz w:val="21"/>
                <w:szCs w:val="21"/>
                <w:highlight w:val="none"/>
              </w:rPr>
              <w:t>合理</w:t>
            </w:r>
            <w:r>
              <w:rPr>
                <w:rFonts w:hint="eastAsia" w:ascii="宋体" w:hAnsi="宋体" w:cs="宋体"/>
                <w:spacing w:val="-1"/>
                <w:sz w:val="21"/>
                <w:szCs w:val="21"/>
                <w:highlight w:val="none"/>
              </w:rPr>
              <w:t>的得1分；</w:t>
            </w:r>
          </w:p>
          <w:p w14:paraId="0D161DCF">
            <w:pPr>
              <w:pStyle w:val="308"/>
              <w:jc w:val="both"/>
              <w:rPr>
                <w:rFonts w:ascii="宋体" w:hAnsi="宋体" w:cs="宋体"/>
                <w:sz w:val="24"/>
                <w:szCs w:val="24"/>
                <w:highlight w:val="none"/>
              </w:rPr>
            </w:pPr>
            <w:r>
              <w:rPr>
                <w:rFonts w:hint="eastAsia" w:ascii="宋体" w:hAnsi="宋体" w:cs="宋体"/>
                <w:spacing w:val="-1"/>
                <w:sz w:val="21"/>
                <w:szCs w:val="21"/>
                <w:highlight w:val="none"/>
              </w:rPr>
              <w:t>未提供不得分。</w:t>
            </w:r>
          </w:p>
        </w:tc>
      </w:tr>
      <w:tr w14:paraId="040B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pct"/>
            <w:shd w:val="clear" w:color="auto" w:fill="auto"/>
            <w:vAlign w:val="center"/>
          </w:tcPr>
          <w:p w14:paraId="1E89E03F">
            <w:pPr>
              <w:widowControl/>
              <w:spacing w:line="320" w:lineRule="exact"/>
              <w:jc w:val="center"/>
              <w:rPr>
                <w:rFonts w:ascii="宋体" w:hAnsi="宋体" w:cs="宋体"/>
                <w:color w:val="000000"/>
                <w:spacing w:val="-6"/>
                <w:szCs w:val="21"/>
                <w:highlight w:val="none"/>
                <w:shd w:val="clear" w:color="auto" w:fill="FFFFFF"/>
              </w:rPr>
            </w:pPr>
            <w:r>
              <w:rPr>
                <w:rFonts w:hint="eastAsia" w:ascii="宋体" w:hAnsi="宋体" w:cs="宋体"/>
                <w:color w:val="000000"/>
                <w:spacing w:val="-6"/>
                <w:szCs w:val="21"/>
                <w:highlight w:val="none"/>
                <w:shd w:val="clear" w:color="auto" w:fill="FFFFFF"/>
              </w:rPr>
              <w:t>7</w:t>
            </w:r>
          </w:p>
        </w:tc>
        <w:tc>
          <w:tcPr>
            <w:tcW w:w="1116" w:type="pct"/>
            <w:shd w:val="clear" w:color="auto" w:fill="auto"/>
            <w:vAlign w:val="center"/>
          </w:tcPr>
          <w:p w14:paraId="68812F69">
            <w:pPr>
              <w:adjustRightInd w:val="0"/>
              <w:snapToGrid w:val="0"/>
              <w:spacing w:line="360" w:lineRule="auto"/>
              <w:jc w:val="center"/>
              <w:rPr>
                <w:rFonts w:ascii="宋体" w:hAnsi="宋体" w:cs="宋体"/>
                <w:sz w:val="24"/>
                <w:highlight w:val="none"/>
              </w:rPr>
            </w:pPr>
            <w:r>
              <w:rPr>
                <w:rFonts w:hint="eastAsia" w:cs="宋体"/>
                <w:szCs w:val="21"/>
                <w:highlight w:val="none"/>
              </w:rPr>
              <w:t>资源投入</w:t>
            </w:r>
          </w:p>
        </w:tc>
        <w:tc>
          <w:tcPr>
            <w:tcW w:w="471" w:type="pct"/>
            <w:vAlign w:val="center"/>
          </w:tcPr>
          <w:p w14:paraId="5D737BA2">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5</w:t>
            </w:r>
          </w:p>
        </w:tc>
        <w:tc>
          <w:tcPr>
            <w:tcW w:w="2810" w:type="pct"/>
            <w:shd w:val="clear" w:color="auto" w:fill="auto"/>
            <w:vAlign w:val="center"/>
          </w:tcPr>
          <w:p w14:paraId="568332D3">
            <w:pPr>
              <w:pStyle w:val="308"/>
              <w:jc w:val="both"/>
              <w:rPr>
                <w:rFonts w:cs="宋体"/>
                <w:spacing w:val="-1"/>
                <w:sz w:val="21"/>
                <w:szCs w:val="21"/>
                <w:highlight w:val="none"/>
              </w:rPr>
            </w:pPr>
            <w:r>
              <w:rPr>
                <w:rFonts w:hint="eastAsia" w:ascii="宋体" w:hAnsi="宋体" w:cs="宋体"/>
                <w:spacing w:val="-1"/>
                <w:sz w:val="21"/>
                <w:szCs w:val="21"/>
                <w:highlight w:val="none"/>
              </w:rPr>
              <w:t>根据投标人提供项目团队</w:t>
            </w:r>
            <w:r>
              <w:rPr>
                <w:rFonts w:ascii="宋体" w:hAnsi="宋体" w:cs="宋体"/>
                <w:spacing w:val="-1"/>
                <w:sz w:val="21"/>
                <w:szCs w:val="21"/>
                <w:highlight w:val="none"/>
              </w:rPr>
              <w:t>的组织分工是否明确，</w:t>
            </w:r>
            <w:r>
              <w:rPr>
                <w:rFonts w:ascii="宋体" w:hAnsi="宋体" w:cs="宋体"/>
                <w:spacing w:val="-4"/>
                <w:sz w:val="21"/>
                <w:szCs w:val="21"/>
                <w:highlight w:val="none"/>
              </w:rPr>
              <w:t>服务力量的投入、专业配置是否能满足本项目的需要，</w:t>
            </w:r>
            <w:r>
              <w:rPr>
                <w:rFonts w:ascii="宋体" w:hAnsi="宋体" w:cs="宋体"/>
                <w:spacing w:val="-1"/>
                <w:sz w:val="21"/>
                <w:szCs w:val="21"/>
                <w:highlight w:val="none"/>
              </w:rPr>
              <w:t>测试仪器和工具是否满足</w:t>
            </w:r>
            <w:r>
              <w:rPr>
                <w:rFonts w:hint="eastAsia" w:ascii="宋体" w:hAnsi="宋体" w:cs="宋体"/>
                <w:spacing w:val="-1"/>
                <w:sz w:val="21"/>
                <w:szCs w:val="21"/>
                <w:highlight w:val="none"/>
              </w:rPr>
              <w:t>项目的</w:t>
            </w:r>
            <w:r>
              <w:rPr>
                <w:rFonts w:ascii="宋体" w:hAnsi="宋体" w:cs="宋体"/>
                <w:spacing w:val="-1"/>
                <w:sz w:val="21"/>
                <w:szCs w:val="21"/>
                <w:highlight w:val="none"/>
              </w:rPr>
              <w:t>工作要求</w:t>
            </w:r>
            <w:r>
              <w:rPr>
                <w:rFonts w:hint="eastAsia" w:cs="宋体"/>
                <w:spacing w:val="-1"/>
                <w:sz w:val="21"/>
                <w:szCs w:val="21"/>
                <w:highlight w:val="none"/>
              </w:rPr>
              <w:t>进行评分。</w:t>
            </w:r>
          </w:p>
          <w:p w14:paraId="05E64B31">
            <w:pPr>
              <w:pStyle w:val="308"/>
              <w:jc w:val="both"/>
              <w:rPr>
                <w:rFonts w:cs="宋体"/>
                <w:spacing w:val="-1"/>
                <w:sz w:val="21"/>
                <w:szCs w:val="21"/>
                <w:highlight w:val="none"/>
              </w:rPr>
            </w:pPr>
            <w:r>
              <w:rPr>
                <w:rFonts w:hint="eastAsia" w:ascii="宋体" w:hAnsi="宋体" w:cs="宋体"/>
                <w:spacing w:val="-1"/>
                <w:sz w:val="21"/>
                <w:szCs w:val="21"/>
                <w:highlight w:val="none"/>
              </w:rPr>
              <w:t>项目团队</w:t>
            </w:r>
            <w:r>
              <w:rPr>
                <w:rFonts w:ascii="宋体" w:hAnsi="宋体" w:cs="宋体"/>
                <w:spacing w:val="-1"/>
                <w:sz w:val="21"/>
                <w:szCs w:val="21"/>
                <w:highlight w:val="none"/>
              </w:rPr>
              <w:t>的组织分工明确，</w:t>
            </w:r>
            <w:r>
              <w:rPr>
                <w:rFonts w:ascii="宋体" w:hAnsi="宋体" w:cs="宋体"/>
                <w:spacing w:val="-4"/>
                <w:sz w:val="21"/>
                <w:szCs w:val="21"/>
                <w:highlight w:val="none"/>
              </w:rPr>
              <w:t>服务力量的投入、专业配置满足本项目的需要，</w:t>
            </w:r>
            <w:r>
              <w:rPr>
                <w:rFonts w:ascii="宋体" w:hAnsi="宋体" w:cs="宋体"/>
                <w:spacing w:val="-1"/>
                <w:sz w:val="21"/>
                <w:szCs w:val="21"/>
                <w:highlight w:val="none"/>
              </w:rPr>
              <w:t>测试仪器和工具满足</w:t>
            </w:r>
            <w:r>
              <w:rPr>
                <w:rFonts w:hint="eastAsia" w:ascii="宋体" w:hAnsi="宋体" w:cs="宋体"/>
                <w:spacing w:val="-1"/>
                <w:sz w:val="21"/>
                <w:szCs w:val="21"/>
                <w:highlight w:val="none"/>
              </w:rPr>
              <w:t>项目的</w:t>
            </w:r>
            <w:r>
              <w:rPr>
                <w:rFonts w:ascii="宋体" w:hAnsi="宋体" w:cs="宋体"/>
                <w:spacing w:val="-1"/>
                <w:sz w:val="21"/>
                <w:szCs w:val="21"/>
                <w:highlight w:val="none"/>
              </w:rPr>
              <w:t>工作要求</w:t>
            </w:r>
            <w:r>
              <w:rPr>
                <w:rFonts w:hint="eastAsia" w:ascii="宋体" w:hAnsi="宋体" w:cs="宋体"/>
                <w:spacing w:val="-1"/>
                <w:sz w:val="21"/>
                <w:szCs w:val="21"/>
                <w:highlight w:val="none"/>
              </w:rPr>
              <w:t>的得5分；</w:t>
            </w:r>
          </w:p>
          <w:p w14:paraId="5E163FBC">
            <w:pPr>
              <w:pStyle w:val="308"/>
              <w:jc w:val="both"/>
              <w:rPr>
                <w:rFonts w:cs="宋体"/>
                <w:spacing w:val="-1"/>
                <w:sz w:val="21"/>
                <w:szCs w:val="21"/>
                <w:highlight w:val="none"/>
              </w:rPr>
            </w:pPr>
            <w:r>
              <w:rPr>
                <w:rFonts w:hint="eastAsia" w:ascii="宋体" w:hAnsi="宋体" w:cs="宋体"/>
                <w:spacing w:val="-1"/>
                <w:sz w:val="21"/>
                <w:szCs w:val="21"/>
                <w:highlight w:val="none"/>
              </w:rPr>
              <w:t>项目团队</w:t>
            </w:r>
            <w:r>
              <w:rPr>
                <w:rFonts w:ascii="宋体" w:hAnsi="宋体" w:cs="宋体"/>
                <w:spacing w:val="-1"/>
                <w:sz w:val="21"/>
                <w:szCs w:val="21"/>
                <w:highlight w:val="none"/>
              </w:rPr>
              <w:t>的组织分工</w:t>
            </w:r>
            <w:r>
              <w:rPr>
                <w:rFonts w:hint="eastAsia" w:ascii="宋体" w:hAnsi="宋体" w:cs="宋体"/>
                <w:spacing w:val="-1"/>
                <w:sz w:val="21"/>
                <w:szCs w:val="21"/>
                <w:highlight w:val="none"/>
              </w:rPr>
              <w:t>较</w:t>
            </w:r>
            <w:r>
              <w:rPr>
                <w:rFonts w:ascii="宋体" w:hAnsi="宋体" w:cs="宋体"/>
                <w:spacing w:val="-1"/>
                <w:sz w:val="21"/>
                <w:szCs w:val="21"/>
                <w:highlight w:val="none"/>
              </w:rPr>
              <w:t>明确，</w:t>
            </w:r>
            <w:r>
              <w:rPr>
                <w:rFonts w:ascii="宋体" w:hAnsi="宋体" w:cs="宋体"/>
                <w:spacing w:val="-4"/>
                <w:sz w:val="21"/>
                <w:szCs w:val="21"/>
                <w:highlight w:val="none"/>
              </w:rPr>
              <w:t>服务力量的投入、专业配置</w:t>
            </w:r>
            <w:r>
              <w:rPr>
                <w:rFonts w:hint="eastAsia" w:ascii="宋体" w:hAnsi="宋体" w:cs="宋体"/>
                <w:spacing w:val="-4"/>
                <w:sz w:val="21"/>
                <w:szCs w:val="21"/>
                <w:highlight w:val="none"/>
              </w:rPr>
              <w:t>基本</w:t>
            </w:r>
            <w:r>
              <w:rPr>
                <w:rFonts w:ascii="宋体" w:hAnsi="宋体" w:cs="宋体"/>
                <w:spacing w:val="-4"/>
                <w:sz w:val="21"/>
                <w:szCs w:val="21"/>
                <w:highlight w:val="none"/>
              </w:rPr>
              <w:t>满足本项目的需要，</w:t>
            </w:r>
            <w:r>
              <w:rPr>
                <w:rFonts w:ascii="宋体" w:hAnsi="宋体" w:cs="宋体"/>
                <w:spacing w:val="-1"/>
                <w:sz w:val="21"/>
                <w:szCs w:val="21"/>
                <w:highlight w:val="none"/>
              </w:rPr>
              <w:t>测试仪器和工具</w:t>
            </w:r>
            <w:r>
              <w:rPr>
                <w:rFonts w:hint="eastAsia" w:ascii="宋体" w:hAnsi="宋体" w:cs="宋体"/>
                <w:spacing w:val="-1"/>
                <w:sz w:val="21"/>
                <w:szCs w:val="21"/>
                <w:highlight w:val="none"/>
              </w:rPr>
              <w:t>基本</w:t>
            </w:r>
            <w:r>
              <w:rPr>
                <w:rFonts w:ascii="宋体" w:hAnsi="宋体" w:cs="宋体"/>
                <w:spacing w:val="-1"/>
                <w:sz w:val="21"/>
                <w:szCs w:val="21"/>
                <w:highlight w:val="none"/>
              </w:rPr>
              <w:t>满足</w:t>
            </w:r>
            <w:r>
              <w:rPr>
                <w:rFonts w:hint="eastAsia" w:ascii="宋体" w:hAnsi="宋体" w:cs="宋体"/>
                <w:spacing w:val="-1"/>
                <w:sz w:val="21"/>
                <w:szCs w:val="21"/>
                <w:highlight w:val="none"/>
              </w:rPr>
              <w:t>项目的</w:t>
            </w:r>
            <w:r>
              <w:rPr>
                <w:rFonts w:ascii="宋体" w:hAnsi="宋体" w:cs="宋体"/>
                <w:spacing w:val="-1"/>
                <w:sz w:val="21"/>
                <w:szCs w:val="21"/>
                <w:highlight w:val="none"/>
              </w:rPr>
              <w:t>工作要求</w:t>
            </w:r>
            <w:r>
              <w:rPr>
                <w:rFonts w:hint="eastAsia" w:ascii="宋体" w:hAnsi="宋体" w:cs="宋体"/>
                <w:spacing w:val="-1"/>
                <w:sz w:val="21"/>
                <w:szCs w:val="21"/>
                <w:highlight w:val="none"/>
              </w:rPr>
              <w:t>的得3分；</w:t>
            </w:r>
          </w:p>
          <w:p w14:paraId="35F07C65">
            <w:pPr>
              <w:pStyle w:val="308"/>
              <w:jc w:val="both"/>
              <w:rPr>
                <w:rFonts w:ascii="宋体" w:hAnsi="宋体" w:cs="宋体"/>
                <w:spacing w:val="-4"/>
                <w:sz w:val="21"/>
                <w:szCs w:val="21"/>
                <w:highlight w:val="none"/>
              </w:rPr>
            </w:pPr>
            <w:r>
              <w:rPr>
                <w:rFonts w:hint="eastAsia" w:ascii="宋体" w:hAnsi="宋体" w:cs="宋体"/>
                <w:spacing w:val="-1"/>
                <w:sz w:val="21"/>
                <w:szCs w:val="21"/>
                <w:highlight w:val="none"/>
              </w:rPr>
              <w:t>项目团队</w:t>
            </w:r>
            <w:r>
              <w:rPr>
                <w:rFonts w:ascii="宋体" w:hAnsi="宋体" w:cs="宋体"/>
                <w:spacing w:val="-1"/>
                <w:sz w:val="21"/>
                <w:szCs w:val="21"/>
                <w:highlight w:val="none"/>
              </w:rPr>
              <w:t>的组织分工</w:t>
            </w:r>
            <w:r>
              <w:rPr>
                <w:rFonts w:hint="eastAsia" w:ascii="宋体" w:hAnsi="宋体" w:cs="宋体"/>
                <w:spacing w:val="-1"/>
                <w:sz w:val="21"/>
                <w:szCs w:val="21"/>
                <w:highlight w:val="none"/>
              </w:rPr>
              <w:t>基本</w:t>
            </w:r>
            <w:r>
              <w:rPr>
                <w:rFonts w:ascii="宋体" w:hAnsi="宋体" w:cs="宋体"/>
                <w:spacing w:val="-1"/>
                <w:sz w:val="21"/>
                <w:szCs w:val="21"/>
                <w:highlight w:val="none"/>
              </w:rPr>
              <w:t>明确，</w:t>
            </w:r>
            <w:r>
              <w:rPr>
                <w:rFonts w:ascii="宋体" w:hAnsi="宋体" w:cs="宋体"/>
                <w:spacing w:val="-4"/>
                <w:sz w:val="21"/>
                <w:szCs w:val="21"/>
                <w:highlight w:val="none"/>
              </w:rPr>
              <w:t>服务力量的投入、专业配置</w:t>
            </w:r>
            <w:r>
              <w:rPr>
                <w:rFonts w:hint="eastAsia" w:ascii="宋体" w:hAnsi="宋体" w:cs="宋体"/>
                <w:spacing w:val="-4"/>
                <w:sz w:val="21"/>
                <w:szCs w:val="21"/>
                <w:highlight w:val="none"/>
              </w:rPr>
              <w:t>不</w:t>
            </w:r>
            <w:r>
              <w:rPr>
                <w:rFonts w:ascii="宋体" w:hAnsi="宋体" w:cs="宋体"/>
                <w:spacing w:val="-4"/>
                <w:sz w:val="21"/>
                <w:szCs w:val="21"/>
                <w:highlight w:val="none"/>
              </w:rPr>
              <w:t>满足本项目的需要，</w:t>
            </w:r>
            <w:r>
              <w:rPr>
                <w:rFonts w:ascii="宋体" w:hAnsi="宋体" w:cs="宋体"/>
                <w:spacing w:val="-1"/>
                <w:sz w:val="21"/>
                <w:szCs w:val="21"/>
                <w:highlight w:val="none"/>
              </w:rPr>
              <w:t>测试仪器和工具</w:t>
            </w:r>
            <w:r>
              <w:rPr>
                <w:rFonts w:hint="eastAsia" w:ascii="宋体" w:hAnsi="宋体" w:cs="宋体"/>
                <w:spacing w:val="-1"/>
                <w:sz w:val="21"/>
                <w:szCs w:val="21"/>
                <w:highlight w:val="none"/>
              </w:rPr>
              <w:t>不</w:t>
            </w:r>
            <w:r>
              <w:rPr>
                <w:rFonts w:ascii="宋体" w:hAnsi="宋体" w:cs="宋体"/>
                <w:spacing w:val="-1"/>
                <w:sz w:val="21"/>
                <w:szCs w:val="21"/>
                <w:highlight w:val="none"/>
              </w:rPr>
              <w:t>满足</w:t>
            </w:r>
            <w:r>
              <w:rPr>
                <w:rFonts w:hint="eastAsia" w:ascii="宋体" w:hAnsi="宋体" w:cs="宋体"/>
                <w:spacing w:val="-1"/>
                <w:sz w:val="21"/>
                <w:szCs w:val="21"/>
                <w:highlight w:val="none"/>
              </w:rPr>
              <w:t>项目的</w:t>
            </w:r>
            <w:r>
              <w:rPr>
                <w:rFonts w:ascii="宋体" w:hAnsi="宋体" w:cs="宋体"/>
                <w:spacing w:val="-1"/>
                <w:sz w:val="21"/>
                <w:szCs w:val="21"/>
                <w:highlight w:val="none"/>
              </w:rPr>
              <w:t>工作要求</w:t>
            </w:r>
            <w:r>
              <w:rPr>
                <w:rFonts w:hint="eastAsia" w:ascii="宋体" w:hAnsi="宋体" w:cs="宋体"/>
                <w:spacing w:val="-1"/>
                <w:sz w:val="21"/>
                <w:szCs w:val="21"/>
                <w:highlight w:val="none"/>
              </w:rPr>
              <w:t>的得1分；</w:t>
            </w:r>
          </w:p>
          <w:p w14:paraId="32602E14">
            <w:pPr>
              <w:pStyle w:val="308"/>
              <w:jc w:val="both"/>
              <w:rPr>
                <w:rFonts w:ascii="宋体" w:hAnsi="宋体" w:cs="宋体"/>
                <w:sz w:val="24"/>
                <w:szCs w:val="24"/>
                <w:highlight w:val="none"/>
              </w:rPr>
            </w:pPr>
            <w:r>
              <w:rPr>
                <w:rFonts w:hint="eastAsia" w:ascii="宋体" w:hAnsi="宋体" w:cs="宋体"/>
                <w:spacing w:val="-4"/>
                <w:sz w:val="21"/>
                <w:szCs w:val="21"/>
                <w:highlight w:val="none"/>
              </w:rPr>
              <w:t>未提供不得分。</w:t>
            </w:r>
          </w:p>
        </w:tc>
      </w:tr>
    </w:tbl>
    <w:p w14:paraId="27BE35F0">
      <w:pPr>
        <w:spacing w:line="500" w:lineRule="exact"/>
        <w:jc w:val="center"/>
        <w:outlineLvl w:val="0"/>
        <w:rPr>
          <w:rFonts w:ascii="宋体" w:hAnsi="宋体" w:cs="宋体"/>
          <w:bCs/>
          <w:sz w:val="36"/>
          <w:szCs w:val="36"/>
          <w:highlight w:val="none"/>
        </w:rPr>
      </w:pPr>
      <w:bookmarkStart w:id="111" w:name="_GoBack"/>
      <w:bookmarkEnd w:id="111"/>
      <w:r>
        <w:rPr>
          <w:rFonts w:hint="eastAsia" w:ascii="宋体" w:hAnsi="宋体" w:cs="宋体"/>
          <w:b/>
          <w:sz w:val="36"/>
          <w:szCs w:val="36"/>
          <w:highlight w:val="none"/>
        </w:rPr>
        <w:br w:type="page" w:clear="all"/>
      </w:r>
      <w:r>
        <w:rPr>
          <w:rFonts w:hint="eastAsia" w:ascii="宋体" w:hAnsi="宋体" w:cs="宋体"/>
          <w:bCs/>
          <w:sz w:val="36"/>
          <w:szCs w:val="36"/>
          <w:highlight w:val="none"/>
        </w:rPr>
        <w:t>第五部分  合同格式</w:t>
      </w:r>
    </w:p>
    <w:p w14:paraId="42885E14">
      <w:pPr>
        <w:spacing w:after="60" w:line="360" w:lineRule="auto"/>
        <w:rPr>
          <w:rFonts w:ascii="宋体" w:hAnsi="宋体" w:cs="宋体"/>
          <w:szCs w:val="21"/>
          <w:highlight w:val="none"/>
        </w:rPr>
      </w:pPr>
      <w:bookmarkStart w:id="106" w:name="_Toc513029243"/>
      <w:bookmarkStart w:id="107" w:name="_Toc20823315"/>
      <w:bookmarkStart w:id="108" w:name="_Toc16938559"/>
      <w:bookmarkStart w:id="109" w:name="_Toc5321_WPSOffice_Level2"/>
      <w:bookmarkStart w:id="110" w:name="_Toc14707"/>
    </w:p>
    <w:p w14:paraId="5F98EDD6">
      <w:pPr>
        <w:spacing w:after="60" w:line="360" w:lineRule="auto"/>
        <w:jc w:val="center"/>
        <w:rPr>
          <w:rFonts w:ascii="宋体" w:hAnsi="宋体" w:cs="宋体"/>
          <w:sz w:val="24"/>
          <w:highlight w:val="none"/>
        </w:rPr>
      </w:pPr>
      <w:r>
        <w:rPr>
          <w:rFonts w:hint="eastAsia" w:ascii="宋体" w:hAnsi="宋体" w:cs="宋体"/>
          <w:sz w:val="24"/>
          <w:highlight w:val="none"/>
        </w:rPr>
        <w:t>以下为中标后签订本项目合同的通用条款，中标人不得提出实质性的修改。</w:t>
      </w:r>
      <w:bookmarkEnd w:id="106"/>
      <w:bookmarkEnd w:id="107"/>
      <w:bookmarkEnd w:id="108"/>
    </w:p>
    <w:p w14:paraId="298F3D5C">
      <w:pPr>
        <w:snapToGrid w:val="0"/>
        <w:spacing w:before="120" w:beforeLines="50" w:after="120" w:afterLines="50"/>
        <w:jc w:val="center"/>
        <w:outlineLvl w:val="0"/>
        <w:rPr>
          <w:rFonts w:ascii="宋体" w:hAnsi="宋体" w:cs="宋体"/>
          <w:b/>
          <w:bCs/>
          <w:sz w:val="30"/>
          <w:szCs w:val="20"/>
          <w:highlight w:val="none"/>
        </w:rPr>
      </w:pPr>
      <w:r>
        <w:rPr>
          <w:rFonts w:hint="eastAsia" w:ascii="宋体" w:hAnsi="宋体" w:cs="宋体"/>
          <w:b/>
          <w:sz w:val="30"/>
          <w:szCs w:val="21"/>
          <w:highlight w:val="none"/>
        </w:rPr>
        <w:t>南通市政府采购合同（合同编号）</w:t>
      </w:r>
    </w:p>
    <w:p w14:paraId="7FF6261C">
      <w:pPr>
        <w:adjustRightInd w:val="0"/>
        <w:snapToGrid w:val="0"/>
        <w:spacing w:line="360" w:lineRule="auto"/>
        <w:jc w:val="left"/>
        <w:rPr>
          <w:rFonts w:ascii="宋体" w:hAnsi="宋体" w:cs="宋体"/>
          <w:sz w:val="24"/>
          <w:highlight w:val="none"/>
        </w:rPr>
      </w:pPr>
      <w:r>
        <w:rPr>
          <w:rFonts w:hint="eastAsia" w:ascii="宋体" w:hAnsi="宋体" w:cs="宋体"/>
          <w:sz w:val="24"/>
          <w:highlight w:val="none"/>
        </w:rPr>
        <w:t>项目名称：2026年南通城市轨道交通运营第三方安全监管项目</w:t>
      </w:r>
    </w:p>
    <w:p w14:paraId="0C5A5BEE">
      <w:pPr>
        <w:adjustRightInd w:val="0"/>
        <w:snapToGrid w:val="0"/>
        <w:spacing w:line="360" w:lineRule="auto"/>
        <w:jc w:val="left"/>
        <w:rPr>
          <w:rFonts w:ascii="宋体" w:hAnsi="宋体" w:cs="宋体"/>
          <w:sz w:val="24"/>
          <w:highlight w:val="none"/>
        </w:rPr>
      </w:pPr>
      <w:r>
        <w:rPr>
          <w:rFonts w:hint="eastAsia" w:ascii="宋体" w:hAnsi="宋体" w:cs="宋体"/>
          <w:sz w:val="24"/>
          <w:highlight w:val="none"/>
        </w:rPr>
        <w:t>项目编号：</w:t>
      </w:r>
    </w:p>
    <w:p w14:paraId="48BB1C67">
      <w:pPr>
        <w:adjustRightInd w:val="0"/>
        <w:snapToGrid w:val="0"/>
        <w:spacing w:line="360" w:lineRule="auto"/>
        <w:rPr>
          <w:rFonts w:ascii="宋体" w:hAnsi="宋体" w:cs="宋体"/>
          <w:sz w:val="24"/>
          <w:highlight w:val="none"/>
        </w:rPr>
      </w:pPr>
      <w:r>
        <w:rPr>
          <w:rFonts w:hint="eastAsia" w:ascii="宋体" w:hAnsi="宋体" w:cs="宋体"/>
          <w:sz w:val="24"/>
          <w:highlight w:val="none"/>
        </w:rPr>
        <w:t>甲方：</w:t>
      </w:r>
      <w:r>
        <w:rPr>
          <w:rFonts w:hint="eastAsia" w:ascii="宋体" w:hAnsi="宋体" w:cs="宋体"/>
          <w:sz w:val="24"/>
          <w:highlight w:val="none"/>
          <w:u w:val="single"/>
        </w:rPr>
        <w:t>南通市交通运输局</w:t>
      </w:r>
    </w:p>
    <w:p w14:paraId="75E4592E">
      <w:pPr>
        <w:adjustRightInd w:val="0"/>
        <w:snapToGrid w:val="0"/>
        <w:spacing w:line="360" w:lineRule="auto"/>
        <w:rPr>
          <w:rFonts w:ascii="宋体" w:hAnsi="宋体" w:cs="宋体"/>
          <w:sz w:val="24"/>
          <w:highlight w:val="none"/>
        </w:rPr>
      </w:pPr>
      <w:r>
        <w:rPr>
          <w:rFonts w:hint="eastAsia" w:ascii="宋体" w:hAnsi="宋体" w:cs="宋体"/>
          <w:sz w:val="24"/>
          <w:highlight w:val="none"/>
        </w:rPr>
        <w:t>乙方：_________</w:t>
      </w:r>
    </w:p>
    <w:p w14:paraId="271275F0">
      <w:pPr>
        <w:adjustRightInd w:val="0"/>
        <w:snapToGrid w:val="0"/>
        <w:spacing w:line="360" w:lineRule="auto"/>
        <w:ind w:firstLine="480" w:firstLineChars="200"/>
        <w:rPr>
          <w:rFonts w:ascii="宋体" w:hAnsi="宋体" w:cs="宋体"/>
          <w:b/>
          <w:sz w:val="24"/>
          <w:highlight w:val="none"/>
        </w:rPr>
      </w:pPr>
      <w:r>
        <w:rPr>
          <w:rFonts w:hint="eastAsia" w:ascii="宋体" w:hAnsi="宋体" w:cs="宋体"/>
          <w:sz w:val="24"/>
          <w:highlight w:val="none"/>
        </w:rPr>
        <w:t>甲、乙双方根据</w:t>
      </w:r>
      <w:r>
        <w:rPr>
          <w:rFonts w:hint="eastAsia" w:ascii="宋体" w:hAnsi="宋体" w:cs="宋体"/>
          <w:sz w:val="24"/>
          <w:highlight w:val="none"/>
          <w:u w:val="single"/>
        </w:rPr>
        <w:t>2026年南通城市轨道交通运营第三方安全监管项目</w:t>
      </w:r>
      <w:r>
        <w:rPr>
          <w:rFonts w:hint="eastAsia" w:ascii="宋体" w:hAnsi="宋体" w:cs="宋体"/>
          <w:sz w:val="24"/>
          <w:highlight w:val="none"/>
        </w:rPr>
        <w:t>公开招标的结果，签署本合同。</w:t>
      </w:r>
    </w:p>
    <w:p w14:paraId="035AD64F">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一、合同内容</w:t>
      </w:r>
    </w:p>
    <w:p w14:paraId="3141044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1.1标的名称：2026年南通城市轨道交通运营第三方安全监管项目</w:t>
      </w:r>
    </w:p>
    <w:p w14:paraId="0229413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1.2标的质量：</w:t>
      </w:r>
      <w:r>
        <w:rPr>
          <w:rFonts w:hint="eastAsia" w:ascii="宋体" w:hAnsi="宋体" w:cs="宋体"/>
          <w:bCs/>
          <w:sz w:val="24"/>
          <w:highlight w:val="none"/>
        </w:rPr>
        <w:t>满足国家、省、市及行业相关技术规范要求</w:t>
      </w:r>
    </w:p>
    <w:p w14:paraId="608063D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1.3服务内容：</w:t>
      </w:r>
    </w:p>
    <w:p w14:paraId="7981DF6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（1）工作内容</w:t>
      </w:r>
    </w:p>
    <w:p w14:paraId="1EDB596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参照《国务院办公厅关于保障城市轨道交通安全运行的意见》（国办发〔2018〕13号）、《城市轨道交通运营管理规定》（交通运输部令2018年第8号）、《城市轨道交通运营安全评估管理办法》（交运规〔2023〕3号）、《交通运输部关于印发&lt;城市轨道交通运营安全风险分级管控和隐患排查治理管理办法&gt;的通知》（交运规〔2024〕10号）等有关规定要求，结合运营专业及重点环节，</w:t>
      </w:r>
      <w:r>
        <w:rPr>
          <w:rFonts w:hint="eastAsia" w:ascii="宋体" w:hAnsi="宋体" w:cs="宋体"/>
          <w:sz w:val="24"/>
          <w:highlight w:val="none"/>
          <w:lang w:eastAsia="zh-CN"/>
        </w:rPr>
        <w:t>对运营单位制度落实情况、安全生产管理体系建设情况开展检查，并</w:t>
      </w:r>
      <w:r>
        <w:rPr>
          <w:rFonts w:hint="eastAsia" w:ascii="宋体" w:hAnsi="宋体" w:cs="宋体"/>
          <w:sz w:val="24"/>
          <w:highlight w:val="none"/>
        </w:rPr>
        <w:t>每季度</w:t>
      </w:r>
      <w:r>
        <w:rPr>
          <w:rFonts w:hint="eastAsia" w:ascii="宋体" w:hAnsi="宋体" w:cs="宋体"/>
          <w:sz w:val="24"/>
          <w:highlight w:val="none"/>
          <w:lang w:eastAsia="zh-CN"/>
        </w:rPr>
        <w:t>结合重大节假日及防汛防寒等关键节点对</w:t>
      </w:r>
      <w:r>
        <w:rPr>
          <w:rFonts w:hint="eastAsia" w:ascii="宋体" w:hAnsi="宋体" w:cs="宋体"/>
          <w:sz w:val="24"/>
          <w:highlight w:val="none"/>
        </w:rPr>
        <w:t>运营车站、区间（夜间检查）、车辆基地/停车场、主变电所等</w:t>
      </w:r>
      <w:r>
        <w:rPr>
          <w:rFonts w:hint="eastAsia" w:ascii="宋体" w:hAnsi="宋体" w:cs="宋体"/>
          <w:sz w:val="24"/>
          <w:highlight w:val="none"/>
          <w:lang w:eastAsia="zh-CN"/>
        </w:rPr>
        <w:t>至少</w:t>
      </w:r>
      <w:r>
        <w:rPr>
          <w:rFonts w:hint="eastAsia" w:ascii="宋体" w:hAnsi="宋体" w:cs="宋体"/>
          <w:sz w:val="24"/>
          <w:highlight w:val="none"/>
        </w:rPr>
        <w:t>开展一次抽查检查（全年基本覆盖全线）。</w:t>
      </w:r>
    </w:p>
    <w:p w14:paraId="6750386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（2）预期目标</w:t>
      </w:r>
    </w:p>
    <w:p w14:paraId="35B3BA6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通过每季度引入第三方专业安全咨询单位行业专家对城市轨道交通运营单位进行专题检查、指导，督促运营单位不断加强安全隐患整改，消除事故苗头。同时，针对运营单位遇到的难点、痛点问题，发挥行业专家经验，进行交流指导，帮助运营单位持续改进。通过指导运营单位提早发现问题、做好源头治理、系统治理，提高运营安全管理水平，遏制较大及以上生产安全事故，避免事故事件造成的人员伤亡、经济损失和社会影响，保障我市城市轨道交通运营安全。</w:t>
      </w:r>
    </w:p>
    <w:p w14:paraId="0B4B6E7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（3）预期成果</w:t>
      </w:r>
    </w:p>
    <w:p w14:paraId="2CFFF0E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①</w:t>
      </w:r>
      <w:r>
        <w:rPr>
          <w:rFonts w:hint="eastAsia" w:ascii="宋体" w:hAnsi="宋体" w:cs="宋体"/>
          <w:sz w:val="24"/>
          <w:highlight w:val="none"/>
        </w:rPr>
        <w:tab/>
      </w:r>
      <w:r>
        <w:rPr>
          <w:rFonts w:hint="eastAsia" w:ascii="宋体" w:hAnsi="宋体" w:cs="宋体"/>
          <w:sz w:val="24"/>
          <w:highlight w:val="none"/>
        </w:rPr>
        <w:t>运营安全检查评估标准及检查评估清单；</w:t>
      </w:r>
    </w:p>
    <w:p w14:paraId="52398DC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②</w:t>
      </w:r>
      <w:r>
        <w:rPr>
          <w:rFonts w:hint="eastAsia" w:ascii="宋体" w:hAnsi="宋体" w:cs="宋体"/>
          <w:sz w:val="24"/>
          <w:highlight w:val="none"/>
        </w:rPr>
        <w:tab/>
      </w:r>
      <w:r>
        <w:rPr>
          <w:rFonts w:hint="eastAsia" w:ascii="宋体" w:hAnsi="宋体" w:cs="宋体"/>
          <w:sz w:val="24"/>
          <w:highlight w:val="none"/>
        </w:rPr>
        <w:t>专业检查方案，每季度检查工作计划、过程记录资料等；</w:t>
      </w:r>
    </w:p>
    <w:p w14:paraId="32A9193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③</w:t>
      </w:r>
      <w:r>
        <w:rPr>
          <w:rFonts w:hint="eastAsia" w:ascii="宋体" w:hAnsi="宋体" w:cs="宋体"/>
          <w:sz w:val="24"/>
          <w:highlight w:val="none"/>
        </w:rPr>
        <w:tab/>
      </w:r>
      <w:r>
        <w:rPr>
          <w:rFonts w:hint="eastAsia" w:ascii="宋体" w:hAnsi="宋体" w:cs="宋体"/>
          <w:sz w:val="24"/>
          <w:highlight w:val="none"/>
        </w:rPr>
        <w:t>南通城市轨道交通运营安全第*季度检查报告，应包含检查发现的管理体系及现场设备设施隐患问题、问题分析、隐患整改及管理改进建议等；</w:t>
      </w:r>
    </w:p>
    <w:p w14:paraId="162BE7D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④</w:t>
      </w:r>
      <w:r>
        <w:rPr>
          <w:rFonts w:hint="eastAsia" w:ascii="宋体" w:hAnsi="宋体" w:cs="宋体"/>
          <w:sz w:val="24"/>
          <w:highlight w:val="none"/>
        </w:rPr>
        <w:tab/>
      </w:r>
      <w:r>
        <w:rPr>
          <w:rFonts w:hint="eastAsia" w:ascii="宋体" w:hAnsi="宋体" w:cs="宋体"/>
          <w:sz w:val="24"/>
          <w:highlight w:val="none"/>
        </w:rPr>
        <w:t>其他需要服务单位配合完成的资料。</w:t>
      </w:r>
    </w:p>
    <w:p w14:paraId="0CBB194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（4）其他</w:t>
      </w:r>
    </w:p>
    <w:p w14:paraId="7B5FCCBB">
      <w:pPr>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为确保季度检查、指导质量，项目实施过程中，对第三方专业咨询单位人员配置、项目开展质效、项目推进进度等进行考核，考核结果作为费用支付的依据之一。如因人力、能力不足致使工作不能按要求完成时，要求第三方专业咨询单位增加或调整相应人员。此外，对于检查中应发现但未发现问题导致不良后果的，扣减相应的费用</w:t>
      </w:r>
      <w:r>
        <w:rPr>
          <w:rFonts w:hint="eastAsia" w:ascii="宋体" w:hAnsi="宋体" w:cs="宋体"/>
          <w:sz w:val="24"/>
          <w:highlight w:val="none"/>
          <w:lang w:eastAsia="zh-CN"/>
        </w:rPr>
        <w:t>；</w:t>
      </w:r>
      <w:r>
        <w:rPr>
          <w:rFonts w:hint="eastAsia" w:ascii="宋体" w:hAnsi="宋体" w:cs="宋体"/>
          <w:sz w:val="24"/>
          <w:highlight w:val="none"/>
        </w:rPr>
        <w:t>第三方专业咨询单位</w:t>
      </w:r>
      <w:r>
        <w:rPr>
          <w:rFonts w:hint="eastAsia" w:ascii="宋体" w:hAnsi="宋体" w:cs="宋体"/>
          <w:sz w:val="24"/>
          <w:highlight w:val="none"/>
          <w:lang w:eastAsia="zh-CN"/>
        </w:rPr>
        <w:t>如在检查过程中存在严重违反合同约定的情形，甲方有权终止合同，不予支付合同尾款。</w:t>
      </w:r>
    </w:p>
    <w:p w14:paraId="329237A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1.4履行时间（期限）：</w:t>
      </w:r>
      <w:r>
        <w:rPr>
          <w:rFonts w:hint="eastAsia" w:ascii="宋体" w:hAnsi="宋体" w:cs="宋体"/>
          <w:bCs/>
          <w:sz w:val="24"/>
          <w:highlight w:val="none"/>
        </w:rPr>
        <w:t>自合</w:t>
      </w:r>
      <w:r>
        <w:rPr>
          <w:rFonts w:hint="eastAsia" w:ascii="宋体" w:hAnsi="宋体" w:cs="宋体"/>
          <w:sz w:val="24"/>
          <w:highlight w:val="none"/>
        </w:rPr>
        <w:t>同签订之日起12个月内。</w:t>
      </w:r>
    </w:p>
    <w:p w14:paraId="5DF5BD7C">
      <w:pPr>
        <w:autoSpaceDE w:val="0"/>
        <w:autoSpaceDN w:val="0"/>
        <w:adjustRightInd w:val="0"/>
        <w:snapToGrid w:val="0"/>
        <w:spacing w:line="360" w:lineRule="auto"/>
        <w:ind w:firstLine="480" w:firstLineChars="200"/>
        <w:outlineLvl w:val="0"/>
        <w:rPr>
          <w:rFonts w:ascii="宋体" w:hAnsi="宋体" w:cs="宋体"/>
          <w:sz w:val="24"/>
          <w:highlight w:val="none"/>
        </w:rPr>
      </w:pPr>
      <w:r>
        <w:rPr>
          <w:rFonts w:hint="eastAsia" w:ascii="宋体" w:hAnsi="宋体" w:cs="宋体"/>
          <w:sz w:val="24"/>
          <w:highlight w:val="none"/>
        </w:rPr>
        <w:t>1.5履行地点：南通市</w:t>
      </w:r>
    </w:p>
    <w:p w14:paraId="7EC9CEB7">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二、合同金额</w:t>
      </w:r>
    </w:p>
    <w:p w14:paraId="2FB69E15">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2.1本合同金额为（大写）：____________________________________元（¥____________）。</w:t>
      </w:r>
    </w:p>
    <w:p w14:paraId="31016B6C">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bCs/>
          <w:sz w:val="24"/>
          <w:highlight w:val="none"/>
        </w:rPr>
        <w:t>本项目为总价合同，合同价款包括但不限于人员费用、现场费用、差旅费、设备及相关费用、甲方安排的与完成本项目相关的其它工作的费用、采购代理费、公司税费、保险、利润、法定税金等与履行本合同有关的一切费用。乙方应根据本项目相应情况和有关规范制订必要、合理的人员投入计划，其拟投入现场人员数量应满足本项目工作的要求。在合同实施期间，合同费用不随国家政策或法规、标准及市场因素的变化而进行调整。</w:t>
      </w:r>
    </w:p>
    <w:p w14:paraId="396DD8A4">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三、技术资料</w:t>
      </w:r>
    </w:p>
    <w:p w14:paraId="69C2AF8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3.1乙方应按招标文件规定的时间向甲方提供与合同标的有关的技术资料。</w:t>
      </w:r>
    </w:p>
    <w:p w14:paraId="1A9123E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FD27B0B">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四、知识产权</w:t>
      </w:r>
    </w:p>
    <w:p w14:paraId="446A9A7D">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 xml:space="preserve">4.1甲乙双方未事先征得对方同意，不得把合同的权利和义务委托别人或转让他方。同时甲乙双方应履行保密义务，未经对方书面许可，不向合同之外的人或单位展示、披露或以其他方式泄露任何技术文件或与合同有关的数据，包括合同本身，保密义务不因合同有效期的终止而结束。 </w:t>
      </w:r>
    </w:p>
    <w:p w14:paraId="6E220428">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 xml:space="preserve">4.2因履行本协议甲方向乙方提供的所有信息，无论是书面的、口头的、图形的、电磁的或其他任何形式的信息，包括（但不限于）数据、模型、样品、草案、技术、方法、仪器设备和其他信息，只要不为社会公众所周知，乙方均应予以保密，且只能在本合同目的范围内使用。 </w:t>
      </w:r>
    </w:p>
    <w:p w14:paraId="307828F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4.3项目所涉及的技术专利申请权的归属问题由甲乙双方协商确定。</w:t>
      </w:r>
    </w:p>
    <w:p w14:paraId="7E6949EC">
      <w:pPr>
        <w:adjustRightInd w:val="0"/>
        <w:snapToGrid w:val="0"/>
        <w:spacing w:line="360" w:lineRule="auto"/>
        <w:ind w:firstLine="482" w:firstLineChars="200"/>
        <w:rPr>
          <w:rFonts w:ascii="宋体" w:hAnsi="宋体" w:cs="宋体"/>
          <w:sz w:val="24"/>
          <w:highlight w:val="none"/>
          <w:u w:val="single"/>
        </w:rPr>
      </w:pPr>
      <w:r>
        <w:rPr>
          <w:rFonts w:hint="eastAsia" w:ascii="宋体" w:hAnsi="宋体" w:cs="宋体"/>
          <w:b/>
          <w:sz w:val="24"/>
          <w:highlight w:val="none"/>
        </w:rPr>
        <w:t>五、产权担保</w:t>
      </w:r>
    </w:p>
    <w:p w14:paraId="2FEB0B5B">
      <w:pPr>
        <w:adjustRightInd w:val="0"/>
        <w:snapToGrid w:val="0"/>
        <w:spacing w:line="360" w:lineRule="auto"/>
        <w:ind w:firstLine="480" w:firstLineChars="200"/>
        <w:rPr>
          <w:rFonts w:ascii="宋体" w:hAnsi="宋体" w:cs="宋体"/>
          <w:sz w:val="24"/>
          <w:highlight w:val="none"/>
          <w:u w:val="single"/>
        </w:rPr>
      </w:pPr>
      <w:r>
        <w:rPr>
          <w:rFonts w:hint="eastAsia" w:ascii="宋体" w:hAnsi="宋体" w:cs="宋体"/>
          <w:sz w:val="24"/>
          <w:highlight w:val="none"/>
        </w:rPr>
        <w:t>5.1乙方保证所交付的合同标的的所有权完全属于乙方且无任何抵押、查封等产权瑕疵。</w:t>
      </w:r>
    </w:p>
    <w:p w14:paraId="29DE3E05">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六、履约保证金</w:t>
      </w:r>
    </w:p>
    <w:p w14:paraId="5216C16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本项目不设履约保证金。</w:t>
      </w:r>
    </w:p>
    <w:p w14:paraId="3D8E101E">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七、合同转包或分包</w:t>
      </w:r>
    </w:p>
    <w:p w14:paraId="22C5579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7.1乙方不得将合同标的转包给他人履行。</w:t>
      </w:r>
    </w:p>
    <w:p w14:paraId="665C6AC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7.2未经甲方同意乙方不得将合同标的分包给他人履行。</w:t>
      </w:r>
    </w:p>
    <w:p w14:paraId="4CCF788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7.3乙方如有转包或未经甲方同意的分包行为，甲方有权解除合同。</w:t>
      </w:r>
    </w:p>
    <w:p w14:paraId="29D29555">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八、合同款项支付</w:t>
      </w:r>
    </w:p>
    <w:p w14:paraId="6471E943">
      <w:pPr>
        <w:autoSpaceDE w:val="0"/>
        <w:autoSpaceDN w:val="0"/>
        <w:adjustRightInd w:val="0"/>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签订合同后30日内支付合同总费用的30%，提交全部工作成果后30日内，根据考核得分支付尾款（合同总费用的70%）。</w:t>
      </w:r>
    </w:p>
    <w:p w14:paraId="4646F375">
      <w:pPr>
        <w:autoSpaceDE w:val="0"/>
        <w:autoSpaceDN w:val="0"/>
        <w:adjustRightInd w:val="0"/>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注：（1）评估结果为优秀的，全额支付尾款；评估结果为良好的，支付尾款的</w:t>
      </w:r>
      <w:r>
        <w:rPr>
          <w:rFonts w:hint="eastAsia" w:ascii="宋体" w:hAnsi="宋体" w:cs="宋体"/>
          <w:bCs/>
          <w:sz w:val="24"/>
          <w:highlight w:val="none"/>
          <w:lang w:val="en-US" w:eastAsia="zh-CN"/>
        </w:rPr>
        <w:t>8</w:t>
      </w:r>
      <w:r>
        <w:rPr>
          <w:rFonts w:hint="eastAsia" w:ascii="宋体" w:hAnsi="宋体" w:cs="宋体"/>
          <w:bCs/>
          <w:sz w:val="24"/>
          <w:highlight w:val="none"/>
        </w:rPr>
        <w:t>0%；评估结果为合格的，支付尾款的</w:t>
      </w:r>
      <w:r>
        <w:rPr>
          <w:rFonts w:hint="eastAsia" w:ascii="宋体" w:hAnsi="宋体" w:cs="宋体"/>
          <w:bCs/>
          <w:sz w:val="24"/>
          <w:highlight w:val="none"/>
          <w:lang w:val="en-US" w:eastAsia="zh-CN"/>
        </w:rPr>
        <w:t>6</w:t>
      </w:r>
      <w:r>
        <w:rPr>
          <w:rFonts w:hint="eastAsia" w:ascii="宋体" w:hAnsi="宋体" w:cs="宋体"/>
          <w:bCs/>
          <w:sz w:val="24"/>
          <w:highlight w:val="none"/>
        </w:rPr>
        <w:t>0%；评估结果为不合格的，</w:t>
      </w:r>
      <w:r>
        <w:rPr>
          <w:rFonts w:hint="eastAsia" w:ascii="宋体" w:hAnsi="宋体" w:cs="宋体"/>
          <w:bCs/>
          <w:sz w:val="24"/>
          <w:highlight w:val="none"/>
          <w:lang w:eastAsia="zh-CN"/>
        </w:rPr>
        <w:t>全额扣减尾款</w:t>
      </w:r>
      <w:r>
        <w:rPr>
          <w:rFonts w:hint="eastAsia" w:ascii="宋体" w:hAnsi="宋体" w:cs="宋体"/>
          <w:bCs/>
          <w:sz w:val="24"/>
          <w:highlight w:val="none"/>
        </w:rPr>
        <w:t>。</w:t>
      </w:r>
    </w:p>
    <w:p w14:paraId="1FC55A34">
      <w:pPr>
        <w:adjustRightInd w:val="0"/>
        <w:snapToGrid w:val="0"/>
        <w:spacing w:line="360" w:lineRule="auto"/>
        <w:ind w:firstLine="508"/>
        <w:contextualSpacing/>
        <w:rPr>
          <w:rFonts w:ascii="宋体" w:hAnsi="宋体" w:cs="宋体"/>
          <w:spacing w:val="7"/>
          <w:sz w:val="24"/>
          <w:highlight w:val="none"/>
        </w:rPr>
      </w:pPr>
      <w:r>
        <w:rPr>
          <w:rFonts w:hint="eastAsia" w:ascii="宋体" w:hAnsi="宋体" w:cs="宋体"/>
          <w:spacing w:val="7"/>
          <w:sz w:val="24"/>
          <w:highlight w:val="none"/>
        </w:rPr>
        <w:t>（2）每次付款须按合同扣减违约金和赔偿款；</w:t>
      </w:r>
    </w:p>
    <w:p w14:paraId="0D9AF7CD">
      <w:pPr>
        <w:adjustRightInd w:val="0"/>
        <w:snapToGrid w:val="0"/>
        <w:spacing w:line="360" w:lineRule="auto"/>
        <w:ind w:firstLine="508"/>
        <w:contextualSpacing/>
        <w:rPr>
          <w:rFonts w:ascii="宋体" w:hAnsi="宋体" w:cs="宋体"/>
          <w:spacing w:val="7"/>
          <w:sz w:val="24"/>
          <w:highlight w:val="none"/>
        </w:rPr>
      </w:pPr>
      <w:r>
        <w:rPr>
          <w:rFonts w:hint="eastAsia" w:ascii="宋体" w:hAnsi="宋体" w:cs="宋体"/>
          <w:spacing w:val="7"/>
          <w:sz w:val="24"/>
          <w:highlight w:val="none"/>
        </w:rPr>
        <w:t>（3）付款前乙方须提供等额合规发票及相关申请资料，否则甲方可以拒付；</w:t>
      </w:r>
    </w:p>
    <w:p w14:paraId="416E6E62">
      <w:pPr>
        <w:adjustRightInd w:val="0"/>
        <w:snapToGrid w:val="0"/>
        <w:spacing w:line="360" w:lineRule="auto"/>
        <w:ind w:firstLine="508" w:firstLineChars="200"/>
        <w:rPr>
          <w:rFonts w:ascii="宋体" w:hAnsi="宋体" w:cs="宋体"/>
          <w:spacing w:val="7"/>
          <w:sz w:val="24"/>
          <w:highlight w:val="none"/>
        </w:rPr>
      </w:pPr>
      <w:r>
        <w:rPr>
          <w:rFonts w:hint="eastAsia" w:ascii="宋体" w:hAnsi="宋体" w:cs="宋体"/>
          <w:spacing w:val="7"/>
          <w:sz w:val="24"/>
          <w:highlight w:val="none"/>
        </w:rPr>
        <w:t>（4）所有付款均不计利息。</w:t>
      </w:r>
    </w:p>
    <w:p w14:paraId="68F18AAE">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九、税费</w:t>
      </w:r>
    </w:p>
    <w:p w14:paraId="19994C6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9.1本合同执行中相关的一切税费均由乙方负担。</w:t>
      </w:r>
    </w:p>
    <w:p w14:paraId="29DE1718">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十、项目验收</w:t>
      </w:r>
    </w:p>
    <w:p w14:paraId="6BF3DAB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10.1甲方依法组织履约验收工作。</w:t>
      </w:r>
    </w:p>
    <w:p w14:paraId="73523A9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10.2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4C69861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10.3对于实际使用人和甲方分离的项目，甲方邀请实际使用人参与验收。</w:t>
      </w:r>
    </w:p>
    <w:p w14:paraId="5B0CE5B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10.4如有必要，甲方邀请参加本项目的其他投标人或第三方专业机构及专家参与验收，相关意见将作为验收书的参考资料。</w:t>
      </w:r>
    </w:p>
    <w:p w14:paraId="768D32E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10.5甲方成立验收小组，按照采购合同的约定对乙方的履约情况进行验收。验收时，甲方按照采购合同的约定对每一项技术、服务、安全标准的履约情况进行确认。验收结束后，验收小组出具验收书，列明各项标准的验收情况及项目总体评价，由验收双方共同签署。验收结果与采购合同约定的资金支付条件挂钩。履约验收的各项资料存档备查。</w:t>
      </w:r>
    </w:p>
    <w:p w14:paraId="4313333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10.6验收合格的项目，甲方根据采购合同的约定及时向乙方支付合同款项。验收不合格的项目，甲方依法及时处理。采购合同的履行、违约责任和解决争议的方式等适用《中华人民共和国民法典》。乙方在履约过程中有政府采购法律法规规范性文件规定的违法违规情形的，甲方将及时报告本级财政部门。</w:t>
      </w:r>
    </w:p>
    <w:p w14:paraId="69CB0947">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十一、违约责任</w:t>
      </w:r>
    </w:p>
    <w:p w14:paraId="548E65B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11.1甲方无正当理由拒绝接受乙方提供的合同标的的，甲方向乙方偿付拒绝接受合同价款总值</w:t>
      </w:r>
      <w:r>
        <w:rPr>
          <w:rFonts w:hint="eastAsia" w:ascii="宋体" w:hAnsi="宋体" w:cs="宋体"/>
          <w:sz w:val="24"/>
          <w:highlight w:val="none"/>
          <w:u w:val="single"/>
        </w:rPr>
        <w:t>5%</w:t>
      </w:r>
      <w:r>
        <w:rPr>
          <w:rFonts w:hint="eastAsia" w:ascii="宋体" w:hAnsi="宋体" w:cs="宋体"/>
          <w:sz w:val="24"/>
          <w:highlight w:val="none"/>
        </w:rPr>
        <w:t>的违约金。</w:t>
      </w:r>
    </w:p>
    <w:p w14:paraId="754B891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11.2甲方无故逾期验收和办理合同款项支付手续的，甲方应按逾期付款总额</w:t>
      </w:r>
      <w:r>
        <w:rPr>
          <w:rFonts w:hint="eastAsia" w:ascii="宋体" w:hAnsi="宋体" w:cs="宋体"/>
          <w:sz w:val="24"/>
          <w:highlight w:val="none"/>
          <w:u w:val="single"/>
        </w:rPr>
        <w:t xml:space="preserve"> 6‰ </w:t>
      </w:r>
      <w:r>
        <w:rPr>
          <w:rFonts w:hint="eastAsia" w:ascii="宋体" w:hAnsi="宋体" w:cs="宋体"/>
          <w:sz w:val="24"/>
          <w:highlight w:val="none"/>
        </w:rPr>
        <w:t>每日向乙方支付违约金。</w:t>
      </w:r>
    </w:p>
    <w:p w14:paraId="07A416D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11.3乙方逾期交付合同标的的，乙方应按逾期交付合同总额每日6‰向甲方支付违约金，由甲方从待付合同款项中扣除。逾期超过约定日期10个工作日不能交付合同标的的，甲方可解除本合同。乙方因逾期交付合同标的或因其他违约行为导致甲方解除合同的，乙方应向甲方支付合同价款总额</w:t>
      </w:r>
      <w:r>
        <w:rPr>
          <w:rFonts w:hint="eastAsia" w:ascii="宋体" w:hAnsi="宋体" w:cs="宋体"/>
          <w:sz w:val="24"/>
          <w:highlight w:val="none"/>
          <w:u w:val="single"/>
        </w:rPr>
        <w:t>5%</w:t>
      </w:r>
      <w:r>
        <w:rPr>
          <w:rFonts w:hint="eastAsia" w:ascii="宋体" w:hAnsi="宋体" w:cs="宋体"/>
          <w:sz w:val="24"/>
          <w:highlight w:val="none"/>
        </w:rPr>
        <w:t xml:space="preserve">的违约金，如造成甲方损失超过违约金的，超出部分由乙方继续承担赔偿责任。 </w:t>
      </w:r>
    </w:p>
    <w:p w14:paraId="6250E61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11.4乙方交付合同标的的标准不符合合同规定及招标文件规定标准的，甲方有权拒绝接受合同标的，并可单方面解除合同。</w:t>
      </w:r>
    </w:p>
    <w:p w14:paraId="5E624049">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十二、不可抗力事件处理</w:t>
      </w:r>
    </w:p>
    <w:p w14:paraId="5940434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12.1在合同有效期内，任何一方因不可抗力事件导致不能履行合同，则合同履行期可延长，其延长期与不可抗力影响期相同。</w:t>
      </w:r>
    </w:p>
    <w:p w14:paraId="379F828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12.2不可抗力事件发生后，应立即通知对方，并寄送有关权威机构出具的证明。</w:t>
      </w:r>
    </w:p>
    <w:p w14:paraId="752ED83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12.3不可抗力事件延续120天以上，双方应通过友好协商，确定是否继续履行合同。</w:t>
      </w:r>
    </w:p>
    <w:p w14:paraId="488A79F5">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十三、解决争议的方法</w:t>
      </w:r>
    </w:p>
    <w:p w14:paraId="2187343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13.1双方在签订、履行合同中所发生的一切争议，应通过友好协商解决。如协商不成，由甲方住所地人民法院管辖。</w:t>
      </w:r>
    </w:p>
    <w:p w14:paraId="7933C646">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十四、合同生效及其他</w:t>
      </w:r>
    </w:p>
    <w:p w14:paraId="6499F65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14.1合同经双方法定代表人或授权委托代表人签字并加盖单位公章后生效。</w:t>
      </w:r>
    </w:p>
    <w:p w14:paraId="4FB2AAA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14.2本合同未尽事宜，遵照《中华人民共和国民法典》、《中华人民共和国政府采购法》等有关条文执行。</w:t>
      </w:r>
    </w:p>
    <w:p w14:paraId="787F8D2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14.3本合同正本一式四份，具有同等法律效力，甲方、乙方各执贰份。</w:t>
      </w:r>
    </w:p>
    <w:p w14:paraId="5C824E5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w:t>
      </w:r>
    </w:p>
    <w:p w14:paraId="46C769A5">
      <w:pPr>
        <w:adjustRightInd w:val="0"/>
        <w:snapToGrid w:val="0"/>
        <w:spacing w:line="360" w:lineRule="auto"/>
        <w:rPr>
          <w:rFonts w:ascii="宋体" w:hAnsi="宋体" w:cs="宋体"/>
          <w:sz w:val="24"/>
          <w:highlight w:val="none"/>
        </w:rPr>
      </w:pPr>
      <w:r>
        <w:rPr>
          <w:rFonts w:hint="eastAsia" w:ascii="宋体" w:hAnsi="宋体" w:cs="宋体"/>
          <w:sz w:val="24"/>
          <w:highlight w:val="none"/>
        </w:rPr>
        <w:t>甲方：</w:t>
      </w:r>
      <w:r>
        <w:rPr>
          <w:rFonts w:hint="eastAsia" w:ascii="宋体" w:hAnsi="宋体" w:cs="宋体"/>
          <w:sz w:val="24"/>
          <w:highlight w:val="none"/>
          <w:u w:val="single"/>
        </w:rPr>
        <w:t xml:space="preserve">       </w:t>
      </w:r>
      <w:r>
        <w:rPr>
          <w:rFonts w:hint="eastAsia" w:ascii="宋体" w:hAnsi="宋体" w:cs="宋体"/>
          <w:sz w:val="24"/>
          <w:highlight w:val="none"/>
        </w:rPr>
        <w:t>（盖章）             乙方：</w:t>
      </w:r>
      <w:r>
        <w:rPr>
          <w:rFonts w:hint="eastAsia" w:ascii="宋体" w:hAnsi="宋体" w:cs="宋体"/>
          <w:sz w:val="24"/>
          <w:highlight w:val="none"/>
          <w:u w:val="single"/>
        </w:rPr>
        <w:t xml:space="preserve">       </w:t>
      </w:r>
      <w:r>
        <w:rPr>
          <w:rFonts w:hint="eastAsia" w:ascii="宋体" w:hAnsi="宋体" w:cs="宋体"/>
          <w:sz w:val="24"/>
          <w:highlight w:val="none"/>
        </w:rPr>
        <w:t xml:space="preserve"> （盖章） </w:t>
      </w:r>
    </w:p>
    <w:p w14:paraId="012A0146">
      <w:pPr>
        <w:adjustRightInd w:val="0"/>
        <w:snapToGrid w:val="0"/>
        <w:spacing w:line="360" w:lineRule="auto"/>
        <w:rPr>
          <w:rFonts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u w:val="single"/>
        </w:rPr>
        <w:t xml:space="preserve">       </w:t>
      </w:r>
      <w:r>
        <w:rPr>
          <w:rFonts w:hint="eastAsia" w:ascii="宋体" w:hAnsi="宋体" w:cs="宋体"/>
          <w:sz w:val="24"/>
          <w:highlight w:val="none"/>
        </w:rPr>
        <w:t xml:space="preserve">                     地址：</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3E5679DD">
      <w:pPr>
        <w:adjustRightInd w:val="0"/>
        <w:snapToGrid w:val="0"/>
        <w:spacing w:line="360" w:lineRule="auto"/>
        <w:rPr>
          <w:rFonts w:ascii="宋体" w:hAnsi="宋体" w:cs="宋体"/>
          <w:sz w:val="24"/>
          <w:highlight w:val="none"/>
        </w:rPr>
      </w:pPr>
      <w:r>
        <w:rPr>
          <w:rFonts w:hint="eastAsia" w:ascii="宋体" w:hAnsi="宋体" w:cs="宋体"/>
          <w:sz w:val="24"/>
          <w:highlight w:val="none"/>
        </w:rPr>
        <w:t>法定代表人                        法定代表人</w:t>
      </w:r>
    </w:p>
    <w:p w14:paraId="3A2C294F">
      <w:pPr>
        <w:adjustRightInd w:val="0"/>
        <w:snapToGrid w:val="0"/>
        <w:spacing w:line="360" w:lineRule="auto"/>
        <w:rPr>
          <w:rFonts w:ascii="宋体" w:hAnsi="宋体" w:cs="宋体"/>
          <w:sz w:val="24"/>
          <w:highlight w:val="none"/>
        </w:rPr>
      </w:pPr>
      <w:r>
        <w:rPr>
          <w:rFonts w:hint="eastAsia" w:ascii="宋体" w:hAnsi="宋体" w:cs="宋体"/>
          <w:sz w:val="24"/>
          <w:highlight w:val="none"/>
        </w:rPr>
        <w:t>或其委托代理人：</w:t>
      </w:r>
      <w:r>
        <w:rPr>
          <w:rFonts w:hint="eastAsia" w:ascii="宋体" w:hAnsi="宋体" w:cs="宋体"/>
          <w:sz w:val="24"/>
          <w:highlight w:val="none"/>
          <w:u w:val="single"/>
        </w:rPr>
        <w:t xml:space="preserve">    </w:t>
      </w:r>
      <w:r>
        <w:rPr>
          <w:rFonts w:hint="eastAsia" w:ascii="宋体" w:hAnsi="宋体" w:cs="宋体"/>
          <w:i/>
          <w:sz w:val="24"/>
          <w:highlight w:val="none"/>
        </w:rPr>
        <w:t>（</w:t>
      </w:r>
      <w:r>
        <w:rPr>
          <w:rFonts w:hint="eastAsia" w:ascii="宋体" w:hAnsi="宋体" w:cs="宋体"/>
          <w:sz w:val="24"/>
          <w:highlight w:val="none"/>
        </w:rPr>
        <w:t>签字或盖章）或其委托代理人：</w:t>
      </w:r>
      <w:r>
        <w:rPr>
          <w:rFonts w:hint="eastAsia" w:ascii="宋体" w:hAnsi="宋体" w:cs="宋体"/>
          <w:sz w:val="24"/>
          <w:highlight w:val="none"/>
          <w:u w:val="single"/>
        </w:rPr>
        <w:t xml:space="preserve">    </w:t>
      </w:r>
      <w:r>
        <w:rPr>
          <w:rFonts w:hint="eastAsia" w:ascii="宋体" w:hAnsi="宋体" w:cs="宋体"/>
          <w:i/>
          <w:sz w:val="24"/>
          <w:highlight w:val="none"/>
        </w:rPr>
        <w:t>（</w:t>
      </w:r>
      <w:r>
        <w:rPr>
          <w:rFonts w:hint="eastAsia" w:ascii="宋体" w:hAnsi="宋体" w:cs="宋体"/>
          <w:sz w:val="24"/>
          <w:highlight w:val="none"/>
        </w:rPr>
        <w:t>签字或盖章）</w:t>
      </w:r>
    </w:p>
    <w:p w14:paraId="6B3CD810">
      <w:pPr>
        <w:adjustRightInd w:val="0"/>
        <w:snapToGrid w:val="0"/>
        <w:spacing w:line="360"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single"/>
        </w:rPr>
        <w:t xml:space="preserve">         </w:t>
      </w:r>
      <w:r>
        <w:rPr>
          <w:rFonts w:hint="eastAsia" w:ascii="宋体" w:hAnsi="宋体" w:cs="宋体"/>
          <w:sz w:val="24"/>
          <w:highlight w:val="none"/>
        </w:rPr>
        <w:t xml:space="preserve">               联系电话：</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3CD93FB1">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 xml:space="preserve">                              签订日期：      年    月   日</w:t>
      </w:r>
    </w:p>
    <w:p w14:paraId="1F38EEC3">
      <w:pPr>
        <w:rPr>
          <w:rFonts w:ascii="宋体" w:hAnsi="宋体" w:cs="宋体"/>
          <w:sz w:val="24"/>
          <w:highlight w:val="none"/>
        </w:rPr>
      </w:pPr>
      <w:r>
        <w:rPr>
          <w:rFonts w:hint="eastAsia" w:ascii="宋体" w:hAnsi="宋体" w:cs="宋体"/>
          <w:sz w:val="24"/>
          <w:highlight w:val="none"/>
        </w:rPr>
        <w:br w:type="page"/>
      </w:r>
    </w:p>
    <w:p w14:paraId="7FE79E8D">
      <w:pPr>
        <w:autoSpaceDE w:val="0"/>
        <w:autoSpaceDN w:val="0"/>
        <w:adjustRightInd w:val="0"/>
        <w:snapToGrid w:val="0"/>
        <w:spacing w:line="360" w:lineRule="auto"/>
        <w:rPr>
          <w:rFonts w:ascii="宋体" w:hAnsi="宋体" w:cs="宋体"/>
          <w:szCs w:val="21"/>
          <w:highlight w:val="none"/>
        </w:rPr>
      </w:pPr>
      <w:r>
        <w:rPr>
          <w:rFonts w:hint="eastAsia" w:ascii="宋体" w:hAnsi="宋体" w:cs="宋体"/>
          <w:sz w:val="24"/>
          <w:highlight w:val="none"/>
        </w:rPr>
        <w:t>合同附件一：</w:t>
      </w:r>
    </w:p>
    <w:p w14:paraId="4F64A2B2">
      <w:pPr>
        <w:spacing w:line="360" w:lineRule="auto"/>
        <w:jc w:val="center"/>
        <w:rPr>
          <w:rFonts w:ascii="宋体" w:hAnsi="宋体" w:cs="宋体"/>
          <w:b/>
          <w:bCs/>
          <w:sz w:val="30"/>
          <w:szCs w:val="30"/>
          <w:highlight w:val="none"/>
        </w:rPr>
      </w:pPr>
      <w:r>
        <w:rPr>
          <w:rFonts w:hint="eastAsia" w:ascii="宋体" w:hAnsi="宋体" w:cs="宋体"/>
          <w:b/>
          <w:bCs/>
          <w:sz w:val="30"/>
          <w:szCs w:val="30"/>
          <w:highlight w:val="none"/>
        </w:rPr>
        <w:t>廉政合同协议书</w:t>
      </w:r>
    </w:p>
    <w:p w14:paraId="5979F5E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根据交通运输部《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cs="宋体"/>
          <w:sz w:val="24"/>
          <w:highlight w:val="none"/>
          <w:u w:val="single"/>
        </w:rPr>
        <w:t xml:space="preserve">             </w:t>
      </w:r>
      <w:r>
        <w:rPr>
          <w:rFonts w:hint="eastAsia" w:ascii="宋体" w:hAnsi="宋体" w:cs="宋体"/>
          <w:sz w:val="24"/>
          <w:highlight w:val="none"/>
        </w:rPr>
        <w:t>（以下称委托人）与</w:t>
      </w:r>
      <w:r>
        <w:rPr>
          <w:rFonts w:hint="eastAsia" w:ascii="宋体" w:hAnsi="宋体" w:cs="宋体"/>
          <w:sz w:val="24"/>
          <w:highlight w:val="none"/>
          <w:u w:val="single"/>
        </w:rPr>
        <w:t xml:space="preserve">       </w:t>
      </w:r>
      <w:r>
        <w:rPr>
          <w:rFonts w:hint="eastAsia" w:ascii="宋体" w:hAnsi="宋体" w:cs="宋体"/>
          <w:sz w:val="24"/>
          <w:highlight w:val="none"/>
        </w:rPr>
        <w:t>（以下称受托人），特订立如下合同。</w:t>
      </w:r>
    </w:p>
    <w:p w14:paraId="7FB407C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第一条  委托人、受托人双方的权利和义务</w:t>
      </w:r>
    </w:p>
    <w:p w14:paraId="0FD8915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（一）严格遵守党和国家有关法律法规及交通运输部的有关规定。</w:t>
      </w:r>
    </w:p>
    <w:p w14:paraId="7AD269C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（二）严格遵守</w:t>
      </w:r>
      <w:r>
        <w:rPr>
          <w:rFonts w:hint="eastAsia" w:ascii="宋体" w:hAnsi="宋体" w:cs="宋体"/>
          <w:sz w:val="24"/>
          <w:highlight w:val="none"/>
          <w:u w:val="single"/>
        </w:rPr>
        <w:t xml:space="preserve">                    </w:t>
      </w:r>
      <w:r>
        <w:rPr>
          <w:rFonts w:hint="eastAsia" w:ascii="宋体" w:hAnsi="宋体" w:cs="宋体"/>
          <w:sz w:val="24"/>
          <w:highlight w:val="none"/>
        </w:rPr>
        <w:t>的合同文件，自觉按合同办事。</w:t>
      </w:r>
    </w:p>
    <w:p w14:paraId="01BA692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（三）双方的业务活动坚持公开、公正、诚信、透明的原则（除法律认定的商业秘密和合同文件另有规定之外），不得损害国家和集体利益，违反工程建设管理规章制度。</w:t>
      </w:r>
    </w:p>
    <w:p w14:paraId="323F059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（四）建立健全廉政制度，开展廉政教育，设立廉政告示牌，公布举报电话，监督并认真查处违法违纪行为。</w:t>
      </w:r>
    </w:p>
    <w:p w14:paraId="203D967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（五）发现对方在业务活动中有违反廉政规定的行为，有及时提醒对方纠正的权利和义务。</w:t>
      </w:r>
    </w:p>
    <w:p w14:paraId="3FF9E84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（六）发现对方严重违反本合同义务条款的行为，有向其上级有关部门举报、建议给予处理并要求告知处理结果的权利。</w:t>
      </w:r>
    </w:p>
    <w:p w14:paraId="6FDF9F0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第二条  委托人的义务</w:t>
      </w:r>
    </w:p>
    <w:p w14:paraId="1599918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（一）委托人及其工作人员不得索要或接受受托人的礼金、有价证券和贵重物品，不得由受托人报销任何应由委托人或个人支付的费用等。</w:t>
      </w:r>
    </w:p>
    <w:p w14:paraId="00F4AC7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（二）委托人工作人员不得参加受托人安排的超标准宴请和娱乐活动；不得接受受托人提供的通讯工具、交通工具和高档办公用品等。</w:t>
      </w:r>
    </w:p>
    <w:p w14:paraId="77852CD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三）委托人及其工作人员不得要求或者接受受托人为其住房装修、婚丧嫁娶活动、配偶子女的工作安排和子女读书上学以及出国出境、旅游等提供方便等；不得要求或者接受受托人为其子女读书上学提供其所承担的费用等。</w:t>
      </w:r>
    </w:p>
    <w:p w14:paraId="0E7DC9A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（四）委托人工作人员的配偶、子女不得从事与委托人工程有关的材料设备供应、工程分包、劳务等经济活动等。</w:t>
      </w:r>
    </w:p>
    <w:p w14:paraId="6F5E21D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（五）委托人及其工作人员不得以任何理由向受托人推荐分包单位，不得要求受托人购买合同规定外的材料和设备。</w:t>
      </w:r>
    </w:p>
    <w:p w14:paraId="2886B5D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第三条  受托人义务</w:t>
      </w:r>
    </w:p>
    <w:p w14:paraId="57DD4AF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（一）受托人不得以任何理由向委托人及其工作人员行贿或馈赠礼金、有价证券、贵重礼品。</w:t>
      </w:r>
    </w:p>
    <w:p w14:paraId="6DE2240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（二）受托人不得以任何名义为委托人及其工作人员报销应由委托人单位或个人支付的任何费用。</w:t>
      </w:r>
    </w:p>
    <w:p w14:paraId="1F1248A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（三）受托人不得以任何理由安排委托人工作人员参加超标准宴请及娱乐活动。</w:t>
      </w:r>
    </w:p>
    <w:p w14:paraId="3A8C6EE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（四）受托人不得为委托人单位和个人购置或提供通讯工具、交通工具和高档办公用品等。</w:t>
      </w:r>
    </w:p>
    <w:p w14:paraId="2F7A26B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第四条  违约责任</w:t>
      </w:r>
    </w:p>
    <w:p w14:paraId="733548F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（一）委托人及其工作人员违反本合同第一、二条，按管理权限，依据有关规定给予党纪、政纪或组织处理；涉嫌犯罪的，移交司法机关追究刑事责任；给受托人单位造成经济损失的，应予以赔偿。</w:t>
      </w:r>
    </w:p>
    <w:p w14:paraId="211C1D9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二）受托人及其工作人员违反本合同第一、三条，按管理权限，依据有关规定，给予党纪、政纪或组织处理；给委托人单位造成经济损失的，应予以赔偿；情节严重的，委托人建议交通工程建设主管部门给予受托人一至三年内不得进入其主管的交通工程建设市场的处罚。</w:t>
      </w:r>
    </w:p>
    <w:p w14:paraId="4407F69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第五条  双方约定：本合同由双方或双方上级单位的纪检监察机关负责监督。由委托人或委托人上级单位的纪检监察机关约请受托人或受托人上级单位纪检监察机关对本合同履行情况进行检查，提出在本合同规定范围内的裁定意见。</w:t>
      </w:r>
    </w:p>
    <w:p w14:paraId="540A1412">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第六条  本合同有效期为委托人、受托人双方签署的</w:t>
      </w:r>
      <w:r>
        <w:rPr>
          <w:rFonts w:hint="eastAsia" w:ascii="宋体" w:hAnsi="宋体" w:cs="宋体"/>
          <w:sz w:val="24"/>
          <w:highlight w:val="none"/>
          <w:u w:val="single"/>
        </w:rPr>
        <w:t xml:space="preserve">               </w:t>
      </w:r>
      <w:r>
        <w:rPr>
          <w:rFonts w:hint="eastAsia" w:ascii="宋体" w:hAnsi="宋体" w:cs="宋体"/>
          <w:sz w:val="24"/>
          <w:highlight w:val="none"/>
        </w:rPr>
        <w:t>项目合同期限。</w:t>
      </w:r>
    </w:p>
    <w:p w14:paraId="0305AEE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第七条  本合同作为</w:t>
      </w:r>
      <w:r>
        <w:rPr>
          <w:rFonts w:hint="eastAsia" w:ascii="宋体" w:hAnsi="宋体" w:cs="宋体"/>
          <w:sz w:val="24"/>
          <w:highlight w:val="none"/>
          <w:u w:val="single"/>
        </w:rPr>
        <w:t xml:space="preserve">                   </w:t>
      </w:r>
      <w:r>
        <w:rPr>
          <w:rFonts w:hint="eastAsia" w:ascii="宋体" w:hAnsi="宋体" w:cs="宋体"/>
          <w:sz w:val="24"/>
          <w:highlight w:val="none"/>
        </w:rPr>
        <w:t>项目合同的附件，经合同双方签署立即生效。</w:t>
      </w:r>
    </w:p>
    <w:p w14:paraId="4A5FB43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第八条  本合同共肆份，双方各执贰份。</w:t>
      </w:r>
    </w:p>
    <w:p w14:paraId="6AF3A303">
      <w:pPr>
        <w:tabs>
          <w:tab w:val="left" w:pos="3151"/>
          <w:tab w:val="left" w:pos="4934"/>
          <w:tab w:val="left" w:pos="4965"/>
          <w:tab w:val="left" w:pos="8205"/>
        </w:tabs>
        <w:adjustRightInd w:val="0"/>
        <w:snapToGrid w:val="0"/>
        <w:spacing w:line="360" w:lineRule="auto"/>
        <w:jc w:val="left"/>
        <w:rPr>
          <w:rFonts w:ascii="宋体" w:hAnsi="宋体" w:cs="宋体"/>
          <w:sz w:val="24"/>
          <w:highlight w:val="none"/>
        </w:rPr>
        <w:sectPr>
          <w:headerReference r:id="rId3" w:type="default"/>
          <w:footerReference r:id="rId4" w:type="default"/>
          <w:pgSz w:w="11906" w:h="16838"/>
          <w:pgMar w:top="1440" w:right="1797" w:bottom="1440" w:left="1797" w:header="851" w:footer="992" w:gutter="0"/>
          <w:cols w:space="1701" w:num="1"/>
          <w:docGrid w:linePitch="360" w:charSpace="0"/>
        </w:sectPr>
      </w:pPr>
    </w:p>
    <w:p w14:paraId="219C3BF5">
      <w:pPr>
        <w:tabs>
          <w:tab w:val="left" w:pos="3151"/>
          <w:tab w:val="left" w:pos="4934"/>
          <w:tab w:val="left" w:pos="4965"/>
          <w:tab w:val="left" w:pos="8205"/>
        </w:tabs>
        <w:adjustRightInd w:val="0"/>
        <w:snapToGrid w:val="0"/>
        <w:spacing w:line="360" w:lineRule="auto"/>
        <w:jc w:val="left"/>
        <w:rPr>
          <w:rFonts w:ascii="宋体" w:hAnsi="宋体" w:cs="宋体"/>
          <w:sz w:val="24"/>
          <w:highlight w:val="none"/>
        </w:rPr>
      </w:pPr>
      <w:r>
        <w:rPr>
          <w:rFonts w:hint="eastAsia" w:ascii="宋体" w:hAnsi="宋体" w:cs="宋体"/>
          <w:sz w:val="24"/>
          <w:highlight w:val="none"/>
        </w:rPr>
        <w:t>委托人</w:t>
      </w:r>
      <w:r>
        <w:rPr>
          <w:rFonts w:hint="eastAsia" w:ascii="宋体" w:hAnsi="宋体" w:cs="宋体"/>
          <w:spacing w:val="-17"/>
          <w:sz w:val="24"/>
          <w:highlight w:val="none"/>
        </w:rPr>
        <w:t>：</w:t>
      </w:r>
      <w:r>
        <w:rPr>
          <w:rFonts w:hint="eastAsia" w:ascii="宋体" w:hAnsi="宋体" w:cs="宋体"/>
          <w:spacing w:val="-17"/>
          <w:sz w:val="24"/>
          <w:highlight w:val="none"/>
          <w:u w:val="single"/>
        </w:rPr>
        <w:t xml:space="preserve">                   </w:t>
      </w:r>
      <w:r>
        <w:rPr>
          <w:rFonts w:hint="eastAsia" w:ascii="宋体" w:hAnsi="宋体" w:cs="宋体"/>
          <w:sz w:val="24"/>
          <w:highlight w:val="none"/>
        </w:rPr>
        <w:t>（盖章）      受托人</w:t>
      </w:r>
      <w:r>
        <w:rPr>
          <w:rFonts w:hint="eastAsia" w:ascii="宋体" w:hAnsi="宋体" w:cs="宋体"/>
          <w:spacing w:val="-17"/>
          <w:sz w:val="24"/>
          <w:highlight w:val="none"/>
        </w:rPr>
        <w:t>：</w:t>
      </w:r>
      <w:r>
        <w:rPr>
          <w:rFonts w:hint="eastAsia" w:ascii="宋体" w:hAnsi="宋体" w:cs="宋体"/>
          <w:spacing w:val="-17"/>
          <w:sz w:val="24"/>
          <w:highlight w:val="none"/>
          <w:u w:val="single"/>
        </w:rPr>
        <w:t xml:space="preserve">                </w:t>
      </w:r>
      <w:r>
        <w:rPr>
          <w:rFonts w:hint="eastAsia" w:ascii="宋体" w:hAnsi="宋体" w:cs="宋体"/>
          <w:sz w:val="24"/>
          <w:highlight w:val="none"/>
        </w:rPr>
        <w:t xml:space="preserve">（盖章） </w:t>
      </w:r>
    </w:p>
    <w:p w14:paraId="4D64E60D">
      <w:pPr>
        <w:tabs>
          <w:tab w:val="left" w:pos="3151"/>
          <w:tab w:val="left" w:pos="4934"/>
          <w:tab w:val="left" w:pos="5174"/>
          <w:tab w:val="left" w:pos="7781"/>
        </w:tabs>
        <w:adjustRightInd w:val="0"/>
        <w:snapToGrid w:val="0"/>
        <w:spacing w:line="360" w:lineRule="auto"/>
        <w:rPr>
          <w:rFonts w:ascii="宋体" w:hAnsi="宋体" w:cs="宋体"/>
          <w:sz w:val="24"/>
          <w:highlight w:val="none"/>
        </w:rPr>
      </w:pPr>
      <w:r>
        <w:rPr>
          <w:rFonts w:hint="eastAsia" w:ascii="宋体" w:hAnsi="宋体" w:cs="宋体"/>
          <w:sz w:val="24"/>
          <w:highlight w:val="none"/>
        </w:rPr>
        <w:t>法定代表人                         法定代表人</w:t>
      </w:r>
    </w:p>
    <w:p w14:paraId="0E9FAFFE">
      <w:pPr>
        <w:tabs>
          <w:tab w:val="left" w:pos="3151"/>
          <w:tab w:val="left" w:pos="4934"/>
          <w:tab w:val="left" w:pos="5174"/>
          <w:tab w:val="left" w:pos="7781"/>
        </w:tabs>
        <w:adjustRightInd w:val="0"/>
        <w:snapToGrid w:val="0"/>
        <w:spacing w:line="360" w:lineRule="auto"/>
        <w:rPr>
          <w:rFonts w:ascii="宋体" w:hAnsi="宋体" w:cs="宋体"/>
          <w:sz w:val="24"/>
          <w:highlight w:val="none"/>
        </w:rPr>
      </w:pPr>
      <w:r>
        <w:rPr>
          <w:rFonts w:hint="eastAsia" w:ascii="宋体" w:hAnsi="宋体" w:cs="宋体"/>
          <w:sz w:val="24"/>
          <w:highlight w:val="none"/>
        </w:rPr>
        <w:t>或其委托代理人</w:t>
      </w:r>
      <w:r>
        <w:rPr>
          <w:rFonts w:hint="eastAsia" w:ascii="宋体" w:hAnsi="宋体" w:cs="宋体"/>
          <w:spacing w:val="-17"/>
          <w:sz w:val="24"/>
          <w:highlight w:val="none"/>
        </w:rPr>
        <w:t>：</w:t>
      </w:r>
      <w:r>
        <w:rPr>
          <w:rFonts w:hint="eastAsia" w:ascii="宋体" w:hAnsi="宋体" w:cs="宋体"/>
          <w:spacing w:val="-17"/>
          <w:sz w:val="24"/>
          <w:highlight w:val="none"/>
          <w:u w:val="single"/>
        </w:rPr>
        <w:t xml:space="preserve">       </w:t>
      </w:r>
      <w:r>
        <w:rPr>
          <w:rFonts w:hint="eastAsia" w:ascii="宋体" w:hAnsi="宋体" w:cs="宋体"/>
          <w:i/>
          <w:sz w:val="24"/>
          <w:highlight w:val="none"/>
        </w:rPr>
        <w:t>（</w:t>
      </w:r>
      <w:r>
        <w:rPr>
          <w:rFonts w:hint="eastAsia" w:ascii="宋体" w:hAnsi="宋体" w:cs="宋体"/>
          <w:sz w:val="24"/>
          <w:highlight w:val="none"/>
        </w:rPr>
        <w:t>签字或盖章）或其委托代理人</w:t>
      </w:r>
      <w:r>
        <w:rPr>
          <w:rFonts w:hint="eastAsia" w:ascii="宋体" w:hAnsi="宋体" w:cs="宋体"/>
          <w:spacing w:val="-16"/>
          <w:sz w:val="24"/>
          <w:highlight w:val="none"/>
        </w:rPr>
        <w:t>：</w:t>
      </w:r>
      <w:r>
        <w:rPr>
          <w:rFonts w:hint="eastAsia" w:ascii="宋体" w:hAnsi="宋体" w:cs="宋体"/>
          <w:spacing w:val="-1"/>
          <w:sz w:val="24"/>
          <w:highlight w:val="none"/>
          <w:u w:val="single"/>
        </w:rPr>
        <w:t xml:space="preserve">    </w:t>
      </w:r>
      <w:r>
        <w:rPr>
          <w:rFonts w:hint="eastAsia" w:ascii="宋体" w:hAnsi="宋体" w:cs="宋体"/>
          <w:i/>
          <w:sz w:val="24"/>
          <w:highlight w:val="none"/>
        </w:rPr>
        <w:t>（</w:t>
      </w:r>
      <w:r>
        <w:rPr>
          <w:rFonts w:hint="eastAsia" w:ascii="宋体" w:hAnsi="宋体" w:cs="宋体"/>
          <w:sz w:val="24"/>
          <w:highlight w:val="none"/>
        </w:rPr>
        <w:t>签字或盖章）</w:t>
      </w:r>
    </w:p>
    <w:p w14:paraId="46B165BD">
      <w:pPr>
        <w:tabs>
          <w:tab w:val="left" w:pos="1920"/>
          <w:tab w:val="left" w:pos="2130"/>
          <w:tab w:val="left" w:pos="2760"/>
          <w:tab w:val="left" w:pos="5945"/>
          <w:tab w:val="left" w:pos="7025"/>
          <w:tab w:val="left" w:pos="7865"/>
          <w:tab w:val="left" w:pos="8705"/>
        </w:tabs>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 xml:space="preserve">日        </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rPr>
        <w:t>日</w:t>
      </w:r>
    </w:p>
    <w:p w14:paraId="34A43D6E">
      <w:pPr>
        <w:rPr>
          <w:rFonts w:ascii="宋体" w:hAnsi="宋体" w:cs="宋体"/>
          <w:sz w:val="24"/>
          <w:highlight w:val="none"/>
        </w:rPr>
      </w:pPr>
      <w:r>
        <w:rPr>
          <w:rFonts w:hint="eastAsia" w:ascii="宋体" w:hAnsi="宋体" w:cs="宋体"/>
          <w:sz w:val="24"/>
          <w:highlight w:val="none"/>
        </w:rPr>
        <w:br w:type="page"/>
      </w:r>
    </w:p>
    <w:p w14:paraId="2E94D2DB">
      <w:pPr>
        <w:autoSpaceDE w:val="0"/>
        <w:autoSpaceDN w:val="0"/>
        <w:adjustRightInd w:val="0"/>
        <w:snapToGrid w:val="0"/>
        <w:spacing w:line="360" w:lineRule="auto"/>
        <w:rPr>
          <w:rFonts w:ascii="宋体" w:hAnsi="宋体" w:cs="宋体"/>
          <w:sz w:val="24"/>
          <w:highlight w:val="none"/>
        </w:rPr>
        <w:sectPr>
          <w:type w:val="continuous"/>
          <w:pgSz w:w="11906" w:h="16838"/>
          <w:pgMar w:top="1440" w:right="1797" w:bottom="1440" w:left="1797" w:header="851" w:footer="992" w:gutter="0"/>
          <w:cols w:space="1701" w:num="1"/>
          <w:docGrid w:linePitch="360" w:charSpace="0"/>
        </w:sectPr>
      </w:pPr>
    </w:p>
    <w:p w14:paraId="0D8E89E4">
      <w:pPr>
        <w:autoSpaceDE w:val="0"/>
        <w:autoSpaceDN w:val="0"/>
        <w:adjustRightInd w:val="0"/>
        <w:snapToGrid w:val="0"/>
        <w:spacing w:line="360" w:lineRule="auto"/>
        <w:rPr>
          <w:rFonts w:ascii="宋体" w:hAnsi="宋体" w:cs="宋体"/>
          <w:szCs w:val="21"/>
          <w:highlight w:val="none"/>
        </w:rPr>
      </w:pPr>
      <w:r>
        <w:rPr>
          <w:rFonts w:hint="eastAsia" w:ascii="宋体" w:hAnsi="宋体" w:cs="宋体"/>
          <w:sz w:val="24"/>
          <w:highlight w:val="none"/>
        </w:rPr>
        <w:t>合同附件二：</w:t>
      </w:r>
    </w:p>
    <w:p w14:paraId="34DCFDF6">
      <w:pPr>
        <w:spacing w:line="360" w:lineRule="auto"/>
        <w:jc w:val="center"/>
        <w:rPr>
          <w:rFonts w:ascii="宋体" w:hAnsi="宋体" w:cs="宋体"/>
          <w:b/>
          <w:bCs/>
          <w:sz w:val="30"/>
          <w:szCs w:val="30"/>
          <w:highlight w:val="none"/>
        </w:rPr>
      </w:pPr>
      <w:r>
        <w:rPr>
          <w:rFonts w:hint="eastAsia" w:ascii="宋体" w:hAnsi="宋体" w:cs="宋体"/>
          <w:b/>
          <w:bCs/>
          <w:sz w:val="30"/>
          <w:szCs w:val="30"/>
          <w:highlight w:val="none"/>
        </w:rPr>
        <w:t>安全生产合同协议书</w:t>
      </w:r>
    </w:p>
    <w:p w14:paraId="519938BA">
      <w:pPr>
        <w:tabs>
          <w:tab w:val="left" w:pos="3081"/>
          <w:tab w:val="left" w:pos="5122"/>
          <w:tab w:val="left" w:pos="6125"/>
          <w:tab w:val="left" w:pos="8619"/>
        </w:tabs>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为在</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rPr>
        <w:t>标段合同的实施过程中切实搞好本项目的安全管理工作</w:t>
      </w:r>
      <w:r>
        <w:rPr>
          <w:rFonts w:hint="eastAsia" w:ascii="宋体" w:hAnsi="宋体" w:cs="宋体"/>
          <w:spacing w:val="-29"/>
          <w:sz w:val="24"/>
          <w:highlight w:val="none"/>
        </w:rPr>
        <w:t>，</w:t>
      </w:r>
      <w:r>
        <w:rPr>
          <w:rFonts w:hint="eastAsia" w:ascii="宋体" w:hAnsi="宋体" w:cs="宋体"/>
          <w:sz w:val="24"/>
          <w:highlight w:val="none"/>
        </w:rPr>
        <w:t>本项目委托人</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rPr>
        <w:t>（委托人名称</w:t>
      </w:r>
      <w:r>
        <w:rPr>
          <w:rFonts w:hint="eastAsia" w:ascii="宋体" w:hAnsi="宋体" w:cs="宋体"/>
          <w:spacing w:val="-13"/>
          <w:sz w:val="24"/>
          <w:highlight w:val="none"/>
        </w:rPr>
        <w:t>，</w:t>
      </w:r>
      <w:r>
        <w:rPr>
          <w:rFonts w:hint="eastAsia" w:ascii="宋体" w:hAnsi="宋体" w:cs="宋体"/>
          <w:sz w:val="24"/>
          <w:highlight w:val="none"/>
        </w:rPr>
        <w:t>以下简称“委托人</w:t>
      </w:r>
      <w:r>
        <w:rPr>
          <w:rFonts w:hint="eastAsia" w:ascii="宋体" w:hAnsi="宋体" w:cs="宋体"/>
          <w:spacing w:val="-7"/>
          <w:sz w:val="24"/>
          <w:highlight w:val="none"/>
        </w:rPr>
        <w:t>”）</w:t>
      </w:r>
      <w:r>
        <w:rPr>
          <w:rFonts w:hint="eastAsia" w:ascii="宋体" w:hAnsi="宋体" w:cs="宋体"/>
          <w:sz w:val="24"/>
          <w:highlight w:val="none"/>
        </w:rPr>
        <w:t>与受托人</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（受托人名称</w:t>
      </w:r>
      <w:r>
        <w:rPr>
          <w:rFonts w:hint="eastAsia" w:ascii="宋体" w:hAnsi="宋体" w:cs="宋体"/>
          <w:spacing w:val="-12"/>
          <w:sz w:val="24"/>
          <w:highlight w:val="none"/>
        </w:rPr>
        <w:t>，</w:t>
      </w:r>
      <w:r>
        <w:rPr>
          <w:rFonts w:hint="eastAsia" w:ascii="宋体" w:hAnsi="宋体" w:cs="宋体"/>
          <w:sz w:val="24"/>
          <w:highlight w:val="none"/>
        </w:rPr>
        <w:t>以下简称“受托人”）特此签订安全生产合同。</w:t>
      </w:r>
    </w:p>
    <w:p w14:paraId="41C62B6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1.委托人职责</w:t>
      </w:r>
    </w:p>
    <w:p w14:paraId="0BF764E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（1）严格遵守国家有关安全生产的法律法规，认真执行工程承包合同中的有关安全要求。</w:t>
      </w:r>
    </w:p>
    <w:p w14:paraId="0E7913E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（2）按照“安全第一、预防为主、综合治理”和坚持“管生产必须管安全”的原则进行安全生产管理，做到生产与安全工作同时计划、布置、检查、总结和评比。</w:t>
      </w:r>
    </w:p>
    <w:p w14:paraId="22C9850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（3）重要的安全设施必须坚持与主体工程“三同时”的原则，即：同时设计、审批，同时施工，同时验收，投入使用。</w:t>
      </w:r>
    </w:p>
    <w:p w14:paraId="535F771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（4）定期召开安全生产调度会，及时传达中央及地方有关安全生产的精神。</w:t>
      </w:r>
    </w:p>
    <w:p w14:paraId="1B1B717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（5）组织对受托人进行安全生产检查，监督受托人及时处理发现的各种安全隐患。</w:t>
      </w:r>
    </w:p>
    <w:p w14:paraId="5B78395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2.受托人职责</w:t>
      </w:r>
    </w:p>
    <w:p w14:paraId="0624248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严格遵守《中华人民共和国安全生产法》《建设工程安全生产管理条例》等国家有关安全生产的法律法规、《公路水运工程安全生产监督管理办法》和《公路工程施工安全技术规范》等有关安全生产的规定。认真执行合同中的有关安全要求。</w:t>
      </w:r>
    </w:p>
    <w:p w14:paraId="6F822BB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所有项目组人员必须熟悉和</w:t>
      </w:r>
      <w:r>
        <w:rPr>
          <w:rFonts w:hint="eastAsia" w:ascii="宋体" w:hAnsi="宋体" w:cs="宋体"/>
          <w:spacing w:val="-5"/>
          <w:sz w:val="24"/>
          <w:highlight w:val="none"/>
        </w:rPr>
        <w:t>遵守本合同的各项规定，做到生产与安全工作同时计划、布置、检查、总结和评比。</w:t>
      </w:r>
    </w:p>
    <w:p w14:paraId="7C41C48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（3）建立健全安全生产责任制。</w:t>
      </w:r>
    </w:p>
    <w:p w14:paraId="66D17A1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（4）受托人在任何时候都应采取各种合理的预防措施，防止其员工发生任何违法、违纪、暴力或妨碍治安的行为。</w:t>
      </w:r>
    </w:p>
    <w:p w14:paraId="052F08B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受托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1A7B29D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（6）安全生产费用按照《公路水运工程安全生产监督管理办法》的相关规定使用和管理。</w:t>
      </w:r>
    </w:p>
    <w:p w14:paraId="126F997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3.违约责任</w:t>
      </w:r>
    </w:p>
    <w:p w14:paraId="32E5727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如因委托人或受托人违约造成安全事故，将依法追究责任。</w:t>
      </w:r>
    </w:p>
    <w:p w14:paraId="05121C6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4.本合同由双方法定代表人或其授权的代理人签署并加盖单位章后生效，项目验收结束后失效。</w:t>
      </w:r>
    </w:p>
    <w:p w14:paraId="12FA486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5.本合同正本二份</w:t>
      </w:r>
      <w:r>
        <w:rPr>
          <w:rFonts w:hint="eastAsia" w:ascii="宋体" w:hAnsi="宋体" w:cs="宋体"/>
          <w:spacing w:val="2"/>
          <w:sz w:val="24"/>
          <w:highlight w:val="none"/>
        </w:rPr>
        <w:t>、</w:t>
      </w:r>
      <w:r>
        <w:rPr>
          <w:rFonts w:hint="eastAsia" w:ascii="宋体" w:hAnsi="宋体" w:cs="宋体"/>
          <w:sz w:val="24"/>
          <w:highlight w:val="none"/>
        </w:rPr>
        <w:t>副</w:t>
      </w:r>
      <w:r>
        <w:rPr>
          <w:rFonts w:hint="eastAsia" w:ascii="宋体" w:hAnsi="宋体" w:cs="宋体"/>
          <w:spacing w:val="2"/>
          <w:sz w:val="24"/>
          <w:highlight w:val="none"/>
        </w:rPr>
        <w:t>本</w:t>
      </w:r>
      <w:r>
        <w:rPr>
          <w:rFonts w:hint="eastAsia" w:ascii="宋体" w:hAnsi="宋体" w:cs="宋体"/>
          <w:spacing w:val="2"/>
          <w:sz w:val="24"/>
          <w:highlight w:val="none"/>
          <w:u w:val="single"/>
        </w:rPr>
        <w:t xml:space="preserve"> </w:t>
      </w:r>
      <w:r>
        <w:rPr>
          <w:rFonts w:hint="eastAsia" w:ascii="宋体" w:hAnsi="宋体" w:cs="宋体"/>
          <w:spacing w:val="2"/>
          <w:sz w:val="24"/>
          <w:highlight w:val="none"/>
          <w:u w:val="single"/>
        </w:rPr>
        <w:tab/>
      </w:r>
      <w:r>
        <w:rPr>
          <w:rFonts w:hint="eastAsia" w:ascii="宋体" w:hAnsi="宋体" w:cs="宋体"/>
          <w:sz w:val="24"/>
          <w:highlight w:val="none"/>
        </w:rPr>
        <w:t>份，合同双</w:t>
      </w:r>
      <w:r>
        <w:rPr>
          <w:rFonts w:hint="eastAsia" w:ascii="宋体" w:hAnsi="宋体" w:cs="宋体"/>
          <w:spacing w:val="2"/>
          <w:sz w:val="24"/>
          <w:highlight w:val="none"/>
        </w:rPr>
        <w:t>方</w:t>
      </w:r>
      <w:r>
        <w:rPr>
          <w:rFonts w:hint="eastAsia" w:ascii="宋体" w:hAnsi="宋体" w:cs="宋体"/>
          <w:sz w:val="24"/>
          <w:highlight w:val="none"/>
        </w:rPr>
        <w:t>各执正本一份，副</w:t>
      </w:r>
      <w:r>
        <w:rPr>
          <w:rFonts w:hint="eastAsia" w:ascii="宋体" w:hAnsi="宋体" w:cs="宋体"/>
          <w:spacing w:val="5"/>
          <w:sz w:val="24"/>
          <w:highlight w:val="none"/>
        </w:rPr>
        <w:t>本</w:t>
      </w:r>
      <w:r>
        <w:rPr>
          <w:rFonts w:hint="eastAsia" w:ascii="宋体" w:hAnsi="宋体" w:cs="宋体"/>
          <w:spacing w:val="5"/>
          <w:sz w:val="24"/>
          <w:highlight w:val="none"/>
          <w:u w:val="single"/>
        </w:rPr>
        <w:t xml:space="preserve"> </w:t>
      </w:r>
      <w:r>
        <w:rPr>
          <w:rFonts w:hint="eastAsia" w:ascii="宋体" w:hAnsi="宋体" w:cs="宋体"/>
          <w:spacing w:val="5"/>
          <w:sz w:val="24"/>
          <w:highlight w:val="none"/>
          <w:u w:val="single"/>
        </w:rPr>
        <w:tab/>
      </w:r>
      <w:r>
        <w:rPr>
          <w:rFonts w:hint="eastAsia" w:ascii="宋体" w:hAnsi="宋体" w:cs="宋体"/>
          <w:sz w:val="24"/>
          <w:highlight w:val="none"/>
        </w:rPr>
        <w:t>份，当正本与副本的内容不一致时，以正本为准。</w:t>
      </w:r>
    </w:p>
    <w:p w14:paraId="6D37469F">
      <w:pPr>
        <w:adjustRightInd w:val="0"/>
        <w:snapToGrid w:val="0"/>
        <w:spacing w:line="360" w:lineRule="auto"/>
        <w:ind w:firstLine="480" w:firstLineChars="200"/>
        <w:rPr>
          <w:rFonts w:ascii="宋体" w:hAnsi="宋体" w:cs="宋体"/>
          <w:sz w:val="24"/>
          <w:highlight w:val="none"/>
        </w:rPr>
      </w:pPr>
    </w:p>
    <w:p w14:paraId="29ACB7E1">
      <w:pPr>
        <w:tabs>
          <w:tab w:val="left" w:pos="3151"/>
          <w:tab w:val="left" w:pos="4934"/>
          <w:tab w:val="left" w:pos="4965"/>
          <w:tab w:val="left" w:pos="8205"/>
        </w:tabs>
        <w:adjustRightInd w:val="0"/>
        <w:snapToGrid w:val="0"/>
        <w:spacing w:line="360" w:lineRule="auto"/>
        <w:jc w:val="left"/>
        <w:rPr>
          <w:rFonts w:ascii="宋体" w:hAnsi="宋体" w:cs="宋体"/>
          <w:sz w:val="24"/>
          <w:highlight w:val="none"/>
        </w:rPr>
      </w:pPr>
      <w:r>
        <w:rPr>
          <w:rFonts w:hint="eastAsia" w:ascii="宋体" w:hAnsi="宋体" w:cs="宋体"/>
          <w:sz w:val="24"/>
          <w:highlight w:val="none"/>
        </w:rPr>
        <w:t>委托人</w:t>
      </w:r>
      <w:r>
        <w:rPr>
          <w:rFonts w:hint="eastAsia" w:ascii="宋体" w:hAnsi="宋体" w:cs="宋体"/>
          <w:spacing w:val="-17"/>
          <w:sz w:val="24"/>
          <w:highlight w:val="none"/>
        </w:rPr>
        <w:t>：</w:t>
      </w:r>
      <w:r>
        <w:rPr>
          <w:rFonts w:hint="eastAsia" w:ascii="宋体" w:hAnsi="宋体" w:cs="宋体"/>
          <w:spacing w:val="-17"/>
          <w:sz w:val="24"/>
          <w:highlight w:val="none"/>
          <w:u w:val="single"/>
        </w:rPr>
        <w:t xml:space="preserve">                   </w:t>
      </w:r>
      <w:r>
        <w:rPr>
          <w:rFonts w:hint="eastAsia" w:ascii="宋体" w:hAnsi="宋体" w:cs="宋体"/>
          <w:sz w:val="24"/>
          <w:highlight w:val="none"/>
        </w:rPr>
        <w:t>（盖章）      受托人</w:t>
      </w:r>
      <w:r>
        <w:rPr>
          <w:rFonts w:hint="eastAsia" w:ascii="宋体" w:hAnsi="宋体" w:cs="宋体"/>
          <w:spacing w:val="-17"/>
          <w:sz w:val="24"/>
          <w:highlight w:val="none"/>
        </w:rPr>
        <w:t>：</w:t>
      </w:r>
      <w:r>
        <w:rPr>
          <w:rFonts w:hint="eastAsia" w:ascii="宋体" w:hAnsi="宋体" w:cs="宋体"/>
          <w:spacing w:val="-17"/>
          <w:sz w:val="24"/>
          <w:highlight w:val="none"/>
          <w:u w:val="single"/>
        </w:rPr>
        <w:t xml:space="preserve">                </w:t>
      </w:r>
      <w:r>
        <w:rPr>
          <w:rFonts w:hint="eastAsia" w:ascii="宋体" w:hAnsi="宋体" w:cs="宋体"/>
          <w:sz w:val="24"/>
          <w:highlight w:val="none"/>
        </w:rPr>
        <w:t xml:space="preserve">（盖章） </w:t>
      </w:r>
    </w:p>
    <w:p w14:paraId="0AE6DFC4">
      <w:pPr>
        <w:tabs>
          <w:tab w:val="left" w:pos="3151"/>
          <w:tab w:val="left" w:pos="4934"/>
          <w:tab w:val="left" w:pos="5174"/>
          <w:tab w:val="left" w:pos="7781"/>
        </w:tabs>
        <w:adjustRightInd w:val="0"/>
        <w:snapToGrid w:val="0"/>
        <w:spacing w:line="360" w:lineRule="auto"/>
        <w:rPr>
          <w:rFonts w:ascii="宋体" w:hAnsi="宋体" w:cs="宋体"/>
          <w:sz w:val="24"/>
          <w:highlight w:val="none"/>
        </w:rPr>
      </w:pPr>
      <w:r>
        <w:rPr>
          <w:rFonts w:hint="eastAsia" w:ascii="宋体" w:hAnsi="宋体" w:cs="宋体"/>
          <w:sz w:val="24"/>
          <w:highlight w:val="none"/>
        </w:rPr>
        <w:t>法定代表人                         法定代表人</w:t>
      </w:r>
    </w:p>
    <w:p w14:paraId="2FE655B6">
      <w:pPr>
        <w:tabs>
          <w:tab w:val="left" w:pos="3151"/>
          <w:tab w:val="left" w:pos="4934"/>
          <w:tab w:val="left" w:pos="5174"/>
          <w:tab w:val="left" w:pos="7781"/>
        </w:tabs>
        <w:adjustRightInd w:val="0"/>
        <w:snapToGrid w:val="0"/>
        <w:spacing w:line="360" w:lineRule="auto"/>
        <w:rPr>
          <w:rFonts w:ascii="宋体" w:hAnsi="宋体" w:cs="宋体"/>
          <w:sz w:val="24"/>
          <w:highlight w:val="none"/>
        </w:rPr>
      </w:pPr>
      <w:r>
        <w:rPr>
          <w:rFonts w:hint="eastAsia" w:ascii="宋体" w:hAnsi="宋体" w:cs="宋体"/>
          <w:sz w:val="24"/>
          <w:highlight w:val="none"/>
        </w:rPr>
        <w:t>或其委托代理人</w:t>
      </w:r>
      <w:r>
        <w:rPr>
          <w:rFonts w:hint="eastAsia" w:ascii="宋体" w:hAnsi="宋体" w:cs="宋体"/>
          <w:spacing w:val="-17"/>
          <w:sz w:val="24"/>
          <w:highlight w:val="none"/>
        </w:rPr>
        <w:t>：</w:t>
      </w:r>
      <w:r>
        <w:rPr>
          <w:rFonts w:hint="eastAsia" w:ascii="宋体" w:hAnsi="宋体" w:cs="宋体"/>
          <w:spacing w:val="-17"/>
          <w:sz w:val="24"/>
          <w:highlight w:val="none"/>
          <w:u w:val="single"/>
        </w:rPr>
        <w:t xml:space="preserve">       </w:t>
      </w:r>
      <w:r>
        <w:rPr>
          <w:rFonts w:hint="eastAsia" w:ascii="宋体" w:hAnsi="宋体" w:cs="宋体"/>
          <w:i/>
          <w:sz w:val="24"/>
          <w:highlight w:val="none"/>
        </w:rPr>
        <w:t>（</w:t>
      </w:r>
      <w:r>
        <w:rPr>
          <w:rFonts w:hint="eastAsia" w:ascii="宋体" w:hAnsi="宋体" w:cs="宋体"/>
          <w:sz w:val="24"/>
          <w:highlight w:val="none"/>
        </w:rPr>
        <w:t>签字或盖章）或其委托代理人</w:t>
      </w:r>
      <w:r>
        <w:rPr>
          <w:rFonts w:hint="eastAsia" w:ascii="宋体" w:hAnsi="宋体" w:cs="宋体"/>
          <w:spacing w:val="-16"/>
          <w:sz w:val="24"/>
          <w:highlight w:val="none"/>
        </w:rPr>
        <w:t>：</w:t>
      </w:r>
      <w:r>
        <w:rPr>
          <w:rFonts w:hint="eastAsia" w:ascii="宋体" w:hAnsi="宋体" w:cs="宋体"/>
          <w:spacing w:val="-1"/>
          <w:sz w:val="24"/>
          <w:highlight w:val="none"/>
          <w:u w:val="single"/>
        </w:rPr>
        <w:t xml:space="preserve">    </w:t>
      </w:r>
      <w:r>
        <w:rPr>
          <w:rFonts w:hint="eastAsia" w:ascii="宋体" w:hAnsi="宋体" w:cs="宋体"/>
          <w:i/>
          <w:sz w:val="24"/>
          <w:highlight w:val="none"/>
        </w:rPr>
        <w:t>（</w:t>
      </w:r>
      <w:r>
        <w:rPr>
          <w:rFonts w:hint="eastAsia" w:ascii="宋体" w:hAnsi="宋体" w:cs="宋体"/>
          <w:sz w:val="24"/>
          <w:highlight w:val="none"/>
        </w:rPr>
        <w:t>签字或盖章）</w:t>
      </w:r>
    </w:p>
    <w:p w14:paraId="11ABF7FE">
      <w:pPr>
        <w:tabs>
          <w:tab w:val="left" w:pos="1920"/>
          <w:tab w:val="left" w:pos="2130"/>
          <w:tab w:val="left" w:pos="2760"/>
          <w:tab w:val="left" w:pos="5945"/>
          <w:tab w:val="left" w:pos="7025"/>
          <w:tab w:val="left" w:pos="7865"/>
          <w:tab w:val="left" w:pos="8705"/>
        </w:tabs>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 xml:space="preserve">日        </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rPr>
        <w:t>日</w:t>
      </w:r>
    </w:p>
    <w:p w14:paraId="6B458C48">
      <w:pPr>
        <w:rPr>
          <w:rFonts w:ascii="宋体" w:hAnsi="宋体" w:cs="宋体"/>
          <w:b/>
          <w:bCs/>
          <w:sz w:val="36"/>
          <w:szCs w:val="36"/>
          <w:highlight w:val="none"/>
        </w:rPr>
      </w:pPr>
      <w:r>
        <w:rPr>
          <w:rFonts w:hint="eastAsia" w:ascii="宋体" w:hAnsi="宋体" w:cs="宋体"/>
          <w:sz w:val="24"/>
          <w:highlight w:val="none"/>
        </w:rPr>
        <w:br w:type="page"/>
      </w:r>
    </w:p>
    <w:bookmarkEnd w:id="109"/>
    <w:bookmarkEnd w:id="110"/>
    <w:p w14:paraId="25848D21">
      <w:pPr>
        <w:spacing w:line="360" w:lineRule="auto"/>
        <w:jc w:val="center"/>
        <w:rPr>
          <w:rFonts w:ascii="宋体" w:hAnsi="宋体" w:cs="宋体"/>
          <w:bCs/>
          <w:sz w:val="36"/>
          <w:szCs w:val="36"/>
          <w:highlight w:val="none"/>
        </w:rPr>
      </w:pPr>
      <w:r>
        <w:rPr>
          <w:rFonts w:hint="eastAsia" w:ascii="宋体" w:hAnsi="宋体" w:cs="宋体"/>
          <w:bCs/>
          <w:sz w:val="36"/>
          <w:szCs w:val="36"/>
          <w:highlight w:val="none"/>
        </w:rPr>
        <w:t>第六部分  投标文件组成</w:t>
      </w:r>
    </w:p>
    <w:p w14:paraId="6C63B19E">
      <w:pPr>
        <w:adjustRightInd w:val="0"/>
        <w:snapToGrid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投标文件由资格审查证明材料、商务技术标、价格标、电子版投标文件四部分组成。</w:t>
      </w:r>
    </w:p>
    <w:p w14:paraId="4895B85E">
      <w:pPr>
        <w:adjustRightInd w:val="0"/>
        <w:snapToGrid w:val="0"/>
        <w:spacing w:line="360" w:lineRule="auto"/>
        <w:ind w:firstLine="482" w:firstLineChars="200"/>
        <w:rPr>
          <w:rFonts w:ascii="宋体" w:hAnsi="宋体" w:cs="宋体"/>
          <w:b/>
          <w:bCs/>
          <w:sz w:val="24"/>
          <w:highlight w:val="none"/>
          <w:lang w:val="zh-CN"/>
        </w:rPr>
      </w:pPr>
      <w:r>
        <w:rPr>
          <w:rFonts w:hint="eastAsia" w:ascii="宋体" w:hAnsi="宋体" w:cs="宋体"/>
          <w:b/>
          <w:bCs/>
          <w:sz w:val="24"/>
          <w:highlight w:val="none"/>
          <w:lang w:val="zh-CN"/>
        </w:rPr>
        <w:t>一、资格审查证明材料（</w:t>
      </w:r>
      <w:r>
        <w:rPr>
          <w:rFonts w:hint="eastAsia" w:ascii="宋体" w:hAnsi="宋体" w:cs="宋体"/>
          <w:b/>
          <w:bCs/>
          <w:sz w:val="24"/>
          <w:highlight w:val="none"/>
        </w:rPr>
        <w:t>单独装订密封，</w:t>
      </w:r>
      <w:r>
        <w:rPr>
          <w:rFonts w:hint="eastAsia" w:ascii="宋体" w:hAnsi="宋体" w:cs="宋体"/>
          <w:b/>
          <w:bCs/>
          <w:sz w:val="24"/>
          <w:highlight w:val="none"/>
          <w:lang w:val="zh-CN"/>
        </w:rPr>
        <w:t>不能出现价格标。）</w:t>
      </w:r>
    </w:p>
    <w:p w14:paraId="4029F56C">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投标人符合《中华人民共和国政府采购法》第二</w:t>
      </w:r>
      <w:r>
        <w:rPr>
          <w:rFonts w:hint="eastAsia" w:ascii="宋体" w:hAnsi="宋体" w:cs="宋体"/>
          <w:sz w:val="24"/>
          <w:highlight w:val="none"/>
          <w:lang w:val="zh-CN"/>
        </w:rPr>
        <w:t>十二条规定条件的声明函（格式见附件）；</w:t>
      </w:r>
    </w:p>
    <w:p w14:paraId="3672D94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2.提供法定代表人身份证明原件</w:t>
      </w:r>
      <w:r>
        <w:rPr>
          <w:rFonts w:hint="eastAsia" w:ascii="宋体" w:hAnsi="宋体" w:cs="宋体"/>
          <w:sz w:val="24"/>
          <w:highlight w:val="none"/>
          <w:lang w:val="zh-CN"/>
        </w:rPr>
        <w:t>（格式见附件）；</w:t>
      </w:r>
    </w:p>
    <w:p w14:paraId="3C2E17B8">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3.</w:t>
      </w:r>
      <w:r>
        <w:rPr>
          <w:rFonts w:hint="eastAsia" w:ascii="宋体" w:hAnsi="宋体" w:cs="宋体"/>
          <w:sz w:val="24"/>
          <w:highlight w:val="none"/>
          <w:lang w:val="zh-CN"/>
        </w:rPr>
        <w:t>法定代表人授权委托书原件，投标代表本人身份证复印件（格式见附件）；</w:t>
      </w:r>
    </w:p>
    <w:p w14:paraId="641643B8">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4.</w:t>
      </w:r>
      <w:r>
        <w:rPr>
          <w:rFonts w:hint="eastAsia" w:ascii="宋体" w:hAnsi="宋体" w:cs="宋体"/>
          <w:sz w:val="24"/>
          <w:highlight w:val="none"/>
          <w:lang w:val="zh-CN"/>
        </w:rPr>
        <w:t>按</w:t>
      </w:r>
      <w:r>
        <w:rPr>
          <w:rFonts w:hint="eastAsia" w:ascii="宋体" w:hAnsi="宋体" w:cs="宋体"/>
          <w:sz w:val="24"/>
          <w:highlight w:val="none"/>
        </w:rPr>
        <w:t>招标</w:t>
      </w:r>
      <w:r>
        <w:rPr>
          <w:rFonts w:hint="eastAsia" w:ascii="宋体" w:hAnsi="宋体" w:cs="宋体"/>
          <w:sz w:val="24"/>
          <w:highlight w:val="none"/>
          <w:lang w:val="zh-CN"/>
        </w:rPr>
        <w:t>公告资格要求提供相应的佐证材料（以下佐证材料须提供复印件（或扫描件）并加盖投标</w:t>
      </w:r>
      <w:r>
        <w:rPr>
          <w:rFonts w:hint="eastAsia" w:ascii="宋体" w:hAnsi="宋体" w:cs="宋体"/>
          <w:sz w:val="24"/>
          <w:highlight w:val="none"/>
        </w:rPr>
        <w:t>人</w:t>
      </w:r>
      <w:r>
        <w:rPr>
          <w:rFonts w:hint="eastAsia" w:ascii="宋体" w:hAnsi="宋体" w:cs="宋体"/>
          <w:sz w:val="24"/>
          <w:highlight w:val="none"/>
          <w:lang w:val="zh-CN"/>
        </w:rPr>
        <w:t>公章）：</w:t>
      </w:r>
    </w:p>
    <w:p w14:paraId="69163B4F">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color w:val="000000"/>
          <w:sz w:val="24"/>
          <w:szCs w:val="21"/>
          <w:highlight w:val="none"/>
        </w:rPr>
        <w:t>（1）提供法人或者其他组织的营业执照等证明文件，自然人的身份证明</w:t>
      </w:r>
      <w:r>
        <w:rPr>
          <w:rFonts w:hint="eastAsia" w:ascii="宋体" w:hAnsi="宋体" w:cs="宋体"/>
          <w:sz w:val="24"/>
          <w:highlight w:val="none"/>
          <w:lang w:val="zh-CN"/>
        </w:rPr>
        <w:t>；</w:t>
      </w:r>
    </w:p>
    <w:p w14:paraId="0CF8C12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val="zh-CN"/>
        </w:rPr>
        <w:t>（</w:t>
      </w: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rPr>
        <w:t>提供拟投入本项目的项目负责人的职称证书</w:t>
      </w:r>
      <w:r>
        <w:rPr>
          <w:rFonts w:hint="eastAsia" w:ascii="宋体" w:hAnsi="宋体" w:cs="宋体"/>
          <w:sz w:val="24"/>
          <w:highlight w:val="none"/>
          <w:lang w:eastAsia="zh-CN"/>
        </w:rPr>
        <w:t>、</w:t>
      </w:r>
      <w:r>
        <w:rPr>
          <w:rFonts w:hint="eastAsia" w:ascii="宋体" w:hAnsi="宋体" w:cs="宋体"/>
          <w:sz w:val="24"/>
          <w:highlight w:val="none"/>
          <w:lang w:val="en-US" w:eastAsia="zh-CN"/>
        </w:rPr>
        <w:t>注册安全工程师职业资格证书</w:t>
      </w:r>
      <w:r>
        <w:rPr>
          <w:rFonts w:hint="eastAsia" w:ascii="宋体" w:hAnsi="宋体" w:cs="宋体"/>
          <w:sz w:val="24"/>
          <w:highlight w:val="none"/>
        </w:rPr>
        <w:t>及社保缴费证明；</w:t>
      </w:r>
    </w:p>
    <w:p w14:paraId="4BE7B91B">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5.其他需要提交的资格审查证明材料。</w:t>
      </w:r>
    </w:p>
    <w:p w14:paraId="7B4EBEFD">
      <w:pPr>
        <w:adjustRightInd w:val="0"/>
        <w:snapToGrid w:val="0"/>
        <w:spacing w:line="360" w:lineRule="auto"/>
        <w:ind w:firstLine="482" w:firstLineChars="200"/>
        <w:rPr>
          <w:rFonts w:ascii="宋体" w:hAnsi="宋体" w:cs="宋体"/>
          <w:b/>
          <w:bCs/>
          <w:sz w:val="24"/>
          <w:highlight w:val="none"/>
          <w:lang w:val="zh-CN"/>
        </w:rPr>
      </w:pPr>
      <w:r>
        <w:rPr>
          <w:rFonts w:hint="eastAsia" w:ascii="宋体" w:hAnsi="宋体" w:cs="宋体"/>
          <w:b/>
          <w:bCs/>
          <w:sz w:val="24"/>
          <w:highlight w:val="none"/>
          <w:lang w:val="zh-CN"/>
        </w:rPr>
        <w:t>二、商务技术标（</w:t>
      </w:r>
      <w:r>
        <w:rPr>
          <w:rFonts w:hint="eastAsia" w:ascii="宋体" w:hAnsi="宋体" w:cs="宋体"/>
          <w:b/>
          <w:bCs/>
          <w:sz w:val="24"/>
          <w:highlight w:val="none"/>
        </w:rPr>
        <w:t>单独装订密封，</w:t>
      </w:r>
      <w:r>
        <w:rPr>
          <w:rFonts w:hint="eastAsia" w:ascii="宋体" w:hAnsi="宋体" w:cs="宋体"/>
          <w:b/>
          <w:bCs/>
          <w:sz w:val="24"/>
          <w:highlight w:val="none"/>
          <w:lang w:val="zh-CN"/>
        </w:rPr>
        <w:t>不能出现价格标）</w:t>
      </w:r>
    </w:p>
    <w:p w14:paraId="752BDC91">
      <w:pPr>
        <w:adjustRightInd w:val="0"/>
        <w:snapToGrid w:val="0"/>
        <w:spacing w:line="360" w:lineRule="auto"/>
        <w:ind w:firstLine="480" w:firstLineChars="200"/>
        <w:rPr>
          <w:rFonts w:ascii="宋体" w:hAnsi="宋体" w:cs="宋体"/>
          <w:bCs/>
          <w:sz w:val="24"/>
          <w:highlight w:val="none"/>
          <w:lang w:val="zh-CN"/>
        </w:rPr>
      </w:pPr>
      <w:r>
        <w:rPr>
          <w:rFonts w:hint="eastAsia" w:ascii="宋体" w:hAnsi="宋体" w:cs="宋体"/>
          <w:bCs/>
          <w:sz w:val="24"/>
          <w:highlight w:val="none"/>
          <w:lang w:val="zh-CN"/>
        </w:rPr>
        <w:t>1.投标人情况一览表；（格式见附件）</w:t>
      </w:r>
    </w:p>
    <w:p w14:paraId="3823CA57">
      <w:pPr>
        <w:adjustRightInd w:val="0"/>
        <w:snapToGrid w:val="0"/>
        <w:spacing w:line="360" w:lineRule="auto"/>
        <w:ind w:firstLine="480" w:firstLineChars="200"/>
        <w:rPr>
          <w:rFonts w:ascii="宋体" w:hAnsi="宋体" w:cs="宋体"/>
          <w:bCs/>
          <w:sz w:val="24"/>
          <w:highlight w:val="none"/>
          <w:lang w:val="zh-CN"/>
        </w:rPr>
      </w:pPr>
      <w:r>
        <w:rPr>
          <w:rFonts w:hint="eastAsia" w:ascii="宋体" w:hAnsi="宋体" w:cs="宋体"/>
          <w:bCs/>
          <w:sz w:val="24"/>
          <w:highlight w:val="none"/>
        </w:rPr>
        <w:t>2</w:t>
      </w:r>
      <w:r>
        <w:rPr>
          <w:rFonts w:hint="eastAsia" w:ascii="宋体" w:hAnsi="宋体" w:cs="宋体"/>
          <w:bCs/>
          <w:sz w:val="24"/>
          <w:highlight w:val="none"/>
          <w:lang w:val="zh-CN"/>
        </w:rPr>
        <w:t>.评标办法中所涉及的事项需提供的所有资料；</w:t>
      </w:r>
    </w:p>
    <w:p w14:paraId="454D0EE3">
      <w:pPr>
        <w:adjustRightInd w:val="0"/>
        <w:snapToGrid w:val="0"/>
        <w:spacing w:line="360" w:lineRule="auto"/>
        <w:ind w:firstLine="480" w:firstLineChars="200"/>
        <w:rPr>
          <w:rFonts w:ascii="宋体" w:hAnsi="宋体" w:cs="宋体"/>
          <w:bCs/>
          <w:sz w:val="24"/>
          <w:highlight w:val="none"/>
          <w:lang w:val="zh-CN"/>
        </w:rPr>
      </w:pPr>
      <w:r>
        <w:rPr>
          <w:rFonts w:hint="eastAsia" w:ascii="宋体" w:hAnsi="宋体" w:cs="宋体"/>
          <w:bCs/>
          <w:sz w:val="24"/>
          <w:highlight w:val="none"/>
        </w:rPr>
        <w:t>3</w:t>
      </w:r>
      <w:r>
        <w:rPr>
          <w:rFonts w:hint="eastAsia" w:ascii="宋体" w:hAnsi="宋体" w:cs="宋体"/>
          <w:bCs/>
          <w:sz w:val="24"/>
          <w:highlight w:val="none"/>
          <w:lang w:val="zh-CN"/>
        </w:rPr>
        <w:t>.评标办法中未涉及的事项，投标人认为需要提交的其他资料；</w:t>
      </w:r>
    </w:p>
    <w:p w14:paraId="3BB89791">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4</w:t>
      </w:r>
      <w:r>
        <w:rPr>
          <w:rFonts w:hint="eastAsia" w:ascii="宋体" w:hAnsi="宋体" w:cs="宋体"/>
          <w:sz w:val="24"/>
          <w:highlight w:val="none"/>
          <w:lang w:val="zh-CN"/>
        </w:rPr>
        <w:t>.招标文件中要求提供的其他材料。</w:t>
      </w:r>
    </w:p>
    <w:p w14:paraId="52C136C3">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注：以上证明材料如为复印件均需加盖投标单位公章。为方便评委评审，请投标人按评标办法中所涉及的事项顺序进行编制，可以补充相关材料。</w:t>
      </w:r>
    </w:p>
    <w:p w14:paraId="5E0F7C43">
      <w:pPr>
        <w:adjustRightInd w:val="0"/>
        <w:snapToGrid w:val="0"/>
        <w:spacing w:line="360" w:lineRule="auto"/>
        <w:ind w:firstLine="482" w:firstLineChars="200"/>
        <w:rPr>
          <w:rFonts w:ascii="宋体" w:hAnsi="宋体" w:cs="宋体"/>
          <w:b/>
          <w:bCs/>
          <w:sz w:val="24"/>
          <w:highlight w:val="none"/>
          <w:lang w:val="zh-CN"/>
        </w:rPr>
      </w:pPr>
      <w:r>
        <w:rPr>
          <w:rFonts w:hint="eastAsia" w:ascii="宋体" w:hAnsi="宋体" w:cs="宋体"/>
          <w:b/>
          <w:bCs/>
          <w:sz w:val="24"/>
          <w:highlight w:val="none"/>
          <w:lang w:val="zh-CN"/>
        </w:rPr>
        <w:t>三、价格标（</w:t>
      </w:r>
      <w:r>
        <w:rPr>
          <w:rFonts w:hint="eastAsia" w:ascii="宋体" w:hAnsi="宋体" w:cs="宋体"/>
          <w:b/>
          <w:bCs/>
          <w:sz w:val="24"/>
          <w:highlight w:val="none"/>
        </w:rPr>
        <w:t>单独装订密封</w:t>
      </w:r>
      <w:r>
        <w:rPr>
          <w:rFonts w:hint="eastAsia" w:ascii="宋体" w:hAnsi="宋体" w:cs="宋体"/>
          <w:b/>
          <w:bCs/>
          <w:sz w:val="24"/>
          <w:highlight w:val="none"/>
          <w:lang w:val="zh-CN"/>
        </w:rPr>
        <w:t>）</w:t>
      </w:r>
    </w:p>
    <w:p w14:paraId="0D154168">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1.开标一览表（格式见附件）；</w:t>
      </w:r>
    </w:p>
    <w:p w14:paraId="368AAB03">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投标分项报价表</w:t>
      </w:r>
      <w:r>
        <w:rPr>
          <w:rFonts w:hint="eastAsia" w:ascii="宋体" w:hAnsi="宋体" w:cs="宋体"/>
          <w:sz w:val="24"/>
          <w:highlight w:val="none"/>
          <w:lang w:val="zh-CN"/>
        </w:rPr>
        <w:t>（格式见附件）；</w:t>
      </w:r>
    </w:p>
    <w:p w14:paraId="4BE3DA6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3.中小企业声明函</w:t>
      </w:r>
      <w:r>
        <w:rPr>
          <w:rFonts w:hint="eastAsia" w:ascii="宋体" w:hAnsi="宋体" w:cs="宋体"/>
          <w:sz w:val="24"/>
          <w:highlight w:val="none"/>
          <w:lang w:val="zh-CN"/>
        </w:rPr>
        <w:t>（</w:t>
      </w:r>
      <w:r>
        <w:rPr>
          <w:rFonts w:hint="eastAsia" w:ascii="宋体" w:hAnsi="宋体" w:cs="宋体"/>
          <w:sz w:val="24"/>
          <w:highlight w:val="none"/>
        </w:rPr>
        <w:t>如符合需提供，</w:t>
      </w:r>
      <w:r>
        <w:rPr>
          <w:rFonts w:hint="eastAsia" w:ascii="宋体" w:hAnsi="宋体" w:cs="宋体"/>
          <w:sz w:val="24"/>
          <w:highlight w:val="none"/>
          <w:lang w:val="zh-CN"/>
        </w:rPr>
        <w:t>格式见附件）；</w:t>
      </w:r>
    </w:p>
    <w:p w14:paraId="5FFF81A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4.监狱企业证明函（如符合监狱企业的需提供，</w:t>
      </w:r>
      <w:r>
        <w:rPr>
          <w:rFonts w:hint="eastAsia" w:ascii="宋体" w:hAnsi="宋体" w:cs="宋体"/>
          <w:sz w:val="24"/>
          <w:highlight w:val="none"/>
          <w:lang w:val="zh-CN"/>
        </w:rPr>
        <w:t>格式见附件</w:t>
      </w:r>
      <w:r>
        <w:rPr>
          <w:rFonts w:hint="eastAsia" w:ascii="宋体" w:hAnsi="宋体" w:cs="宋体"/>
          <w:sz w:val="24"/>
          <w:highlight w:val="none"/>
        </w:rPr>
        <w:t>）；</w:t>
      </w:r>
    </w:p>
    <w:p w14:paraId="3C583A4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5.残疾人福利性单位声明函（如符合残疾人福利性单位的需提供，</w:t>
      </w:r>
      <w:r>
        <w:rPr>
          <w:rFonts w:hint="eastAsia" w:ascii="宋体" w:hAnsi="宋体" w:cs="宋体"/>
          <w:sz w:val="24"/>
          <w:highlight w:val="none"/>
          <w:lang w:val="zh-CN"/>
        </w:rPr>
        <w:t>格式见附件</w:t>
      </w:r>
      <w:r>
        <w:rPr>
          <w:rFonts w:hint="eastAsia" w:ascii="宋体" w:hAnsi="宋体" w:cs="宋体"/>
          <w:sz w:val="24"/>
          <w:highlight w:val="none"/>
        </w:rPr>
        <w:t>）。</w:t>
      </w:r>
    </w:p>
    <w:p w14:paraId="383BC9F0">
      <w:pPr>
        <w:tabs>
          <w:tab w:val="left" w:pos="3375"/>
        </w:tabs>
        <w:autoSpaceDE w:val="0"/>
        <w:autoSpaceDN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四、电子版投标文件（密封至价格标的封袋内）</w:t>
      </w:r>
    </w:p>
    <w:p w14:paraId="6B6BD97B">
      <w:pPr>
        <w:tabs>
          <w:tab w:val="left" w:pos="3375"/>
        </w:tabs>
        <w:autoSpaceDE w:val="0"/>
        <w:autoSpaceDN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电子版投标文件（包括</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1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①</w:t>
      </w:r>
      <w:r>
        <w:rPr>
          <w:rFonts w:hint="eastAsia" w:ascii="宋体" w:hAnsi="宋体" w:cs="宋体"/>
          <w:sz w:val="24"/>
          <w:highlight w:val="none"/>
          <w:lang w:val="zh-CN"/>
        </w:rPr>
        <w:fldChar w:fldCharType="end"/>
      </w:r>
      <w:r>
        <w:rPr>
          <w:rFonts w:hint="eastAsia" w:ascii="宋体" w:hAnsi="宋体" w:cs="宋体"/>
          <w:sz w:val="24"/>
          <w:highlight w:val="none"/>
        </w:rPr>
        <w:t>资格审查证明材料</w:t>
      </w:r>
      <w:r>
        <w:rPr>
          <w:rFonts w:hint="eastAsia" w:ascii="宋体" w:hAnsi="宋体" w:cs="宋体"/>
          <w:sz w:val="24"/>
          <w:highlight w:val="none"/>
          <w:lang w:val="zh-CN"/>
        </w:rPr>
        <w:t>、</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2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②</w:t>
      </w:r>
      <w:r>
        <w:rPr>
          <w:rFonts w:hint="eastAsia" w:ascii="宋体" w:hAnsi="宋体" w:cs="宋体"/>
          <w:sz w:val="24"/>
          <w:highlight w:val="none"/>
          <w:lang w:val="zh-CN"/>
        </w:rPr>
        <w:fldChar w:fldCharType="end"/>
      </w:r>
      <w:r>
        <w:rPr>
          <w:rFonts w:hint="eastAsia" w:ascii="宋体" w:hAnsi="宋体" w:cs="宋体"/>
          <w:sz w:val="24"/>
          <w:highlight w:val="none"/>
        </w:rPr>
        <w:t>商务技术标</w:t>
      </w:r>
      <w:r>
        <w:rPr>
          <w:rFonts w:hint="eastAsia" w:ascii="宋体" w:hAnsi="宋体" w:cs="宋体"/>
          <w:sz w:val="24"/>
          <w:highlight w:val="none"/>
          <w:lang w:val="zh-CN"/>
        </w:rPr>
        <w:t>、③</w:t>
      </w:r>
      <w:r>
        <w:rPr>
          <w:rFonts w:hint="eastAsia" w:ascii="宋体" w:hAnsi="宋体" w:cs="宋体"/>
          <w:sz w:val="24"/>
          <w:highlight w:val="none"/>
        </w:rPr>
        <w:t>价格标</w:t>
      </w:r>
      <w:r>
        <w:rPr>
          <w:rFonts w:hint="eastAsia" w:ascii="宋体" w:hAnsi="宋体" w:cs="宋体"/>
          <w:b/>
          <w:sz w:val="24"/>
          <w:highlight w:val="none"/>
        </w:rPr>
        <w:t>，所有盖章后纸质版投标文件的扫描件内容均存入一份U盘即可）</w:t>
      </w:r>
      <w:r>
        <w:rPr>
          <w:rFonts w:hint="eastAsia" w:ascii="宋体" w:hAnsi="宋体" w:cs="宋体"/>
          <w:sz w:val="24"/>
          <w:highlight w:val="none"/>
        </w:rPr>
        <w:t>。</w:t>
      </w:r>
    </w:p>
    <w:p w14:paraId="34ED92BA">
      <w:pPr>
        <w:tabs>
          <w:tab w:val="left" w:pos="3375"/>
        </w:tabs>
        <w:autoSpaceDE w:val="0"/>
        <w:autoSpaceDN w:val="0"/>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电子版投标文件不得设置密码并保证无病毒。</w:t>
      </w:r>
    </w:p>
    <w:p w14:paraId="68CEAF18">
      <w:pPr>
        <w:adjustRightInd w:val="0"/>
        <w:snapToGrid w:val="0"/>
        <w:spacing w:line="360" w:lineRule="auto"/>
        <w:ind w:firstLine="480" w:firstLineChars="200"/>
        <w:rPr>
          <w:rFonts w:ascii="宋体" w:hAnsi="宋体" w:cs="宋体"/>
          <w:sz w:val="24"/>
          <w:highlight w:val="none"/>
        </w:rPr>
      </w:pPr>
    </w:p>
    <w:p w14:paraId="7DA8A955">
      <w:pPr>
        <w:rPr>
          <w:rFonts w:ascii="宋体" w:hAnsi="宋体" w:cs="宋体"/>
          <w:b/>
          <w:bCs/>
          <w:sz w:val="30"/>
          <w:szCs w:val="30"/>
          <w:highlight w:val="none"/>
        </w:rPr>
      </w:pPr>
      <w:r>
        <w:rPr>
          <w:rFonts w:hint="eastAsia" w:ascii="宋体" w:hAnsi="宋体" w:cs="宋体"/>
          <w:b/>
          <w:bCs/>
          <w:sz w:val="30"/>
          <w:szCs w:val="30"/>
          <w:highlight w:val="none"/>
        </w:rPr>
        <w:br w:type="page"/>
      </w:r>
    </w:p>
    <w:p w14:paraId="37BCE04F">
      <w:pPr>
        <w:rPr>
          <w:rFonts w:ascii="宋体" w:hAnsi="宋体" w:cs="宋体"/>
          <w:b/>
          <w:bCs/>
          <w:sz w:val="30"/>
          <w:szCs w:val="30"/>
          <w:highlight w:val="none"/>
        </w:rPr>
      </w:pPr>
      <w:r>
        <w:rPr>
          <w:rFonts w:hint="eastAsia" w:ascii="宋体" w:hAnsi="宋体" w:cs="宋体"/>
          <w:b/>
          <w:bCs/>
          <w:sz w:val="30"/>
          <w:szCs w:val="30"/>
          <w:highlight w:val="none"/>
        </w:rPr>
        <w:t>格式附件如下：</w:t>
      </w:r>
    </w:p>
    <w:p w14:paraId="641EA900">
      <w:pPr>
        <w:pStyle w:val="17"/>
        <w:rPr>
          <w:rFonts w:ascii="宋体" w:hAnsi="宋体" w:eastAsia="宋体" w:cs="宋体"/>
          <w:highlight w:val="none"/>
        </w:rPr>
      </w:pPr>
    </w:p>
    <w:p w14:paraId="7BDF6E48">
      <w:pPr>
        <w:ind w:firstLine="480"/>
        <w:jc w:val="center"/>
        <w:rPr>
          <w:rFonts w:ascii="宋体" w:hAnsi="宋体" w:cs="宋体"/>
          <w:b/>
          <w:color w:val="000000"/>
          <w:sz w:val="30"/>
          <w:szCs w:val="30"/>
          <w:highlight w:val="none"/>
        </w:rPr>
      </w:pPr>
      <w:r>
        <w:rPr>
          <w:rFonts w:hint="eastAsia" w:ascii="宋体" w:hAnsi="宋体" w:cs="宋体"/>
          <w:b/>
          <w:color w:val="000000"/>
          <w:sz w:val="30"/>
          <w:szCs w:val="30"/>
          <w:highlight w:val="none"/>
        </w:rPr>
        <w:t>投标人符合《中华人民共和国政府采购法》第二十二条规定条件的声明函</w:t>
      </w:r>
    </w:p>
    <w:p w14:paraId="621DA872">
      <w:pPr>
        <w:spacing w:line="460" w:lineRule="exact"/>
        <w:rPr>
          <w:rFonts w:ascii="宋体" w:hAnsi="宋体" w:cs="宋体"/>
          <w:b/>
          <w:bCs/>
          <w:color w:val="000000"/>
          <w:sz w:val="44"/>
          <w:szCs w:val="44"/>
          <w:highlight w:val="none"/>
        </w:rPr>
      </w:pPr>
      <w:r>
        <w:rPr>
          <w:rFonts w:hint="eastAsia" w:ascii="宋体" w:hAnsi="宋体" w:cs="宋体"/>
          <w:b/>
          <w:bCs/>
          <w:color w:val="000000"/>
          <w:sz w:val="24"/>
          <w:szCs w:val="21"/>
          <w:highlight w:val="none"/>
        </w:rPr>
        <w:t xml:space="preserve">                       </w:t>
      </w:r>
      <w:r>
        <w:rPr>
          <w:rFonts w:hint="eastAsia" w:ascii="宋体" w:hAnsi="宋体" w:cs="宋体"/>
          <w:b/>
          <w:bCs/>
          <w:color w:val="000000"/>
          <w:sz w:val="44"/>
          <w:szCs w:val="44"/>
          <w:highlight w:val="none"/>
        </w:rPr>
        <w:t xml:space="preserve">   </w:t>
      </w:r>
    </w:p>
    <w:p w14:paraId="47CDEF6D">
      <w:pPr>
        <w:adjustRightInd w:val="0"/>
        <w:snapToGrid w:val="0"/>
        <w:spacing w:line="360" w:lineRule="auto"/>
        <w:ind w:firstLine="480" w:firstLineChars="200"/>
        <w:rPr>
          <w:rFonts w:ascii="宋体" w:hAnsi="宋体" w:cs="宋体"/>
          <w:b/>
          <w:bCs/>
          <w:color w:val="000000"/>
          <w:sz w:val="24"/>
          <w:highlight w:val="none"/>
        </w:rPr>
      </w:pPr>
      <w:r>
        <w:rPr>
          <w:rFonts w:hint="eastAsia" w:ascii="宋体" w:hAnsi="宋体" w:cs="宋体"/>
          <w:bCs/>
          <w:color w:val="000000"/>
          <w:sz w:val="24"/>
          <w:highlight w:val="none"/>
        </w:rPr>
        <w:t>我单位参加</w:t>
      </w:r>
      <w:r>
        <w:rPr>
          <w:rFonts w:hint="eastAsia" w:ascii="宋体" w:hAnsi="宋体" w:cs="宋体"/>
          <w:bCs/>
          <w:color w:val="000000"/>
          <w:sz w:val="24"/>
          <w:szCs w:val="21"/>
          <w:highlight w:val="none"/>
        </w:rPr>
        <w:t>________________（项目名称）投标活动。针对《中华人民共和国政府采购法》第二十二条规定做出如下声明：</w:t>
      </w:r>
    </w:p>
    <w:p w14:paraId="42A620E5">
      <w:pPr>
        <w:adjustRightInd w:val="0"/>
        <w:snapToGrid w:val="0"/>
        <w:spacing w:line="360" w:lineRule="auto"/>
        <w:ind w:firstLine="482"/>
        <w:rPr>
          <w:rFonts w:ascii="宋体" w:hAnsi="宋体" w:cs="宋体"/>
          <w:color w:val="000000"/>
          <w:sz w:val="24"/>
          <w:highlight w:val="none"/>
        </w:rPr>
      </w:pPr>
      <w:r>
        <w:rPr>
          <w:rFonts w:hint="eastAsia" w:ascii="宋体" w:hAnsi="宋体" w:cs="宋体"/>
          <w:bCs/>
          <w:color w:val="000000"/>
          <w:sz w:val="24"/>
          <w:szCs w:val="21"/>
          <w:highlight w:val="none"/>
        </w:rPr>
        <w:t>1.我单位具有独立承担民事责任的能力；</w:t>
      </w:r>
    </w:p>
    <w:p w14:paraId="1B3F057D">
      <w:pPr>
        <w:adjustRightInd w:val="0"/>
        <w:snapToGrid w:val="0"/>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2.我单位具有良好的商业信誉和健全的财务会计制度；</w:t>
      </w:r>
    </w:p>
    <w:p w14:paraId="609F146E">
      <w:pPr>
        <w:adjustRightInd w:val="0"/>
        <w:snapToGrid w:val="0"/>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3.我单位具有履行合同所必需的设备和专业技术能力；</w:t>
      </w:r>
    </w:p>
    <w:p w14:paraId="4C0D16A5">
      <w:pPr>
        <w:adjustRightInd w:val="0"/>
        <w:snapToGrid w:val="0"/>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4.我单位有依法缴纳税收和社会保障资金的良好记录；</w:t>
      </w:r>
    </w:p>
    <w:p w14:paraId="01A6DE6A">
      <w:pPr>
        <w:adjustRightInd w:val="0"/>
        <w:snapToGrid w:val="0"/>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5.我单位参加政府采购活动前三年内，在经营活动中没有重大违法记录；（1.投标人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1E136A53">
      <w:pPr>
        <w:adjustRightInd w:val="0"/>
        <w:snapToGrid w:val="0"/>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6.我单位满足法律、行政法规规定的其他条件。</w:t>
      </w:r>
    </w:p>
    <w:p w14:paraId="3DBD3898">
      <w:pPr>
        <w:adjustRightInd w:val="0"/>
        <w:snapToGrid w:val="0"/>
        <w:spacing w:line="360" w:lineRule="auto"/>
        <w:rPr>
          <w:rFonts w:ascii="宋体" w:hAnsi="宋体" w:cs="宋体"/>
          <w:bCs/>
          <w:color w:val="000000"/>
          <w:sz w:val="24"/>
          <w:szCs w:val="21"/>
          <w:highlight w:val="none"/>
        </w:rPr>
      </w:pPr>
    </w:p>
    <w:p w14:paraId="388FD8CC">
      <w:pPr>
        <w:adjustRightInd w:val="0"/>
        <w:snapToGrid w:val="0"/>
        <w:spacing w:line="360" w:lineRule="auto"/>
        <w:jc w:val="center"/>
        <w:rPr>
          <w:rFonts w:ascii="宋体" w:hAnsi="宋体" w:cs="宋体"/>
          <w:bCs/>
          <w:color w:val="000000"/>
          <w:sz w:val="24"/>
          <w:szCs w:val="21"/>
          <w:highlight w:val="none"/>
        </w:rPr>
      </w:pPr>
      <w:r>
        <w:rPr>
          <w:rFonts w:hint="eastAsia" w:ascii="宋体" w:hAnsi="宋体" w:cs="宋体"/>
          <w:bCs/>
          <w:color w:val="000000"/>
          <w:sz w:val="24"/>
          <w:szCs w:val="21"/>
          <w:highlight w:val="none"/>
        </w:rPr>
        <w:t xml:space="preserve">                        承诺人名称（公章）：</w:t>
      </w:r>
    </w:p>
    <w:p w14:paraId="36F8A338">
      <w:pPr>
        <w:adjustRightInd w:val="0"/>
        <w:snapToGrid w:val="0"/>
        <w:spacing w:line="360" w:lineRule="auto"/>
        <w:jc w:val="right"/>
        <w:rPr>
          <w:rFonts w:ascii="宋体" w:hAnsi="宋体" w:cs="宋体"/>
          <w:bCs/>
          <w:color w:val="000000"/>
          <w:sz w:val="24"/>
          <w:szCs w:val="21"/>
          <w:highlight w:val="none"/>
        </w:rPr>
      </w:pPr>
      <w:r>
        <w:rPr>
          <w:rFonts w:hint="eastAsia" w:ascii="宋体" w:hAnsi="宋体" w:cs="宋体"/>
          <w:bCs/>
          <w:color w:val="000000"/>
          <w:sz w:val="24"/>
          <w:szCs w:val="21"/>
          <w:highlight w:val="none"/>
        </w:rPr>
        <w:t xml:space="preserve">    </w:t>
      </w:r>
    </w:p>
    <w:p w14:paraId="3509ECB0">
      <w:pPr>
        <w:adjustRightInd w:val="0"/>
        <w:snapToGrid w:val="0"/>
        <w:spacing w:line="360" w:lineRule="auto"/>
        <w:ind w:firstLine="540"/>
        <w:contextualSpacing/>
        <w:rPr>
          <w:rFonts w:ascii="宋体" w:hAnsi="宋体" w:cs="宋体"/>
          <w:b/>
          <w:szCs w:val="21"/>
          <w:highlight w:val="none"/>
          <w:lang w:val="zh-CN"/>
        </w:rPr>
      </w:pPr>
      <w:r>
        <w:rPr>
          <w:rFonts w:hint="eastAsia" w:ascii="宋体" w:hAnsi="宋体" w:cs="宋体"/>
          <w:bCs/>
          <w:color w:val="000000"/>
          <w:sz w:val="24"/>
          <w:szCs w:val="21"/>
          <w:highlight w:val="none"/>
        </w:rPr>
        <w:t xml:space="preserve">                                 日期：</w:t>
      </w:r>
      <w:r>
        <w:rPr>
          <w:rFonts w:hint="eastAsia" w:ascii="宋体" w:hAnsi="宋体" w:cs="宋体"/>
          <w:bCs/>
          <w:color w:val="000000"/>
          <w:sz w:val="24"/>
          <w:szCs w:val="21"/>
          <w:highlight w:val="none"/>
          <w:u w:val="single"/>
        </w:rPr>
        <w:t xml:space="preserve">    </w:t>
      </w:r>
      <w:r>
        <w:rPr>
          <w:rFonts w:hint="eastAsia" w:ascii="宋体" w:hAnsi="宋体" w:cs="宋体"/>
          <w:bCs/>
          <w:color w:val="000000"/>
          <w:sz w:val="24"/>
          <w:szCs w:val="21"/>
          <w:highlight w:val="none"/>
        </w:rPr>
        <w:t>年</w:t>
      </w:r>
      <w:r>
        <w:rPr>
          <w:rFonts w:hint="eastAsia" w:ascii="宋体" w:hAnsi="宋体" w:cs="宋体"/>
          <w:bCs/>
          <w:color w:val="000000"/>
          <w:sz w:val="24"/>
          <w:szCs w:val="21"/>
          <w:highlight w:val="none"/>
          <w:u w:val="single"/>
        </w:rPr>
        <w:t xml:space="preserve">    </w:t>
      </w:r>
      <w:r>
        <w:rPr>
          <w:rFonts w:hint="eastAsia" w:ascii="宋体" w:hAnsi="宋体" w:cs="宋体"/>
          <w:bCs/>
          <w:color w:val="000000"/>
          <w:sz w:val="24"/>
          <w:szCs w:val="21"/>
          <w:highlight w:val="none"/>
        </w:rPr>
        <w:t>月</w:t>
      </w:r>
      <w:r>
        <w:rPr>
          <w:rFonts w:hint="eastAsia" w:ascii="宋体" w:hAnsi="宋体" w:cs="宋体"/>
          <w:bCs/>
          <w:color w:val="000000"/>
          <w:sz w:val="24"/>
          <w:szCs w:val="21"/>
          <w:highlight w:val="none"/>
          <w:u w:val="single"/>
        </w:rPr>
        <w:t xml:space="preserve">    </w:t>
      </w:r>
      <w:r>
        <w:rPr>
          <w:rFonts w:hint="eastAsia" w:ascii="宋体" w:hAnsi="宋体" w:cs="宋体"/>
          <w:bCs/>
          <w:color w:val="000000"/>
          <w:sz w:val="24"/>
          <w:szCs w:val="21"/>
          <w:highlight w:val="none"/>
        </w:rPr>
        <w:t>日</w:t>
      </w:r>
    </w:p>
    <w:p w14:paraId="0A14E8DB">
      <w:pPr>
        <w:rPr>
          <w:rFonts w:ascii="宋体" w:hAnsi="宋体" w:cs="宋体"/>
          <w:b/>
          <w:bCs/>
          <w:sz w:val="30"/>
          <w:szCs w:val="30"/>
          <w:highlight w:val="none"/>
        </w:rPr>
      </w:pPr>
      <w:r>
        <w:rPr>
          <w:rFonts w:hint="eastAsia" w:ascii="宋体" w:hAnsi="宋体" w:cs="宋体"/>
          <w:b/>
          <w:bCs/>
          <w:sz w:val="30"/>
          <w:szCs w:val="30"/>
          <w:highlight w:val="none"/>
        </w:rPr>
        <w:br w:type="page"/>
      </w:r>
    </w:p>
    <w:p w14:paraId="58412C1F">
      <w:pPr>
        <w:adjustRightInd w:val="0"/>
        <w:snapToGrid w:val="0"/>
        <w:spacing w:line="360" w:lineRule="auto"/>
        <w:ind w:firstLine="200"/>
        <w:jc w:val="center"/>
        <w:rPr>
          <w:rFonts w:ascii="宋体" w:hAnsi="宋体" w:cs="宋体"/>
          <w:b/>
          <w:bCs/>
          <w:sz w:val="30"/>
          <w:szCs w:val="30"/>
          <w:highlight w:val="none"/>
        </w:rPr>
      </w:pPr>
      <w:r>
        <w:rPr>
          <w:rFonts w:hint="eastAsia" w:ascii="宋体" w:hAnsi="宋体" w:cs="宋体"/>
          <w:b/>
          <w:bCs/>
          <w:sz w:val="30"/>
          <w:szCs w:val="30"/>
          <w:highlight w:val="none"/>
        </w:rPr>
        <w:t>法定代表人身份证明</w:t>
      </w:r>
    </w:p>
    <w:p w14:paraId="68DBB443">
      <w:pPr>
        <w:adjustRightInd w:val="0"/>
        <w:snapToGrid w:val="0"/>
        <w:spacing w:line="360" w:lineRule="auto"/>
        <w:ind w:firstLine="200"/>
        <w:rPr>
          <w:rFonts w:ascii="宋体" w:hAnsi="宋体" w:cs="宋体"/>
          <w:sz w:val="24"/>
          <w:highlight w:val="none"/>
        </w:rPr>
      </w:pPr>
    </w:p>
    <w:p w14:paraId="4745417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先生/女士： 现任我单位</w:t>
      </w:r>
      <w:r>
        <w:rPr>
          <w:rFonts w:hint="eastAsia" w:ascii="宋体" w:hAnsi="宋体" w:cs="宋体"/>
          <w:sz w:val="24"/>
          <w:highlight w:val="none"/>
          <w:u w:val="single"/>
        </w:rPr>
        <w:t xml:space="preserve">        </w:t>
      </w:r>
      <w:r>
        <w:rPr>
          <w:rFonts w:hint="eastAsia" w:ascii="宋体" w:hAnsi="宋体" w:cs="宋体"/>
          <w:sz w:val="24"/>
          <w:highlight w:val="none"/>
        </w:rPr>
        <w:t>职务，为法定代表人，特此证明。</w:t>
      </w:r>
    </w:p>
    <w:p w14:paraId="535DDD70">
      <w:pPr>
        <w:adjustRightInd w:val="0"/>
        <w:snapToGrid w:val="0"/>
        <w:spacing w:line="360" w:lineRule="auto"/>
        <w:ind w:firstLine="480" w:firstLineChars="200"/>
        <w:rPr>
          <w:rFonts w:ascii="宋体" w:hAnsi="宋体" w:cs="宋体"/>
          <w:sz w:val="24"/>
          <w:highlight w:val="none"/>
          <w:u w:val="single"/>
        </w:rPr>
      </w:pPr>
      <w:r>
        <w:rPr>
          <w:rFonts w:hint="eastAsia" w:ascii="宋体" w:hAnsi="宋体" w:cs="宋体"/>
          <w:sz w:val="24"/>
          <w:highlight w:val="none"/>
        </w:rPr>
        <w:t>身份证号码：</w:t>
      </w:r>
      <w:r>
        <w:rPr>
          <w:rFonts w:hint="eastAsia" w:ascii="宋体" w:hAnsi="宋体" w:cs="宋体"/>
          <w:sz w:val="24"/>
          <w:highlight w:val="none"/>
          <w:u w:val="single"/>
        </w:rPr>
        <w:t xml:space="preserve">                                               </w:t>
      </w:r>
    </w:p>
    <w:p w14:paraId="3B3DB797">
      <w:pPr>
        <w:adjustRightInd w:val="0"/>
        <w:snapToGrid w:val="0"/>
        <w:spacing w:line="360" w:lineRule="auto"/>
        <w:rPr>
          <w:rFonts w:ascii="宋体" w:hAnsi="宋体" w:cs="宋体"/>
          <w:sz w:val="24"/>
          <w:highlight w:val="none"/>
        </w:rPr>
      </w:pPr>
    </w:p>
    <w:p w14:paraId="19880CBF">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  投标人（盖公章）：</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05068F7E">
      <w:pPr>
        <w:adjustRightInd w:val="0"/>
        <w:snapToGrid w:val="0"/>
        <w:spacing w:line="360" w:lineRule="auto"/>
        <w:ind w:firstLine="480" w:firstLineChars="200"/>
        <w:rPr>
          <w:rFonts w:ascii="宋体" w:hAnsi="宋体" w:cs="宋体"/>
          <w:sz w:val="24"/>
          <w:highlight w:val="none"/>
        </w:rPr>
      </w:pPr>
    </w:p>
    <w:p w14:paraId="00C27B04">
      <w:pPr>
        <w:spacing w:line="360" w:lineRule="auto"/>
        <w:ind w:firstLine="482"/>
        <w:rPr>
          <w:rFonts w:ascii="宋体" w:hAnsi="宋体" w:cs="宋体"/>
          <w:b/>
          <w:sz w:val="24"/>
          <w:highlight w:val="none"/>
        </w:rPr>
      </w:pPr>
      <w:r>
        <w:rPr>
          <w:rFonts w:hint="eastAsia" w:ascii="宋体" w:hAnsi="宋体" w:cs="宋体"/>
          <w:b/>
          <w:sz w:val="24"/>
          <w:highlight w:val="none"/>
        </w:rPr>
        <w:t>注：提供法定代表人的身份证复印件（或扫描件）盖公章；</w:t>
      </w:r>
    </w:p>
    <w:p w14:paraId="110FBB9E">
      <w:pPr>
        <w:rPr>
          <w:rFonts w:ascii="宋体" w:hAnsi="宋体" w:cs="宋体"/>
          <w:b/>
          <w:bCs/>
          <w:sz w:val="30"/>
          <w:szCs w:val="30"/>
          <w:highlight w:val="none"/>
        </w:rPr>
      </w:pPr>
      <w:r>
        <w:rPr>
          <w:rFonts w:hint="eastAsia" w:ascii="宋体" w:hAnsi="宋体" w:cs="宋体"/>
          <w:b/>
          <w:bCs/>
          <w:sz w:val="30"/>
          <w:szCs w:val="30"/>
          <w:highlight w:val="none"/>
        </w:rPr>
        <w:br w:type="page"/>
      </w:r>
    </w:p>
    <w:p w14:paraId="6E01EC0B">
      <w:pPr>
        <w:adjustRightInd w:val="0"/>
        <w:snapToGrid w:val="0"/>
        <w:spacing w:line="360" w:lineRule="auto"/>
        <w:ind w:firstLine="200"/>
        <w:jc w:val="center"/>
        <w:rPr>
          <w:rFonts w:ascii="宋体" w:hAnsi="宋体" w:cs="宋体"/>
          <w:b/>
          <w:sz w:val="30"/>
          <w:szCs w:val="30"/>
          <w:highlight w:val="none"/>
        </w:rPr>
      </w:pPr>
      <w:r>
        <w:rPr>
          <w:rFonts w:hint="eastAsia" w:ascii="宋体" w:hAnsi="宋体" w:cs="宋体"/>
          <w:b/>
          <w:sz w:val="30"/>
          <w:szCs w:val="30"/>
          <w:highlight w:val="none"/>
        </w:rPr>
        <w:t>法定代表人授权委托书</w:t>
      </w:r>
    </w:p>
    <w:p w14:paraId="6CB6F61D">
      <w:pPr>
        <w:adjustRightInd w:val="0"/>
        <w:snapToGrid w:val="0"/>
        <w:spacing w:line="360" w:lineRule="auto"/>
        <w:ind w:firstLine="200"/>
        <w:rPr>
          <w:rFonts w:ascii="宋体" w:hAnsi="宋体" w:cs="宋体"/>
          <w:sz w:val="32"/>
          <w:szCs w:val="32"/>
          <w:highlight w:val="none"/>
        </w:rPr>
      </w:pPr>
    </w:p>
    <w:p w14:paraId="5CFCF72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本人</w:t>
      </w:r>
      <w:r>
        <w:rPr>
          <w:rFonts w:hint="eastAsia" w:ascii="宋体" w:hAnsi="宋体" w:cs="宋体"/>
          <w:sz w:val="24"/>
          <w:highlight w:val="none"/>
          <w:u w:val="single"/>
        </w:rPr>
        <w:t xml:space="preserve">        </w:t>
      </w:r>
      <w:r>
        <w:rPr>
          <w:rFonts w:hint="eastAsia" w:ascii="宋体" w:hAnsi="宋体" w:cs="宋体"/>
          <w:sz w:val="24"/>
          <w:highlight w:val="none"/>
        </w:rPr>
        <w:t>（姓名）系</w:t>
      </w:r>
      <w:r>
        <w:rPr>
          <w:rFonts w:hint="eastAsia" w:ascii="宋体" w:hAnsi="宋体" w:cs="宋体"/>
          <w:sz w:val="24"/>
          <w:highlight w:val="none"/>
          <w:u w:val="single"/>
        </w:rPr>
        <w:t xml:space="preserve">        </w:t>
      </w:r>
      <w:r>
        <w:rPr>
          <w:rFonts w:hint="eastAsia" w:ascii="宋体" w:hAnsi="宋体" w:cs="宋体"/>
          <w:sz w:val="24"/>
          <w:highlight w:val="none"/>
        </w:rPr>
        <w:t>（授权单位名称）的法定代表人，现委托</w:t>
      </w:r>
      <w:r>
        <w:rPr>
          <w:rFonts w:hint="eastAsia" w:ascii="宋体" w:hAnsi="宋体" w:cs="宋体"/>
          <w:sz w:val="24"/>
          <w:highlight w:val="none"/>
          <w:u w:val="single"/>
        </w:rPr>
        <w:t xml:space="preserve">        </w:t>
      </w:r>
      <w:r>
        <w:rPr>
          <w:rFonts w:hint="eastAsia" w:ascii="宋体" w:hAnsi="宋体" w:cs="宋体"/>
          <w:sz w:val="24"/>
          <w:highlight w:val="none"/>
        </w:rPr>
        <w:t>（姓名）（身份证号</w:t>
      </w:r>
      <w:r>
        <w:rPr>
          <w:rFonts w:hint="eastAsia" w:ascii="宋体" w:hAnsi="宋体" w:cs="宋体"/>
          <w:sz w:val="24"/>
          <w:highlight w:val="none"/>
          <w:u w:val="single"/>
        </w:rPr>
        <w:t xml:space="preserve">        </w:t>
      </w:r>
      <w:r>
        <w:rPr>
          <w:rFonts w:hint="eastAsia" w:ascii="宋体" w:hAnsi="宋体" w:cs="宋体"/>
          <w:sz w:val="24"/>
          <w:highlight w:val="none"/>
        </w:rPr>
        <w:t>）为我方代理人，以我方名义全权处理与本次采购项目（编号：</w:t>
      </w:r>
      <w:r>
        <w:rPr>
          <w:rFonts w:hint="eastAsia" w:ascii="宋体" w:hAnsi="宋体" w:cs="宋体"/>
          <w:sz w:val="24"/>
          <w:highlight w:val="none"/>
          <w:u w:val="single"/>
        </w:rPr>
        <w:t xml:space="preserve">        </w:t>
      </w:r>
      <w:r>
        <w:rPr>
          <w:rFonts w:hint="eastAsia" w:ascii="宋体" w:hAnsi="宋体" w:cs="宋体"/>
          <w:sz w:val="24"/>
          <w:highlight w:val="none"/>
        </w:rPr>
        <w:t>）有关的一切事务，其法律后果由我方承担。</w:t>
      </w:r>
    </w:p>
    <w:p w14:paraId="04EDB67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本授权书于</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日起生效。代理人无转委托权。</w:t>
      </w:r>
    </w:p>
    <w:p w14:paraId="3C98942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代理人(被授权人)：</w:t>
      </w:r>
    </w:p>
    <w:p w14:paraId="31EF637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授权单位名称（盖章）：</w:t>
      </w:r>
    </w:p>
    <w:p w14:paraId="4D001F6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授权单位法定代表人（签字或盖章）：</w:t>
      </w:r>
    </w:p>
    <w:p w14:paraId="2D0ABAD4">
      <w:pPr>
        <w:adjustRightInd w:val="0"/>
        <w:snapToGrid w:val="0"/>
        <w:spacing w:line="360" w:lineRule="auto"/>
        <w:ind w:firstLine="200"/>
        <w:jc w:val="right"/>
        <w:rPr>
          <w:rFonts w:ascii="宋体" w:hAnsi="宋体" w:cs="宋体"/>
          <w:sz w:val="24"/>
          <w:highlight w:val="none"/>
        </w:rPr>
      </w:pPr>
    </w:p>
    <w:p w14:paraId="13630776">
      <w:pPr>
        <w:adjustRightInd w:val="0"/>
        <w:snapToGrid w:val="0"/>
        <w:spacing w:line="360" w:lineRule="auto"/>
        <w:ind w:firstLine="200"/>
        <w:jc w:val="right"/>
        <w:rPr>
          <w:rFonts w:ascii="宋体" w:hAnsi="宋体" w:cs="宋体"/>
          <w:sz w:val="24"/>
          <w:highlight w:val="none"/>
        </w:rPr>
      </w:pPr>
      <w:r>
        <w:rPr>
          <w:rFonts w:hint="eastAsia" w:ascii="宋体" w:hAnsi="宋体" w:cs="宋体"/>
          <w:sz w:val="24"/>
          <w:highlight w:val="none"/>
        </w:rPr>
        <w:t xml:space="preserve">  年  月  日</w:t>
      </w:r>
    </w:p>
    <w:p w14:paraId="2E398BCB">
      <w:pPr>
        <w:adjustRightInd w:val="0"/>
        <w:snapToGrid w:val="0"/>
        <w:spacing w:line="360" w:lineRule="auto"/>
        <w:ind w:firstLine="463" w:firstLineChars="192"/>
        <w:rPr>
          <w:rFonts w:ascii="宋体" w:hAnsi="宋体" w:cs="宋体"/>
          <w:b/>
          <w:sz w:val="24"/>
          <w:highlight w:val="none"/>
        </w:rPr>
      </w:pPr>
    </w:p>
    <w:p w14:paraId="0A53DBA3">
      <w:pPr>
        <w:spacing w:line="360" w:lineRule="auto"/>
        <w:ind w:firstLine="463"/>
        <w:rPr>
          <w:rFonts w:ascii="宋体" w:hAnsi="宋体" w:cs="宋体"/>
          <w:b/>
          <w:sz w:val="24"/>
          <w:highlight w:val="none"/>
        </w:rPr>
      </w:pPr>
      <w:r>
        <w:rPr>
          <w:rFonts w:hint="eastAsia" w:ascii="宋体" w:hAnsi="宋体" w:cs="宋体"/>
          <w:b/>
          <w:sz w:val="24"/>
          <w:highlight w:val="none"/>
        </w:rPr>
        <w:t>注：提供投标代表本人身份证复印件（或扫描件）盖公章；</w:t>
      </w:r>
    </w:p>
    <w:p w14:paraId="1B81B820">
      <w:pPr>
        <w:pStyle w:val="43"/>
        <w:adjustRightInd w:val="0"/>
        <w:spacing w:line="360" w:lineRule="auto"/>
        <w:ind w:firstLine="602" w:firstLineChars="200"/>
        <w:rPr>
          <w:rFonts w:cs="宋体"/>
          <w:color w:val="auto"/>
          <w:sz w:val="21"/>
          <w:szCs w:val="21"/>
          <w:highlight w:val="none"/>
        </w:rPr>
      </w:pPr>
      <w:r>
        <w:rPr>
          <w:rFonts w:hint="eastAsia" w:cs="宋体"/>
          <w:b/>
          <w:sz w:val="30"/>
          <w:szCs w:val="30"/>
          <w:highlight w:val="none"/>
        </w:rPr>
        <w:br w:type="page"/>
      </w:r>
    </w:p>
    <w:p w14:paraId="24A40A5B">
      <w:pPr>
        <w:jc w:val="center"/>
        <w:rPr>
          <w:rFonts w:ascii="宋体" w:hAnsi="宋体" w:cs="宋体"/>
          <w:b/>
          <w:sz w:val="30"/>
          <w:szCs w:val="30"/>
          <w:highlight w:val="none"/>
        </w:rPr>
      </w:pPr>
      <w:r>
        <w:rPr>
          <w:rFonts w:hint="eastAsia" w:ascii="宋体" w:hAnsi="宋体" w:cs="宋体"/>
          <w:b/>
          <w:sz w:val="30"/>
          <w:szCs w:val="30"/>
          <w:highlight w:val="none"/>
        </w:rPr>
        <w:t>投标人情况一览表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4415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vAlign w:val="center"/>
          </w:tcPr>
          <w:p w14:paraId="5C6C51AA">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单位名称</w:t>
            </w:r>
          </w:p>
        </w:tc>
        <w:tc>
          <w:tcPr>
            <w:tcW w:w="7923" w:type="dxa"/>
            <w:gridSpan w:val="10"/>
            <w:tcBorders>
              <w:top w:val="double" w:color="auto" w:sz="4" w:space="0"/>
              <w:right w:val="double" w:color="auto" w:sz="4" w:space="0"/>
            </w:tcBorders>
            <w:vAlign w:val="center"/>
          </w:tcPr>
          <w:p w14:paraId="4BC4BFA4">
            <w:pPr>
              <w:tabs>
                <w:tab w:val="left" w:pos="4320"/>
              </w:tabs>
              <w:adjustRightInd w:val="0"/>
              <w:snapToGrid w:val="0"/>
              <w:rPr>
                <w:rFonts w:ascii="宋体" w:hAnsi="宋体" w:cs="宋体"/>
                <w:sz w:val="24"/>
                <w:highlight w:val="none"/>
              </w:rPr>
            </w:pPr>
          </w:p>
        </w:tc>
      </w:tr>
      <w:tr w14:paraId="1162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vAlign w:val="center"/>
          </w:tcPr>
          <w:p w14:paraId="3C268A0A">
            <w:pPr>
              <w:tabs>
                <w:tab w:val="left" w:pos="4320"/>
              </w:tabs>
              <w:adjustRightInd w:val="0"/>
              <w:snapToGrid w:val="0"/>
              <w:rPr>
                <w:rFonts w:ascii="宋体" w:hAnsi="宋体" w:cs="宋体"/>
                <w:sz w:val="24"/>
                <w:highlight w:val="none"/>
              </w:rPr>
            </w:pPr>
            <w:r>
              <w:rPr>
                <w:rFonts w:hint="eastAsia" w:ascii="宋体" w:hAnsi="宋体" w:cs="宋体"/>
                <w:sz w:val="24"/>
                <w:highlight w:val="none"/>
              </w:rPr>
              <w:t>单位优势及特长</w:t>
            </w:r>
          </w:p>
        </w:tc>
        <w:tc>
          <w:tcPr>
            <w:tcW w:w="7072" w:type="dxa"/>
            <w:gridSpan w:val="9"/>
            <w:tcBorders>
              <w:left w:val="single" w:color="auto" w:sz="4" w:space="0"/>
              <w:right w:val="double" w:color="auto" w:sz="4" w:space="0"/>
            </w:tcBorders>
            <w:vAlign w:val="center"/>
          </w:tcPr>
          <w:p w14:paraId="3FC59806">
            <w:pPr>
              <w:tabs>
                <w:tab w:val="left" w:pos="4320"/>
              </w:tabs>
              <w:adjustRightInd w:val="0"/>
              <w:snapToGrid w:val="0"/>
              <w:rPr>
                <w:rFonts w:ascii="宋体" w:hAnsi="宋体" w:cs="宋体"/>
                <w:sz w:val="24"/>
                <w:highlight w:val="none"/>
              </w:rPr>
            </w:pPr>
          </w:p>
        </w:tc>
      </w:tr>
      <w:tr w14:paraId="1853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73969DCA">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单位</w:t>
            </w:r>
          </w:p>
          <w:p w14:paraId="525733D8">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概况</w:t>
            </w:r>
          </w:p>
        </w:tc>
        <w:tc>
          <w:tcPr>
            <w:tcW w:w="1276" w:type="dxa"/>
            <w:gridSpan w:val="2"/>
            <w:vAlign w:val="center"/>
          </w:tcPr>
          <w:p w14:paraId="0C608799">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职工总数</w:t>
            </w:r>
          </w:p>
        </w:tc>
        <w:tc>
          <w:tcPr>
            <w:tcW w:w="1417" w:type="dxa"/>
            <w:gridSpan w:val="2"/>
            <w:vAlign w:val="center"/>
          </w:tcPr>
          <w:p w14:paraId="72EF7644">
            <w:pPr>
              <w:tabs>
                <w:tab w:val="left" w:pos="4320"/>
              </w:tabs>
              <w:adjustRightInd w:val="0"/>
              <w:snapToGrid w:val="0"/>
              <w:jc w:val="right"/>
              <w:rPr>
                <w:rFonts w:ascii="宋体" w:hAnsi="宋体" w:cs="宋体"/>
                <w:sz w:val="24"/>
                <w:highlight w:val="none"/>
              </w:rPr>
            </w:pPr>
            <w:r>
              <w:rPr>
                <w:rFonts w:hint="eastAsia" w:ascii="宋体" w:hAnsi="宋体" w:cs="宋体"/>
                <w:sz w:val="24"/>
                <w:highlight w:val="none"/>
              </w:rPr>
              <w:t>人</w:t>
            </w:r>
          </w:p>
        </w:tc>
        <w:tc>
          <w:tcPr>
            <w:tcW w:w="567" w:type="dxa"/>
            <w:vMerge w:val="restart"/>
            <w:vAlign w:val="center"/>
          </w:tcPr>
          <w:p w14:paraId="2B0ED456">
            <w:pPr>
              <w:tabs>
                <w:tab w:val="left" w:pos="4320"/>
              </w:tabs>
              <w:adjustRightInd w:val="0"/>
              <w:snapToGrid w:val="0"/>
              <w:rPr>
                <w:rFonts w:ascii="宋体" w:hAnsi="宋体" w:cs="宋体"/>
                <w:sz w:val="24"/>
                <w:highlight w:val="none"/>
              </w:rPr>
            </w:pPr>
            <w:r>
              <w:rPr>
                <w:rFonts w:hint="eastAsia" w:ascii="宋体" w:hAnsi="宋体" w:cs="宋体"/>
                <w:sz w:val="24"/>
                <w:highlight w:val="none"/>
              </w:rPr>
              <w:t>上一年主要经济指标</w:t>
            </w:r>
          </w:p>
        </w:tc>
        <w:tc>
          <w:tcPr>
            <w:tcW w:w="946" w:type="dxa"/>
            <w:vAlign w:val="center"/>
          </w:tcPr>
          <w:p w14:paraId="129058F2">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营业额</w:t>
            </w:r>
          </w:p>
        </w:tc>
        <w:tc>
          <w:tcPr>
            <w:tcW w:w="1414" w:type="dxa"/>
            <w:gridSpan w:val="2"/>
            <w:vAlign w:val="center"/>
          </w:tcPr>
          <w:p w14:paraId="090F50A6">
            <w:pPr>
              <w:tabs>
                <w:tab w:val="left" w:pos="4320"/>
              </w:tabs>
              <w:adjustRightInd w:val="0"/>
              <w:snapToGrid w:val="0"/>
              <w:rPr>
                <w:rFonts w:ascii="宋体" w:hAnsi="宋体" w:cs="宋体"/>
                <w:sz w:val="24"/>
                <w:highlight w:val="none"/>
              </w:rPr>
            </w:pPr>
          </w:p>
        </w:tc>
        <w:tc>
          <w:tcPr>
            <w:tcW w:w="1184" w:type="dxa"/>
            <w:gridSpan w:val="2"/>
            <w:vAlign w:val="center"/>
          </w:tcPr>
          <w:p w14:paraId="6370C464">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实现利润</w:t>
            </w:r>
          </w:p>
        </w:tc>
        <w:tc>
          <w:tcPr>
            <w:tcW w:w="1544" w:type="dxa"/>
            <w:tcBorders>
              <w:right w:val="double" w:color="auto" w:sz="4" w:space="0"/>
            </w:tcBorders>
            <w:vAlign w:val="center"/>
          </w:tcPr>
          <w:p w14:paraId="7AEF4085">
            <w:pPr>
              <w:tabs>
                <w:tab w:val="left" w:pos="4320"/>
              </w:tabs>
              <w:adjustRightInd w:val="0"/>
              <w:snapToGrid w:val="0"/>
              <w:rPr>
                <w:rFonts w:ascii="宋体" w:hAnsi="宋体" w:cs="宋体"/>
                <w:sz w:val="24"/>
                <w:highlight w:val="none"/>
              </w:rPr>
            </w:pPr>
          </w:p>
        </w:tc>
      </w:tr>
      <w:tr w14:paraId="7640D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7D5B13A4">
            <w:pPr>
              <w:tabs>
                <w:tab w:val="left" w:pos="4320"/>
              </w:tabs>
              <w:adjustRightInd w:val="0"/>
              <w:snapToGrid w:val="0"/>
              <w:ind w:left="266" w:hanging="266" w:hangingChars="111"/>
              <w:rPr>
                <w:rFonts w:ascii="宋体" w:hAnsi="宋体" w:cs="宋体"/>
                <w:sz w:val="24"/>
                <w:highlight w:val="none"/>
              </w:rPr>
            </w:pPr>
          </w:p>
        </w:tc>
        <w:tc>
          <w:tcPr>
            <w:tcW w:w="1276" w:type="dxa"/>
            <w:gridSpan w:val="2"/>
            <w:vAlign w:val="center"/>
          </w:tcPr>
          <w:p w14:paraId="0BAC685C">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流动资金</w:t>
            </w:r>
          </w:p>
        </w:tc>
        <w:tc>
          <w:tcPr>
            <w:tcW w:w="1417" w:type="dxa"/>
            <w:gridSpan w:val="2"/>
            <w:vAlign w:val="center"/>
          </w:tcPr>
          <w:p w14:paraId="201A0B19">
            <w:pPr>
              <w:tabs>
                <w:tab w:val="left" w:pos="4320"/>
              </w:tabs>
              <w:adjustRightInd w:val="0"/>
              <w:snapToGrid w:val="0"/>
              <w:jc w:val="right"/>
              <w:rPr>
                <w:rFonts w:ascii="宋体" w:hAnsi="宋体" w:cs="宋体"/>
                <w:sz w:val="24"/>
                <w:highlight w:val="none"/>
              </w:rPr>
            </w:pPr>
            <w:r>
              <w:rPr>
                <w:rFonts w:hint="eastAsia" w:ascii="宋体" w:hAnsi="宋体" w:cs="宋体"/>
                <w:sz w:val="24"/>
                <w:highlight w:val="none"/>
              </w:rPr>
              <w:t>万元</w:t>
            </w:r>
          </w:p>
        </w:tc>
        <w:tc>
          <w:tcPr>
            <w:tcW w:w="567" w:type="dxa"/>
            <w:vMerge w:val="continue"/>
            <w:vAlign w:val="center"/>
          </w:tcPr>
          <w:p w14:paraId="42B45E3A">
            <w:pPr>
              <w:tabs>
                <w:tab w:val="left" w:pos="4320"/>
              </w:tabs>
              <w:adjustRightInd w:val="0"/>
              <w:snapToGrid w:val="0"/>
              <w:rPr>
                <w:rFonts w:ascii="宋体" w:hAnsi="宋体" w:cs="宋体"/>
                <w:sz w:val="24"/>
                <w:highlight w:val="none"/>
              </w:rPr>
            </w:pPr>
          </w:p>
        </w:tc>
        <w:tc>
          <w:tcPr>
            <w:tcW w:w="946" w:type="dxa"/>
            <w:vMerge w:val="restart"/>
            <w:vAlign w:val="center"/>
          </w:tcPr>
          <w:p w14:paraId="591A5D4E">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主要</w:t>
            </w:r>
          </w:p>
          <w:p w14:paraId="7547D614">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产品</w:t>
            </w:r>
          </w:p>
        </w:tc>
        <w:tc>
          <w:tcPr>
            <w:tcW w:w="4142" w:type="dxa"/>
            <w:gridSpan w:val="5"/>
            <w:tcBorders>
              <w:right w:val="double" w:color="auto" w:sz="4" w:space="0"/>
            </w:tcBorders>
            <w:vAlign w:val="center"/>
          </w:tcPr>
          <w:p w14:paraId="18D14A50">
            <w:pPr>
              <w:tabs>
                <w:tab w:val="left" w:pos="4320"/>
              </w:tabs>
              <w:adjustRightInd w:val="0"/>
              <w:snapToGrid w:val="0"/>
              <w:spacing w:before="120" w:after="120"/>
              <w:rPr>
                <w:rFonts w:ascii="宋体" w:hAnsi="宋体" w:cs="宋体"/>
                <w:sz w:val="24"/>
                <w:highlight w:val="none"/>
              </w:rPr>
            </w:pPr>
            <w:r>
              <w:rPr>
                <w:rFonts w:hint="eastAsia" w:ascii="宋体" w:hAnsi="宋体" w:cs="宋体"/>
                <w:sz w:val="24"/>
                <w:highlight w:val="none"/>
              </w:rPr>
              <w:t>1.</w:t>
            </w:r>
          </w:p>
        </w:tc>
      </w:tr>
      <w:tr w14:paraId="720C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trPr>
        <w:tc>
          <w:tcPr>
            <w:tcW w:w="817" w:type="dxa"/>
            <w:vMerge w:val="continue"/>
            <w:tcBorders>
              <w:left w:val="double" w:color="auto" w:sz="4" w:space="0"/>
            </w:tcBorders>
            <w:vAlign w:val="center"/>
          </w:tcPr>
          <w:p w14:paraId="5705F024">
            <w:pPr>
              <w:tabs>
                <w:tab w:val="left" w:pos="4320"/>
              </w:tabs>
              <w:adjustRightInd w:val="0"/>
              <w:snapToGrid w:val="0"/>
              <w:ind w:left="266" w:hanging="266" w:hangingChars="111"/>
              <w:rPr>
                <w:rFonts w:ascii="宋体" w:hAnsi="宋体" w:cs="宋体"/>
                <w:sz w:val="24"/>
                <w:highlight w:val="none"/>
              </w:rPr>
            </w:pPr>
          </w:p>
        </w:tc>
        <w:tc>
          <w:tcPr>
            <w:tcW w:w="1276" w:type="dxa"/>
            <w:gridSpan w:val="2"/>
            <w:vAlign w:val="center"/>
          </w:tcPr>
          <w:p w14:paraId="1E34FDFB">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固定资产</w:t>
            </w:r>
          </w:p>
          <w:p w14:paraId="5310D2EA">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（万元）</w:t>
            </w:r>
          </w:p>
        </w:tc>
        <w:tc>
          <w:tcPr>
            <w:tcW w:w="1417" w:type="dxa"/>
            <w:gridSpan w:val="2"/>
            <w:vAlign w:val="center"/>
          </w:tcPr>
          <w:p w14:paraId="7D5B8756">
            <w:pPr>
              <w:tabs>
                <w:tab w:val="left" w:pos="-48"/>
                <w:tab w:val="left" w:pos="4320"/>
              </w:tabs>
              <w:adjustRightInd w:val="0"/>
              <w:snapToGrid w:val="0"/>
              <w:ind w:right="-133" w:hanging="48"/>
              <w:rPr>
                <w:rFonts w:ascii="宋体" w:hAnsi="宋体" w:cs="宋体"/>
                <w:sz w:val="24"/>
                <w:highlight w:val="none"/>
              </w:rPr>
            </w:pPr>
            <w:r>
              <w:rPr>
                <w:rFonts w:hint="eastAsia" w:ascii="宋体" w:hAnsi="宋体" w:cs="宋体"/>
                <w:sz w:val="24"/>
                <w:highlight w:val="none"/>
              </w:rPr>
              <w:t>原值：</w:t>
            </w:r>
          </w:p>
          <w:p w14:paraId="14FF3F28">
            <w:pPr>
              <w:tabs>
                <w:tab w:val="left" w:pos="-48"/>
                <w:tab w:val="left" w:pos="4320"/>
              </w:tabs>
              <w:adjustRightInd w:val="0"/>
              <w:snapToGrid w:val="0"/>
              <w:ind w:hanging="48"/>
              <w:jc w:val="right"/>
              <w:rPr>
                <w:rFonts w:ascii="宋体" w:hAnsi="宋体" w:cs="宋体"/>
                <w:sz w:val="24"/>
                <w:highlight w:val="none"/>
              </w:rPr>
            </w:pPr>
          </w:p>
          <w:p w14:paraId="55966B93">
            <w:pPr>
              <w:tabs>
                <w:tab w:val="left" w:pos="-48"/>
                <w:tab w:val="left" w:pos="4320"/>
              </w:tabs>
              <w:adjustRightInd w:val="0"/>
              <w:snapToGrid w:val="0"/>
              <w:ind w:right="-133" w:hanging="48"/>
              <w:rPr>
                <w:rFonts w:ascii="宋体" w:hAnsi="宋体" w:cs="宋体"/>
                <w:sz w:val="24"/>
                <w:highlight w:val="none"/>
              </w:rPr>
            </w:pPr>
            <w:r>
              <w:rPr>
                <w:rFonts w:hint="eastAsia" w:ascii="宋体" w:hAnsi="宋体" w:cs="宋体"/>
                <w:sz w:val="24"/>
                <w:highlight w:val="none"/>
              </w:rPr>
              <w:t>净值：</w:t>
            </w:r>
          </w:p>
          <w:p w14:paraId="6CE83243">
            <w:pPr>
              <w:tabs>
                <w:tab w:val="left" w:pos="-48"/>
                <w:tab w:val="left" w:pos="4320"/>
              </w:tabs>
              <w:adjustRightInd w:val="0"/>
              <w:snapToGrid w:val="0"/>
              <w:ind w:hanging="48"/>
              <w:jc w:val="right"/>
              <w:rPr>
                <w:rFonts w:ascii="宋体" w:hAnsi="宋体" w:cs="宋体"/>
                <w:sz w:val="24"/>
                <w:highlight w:val="none"/>
              </w:rPr>
            </w:pPr>
          </w:p>
        </w:tc>
        <w:tc>
          <w:tcPr>
            <w:tcW w:w="567" w:type="dxa"/>
            <w:vMerge w:val="continue"/>
            <w:vAlign w:val="center"/>
          </w:tcPr>
          <w:p w14:paraId="4DC90F2F">
            <w:pPr>
              <w:tabs>
                <w:tab w:val="left" w:pos="4320"/>
              </w:tabs>
              <w:adjustRightInd w:val="0"/>
              <w:snapToGrid w:val="0"/>
              <w:rPr>
                <w:rFonts w:ascii="宋体" w:hAnsi="宋体" w:cs="宋体"/>
                <w:sz w:val="24"/>
                <w:highlight w:val="none"/>
              </w:rPr>
            </w:pPr>
          </w:p>
        </w:tc>
        <w:tc>
          <w:tcPr>
            <w:tcW w:w="946" w:type="dxa"/>
            <w:vMerge w:val="continue"/>
            <w:vAlign w:val="center"/>
          </w:tcPr>
          <w:p w14:paraId="54EBFF5E">
            <w:pPr>
              <w:tabs>
                <w:tab w:val="left" w:pos="4320"/>
              </w:tabs>
              <w:adjustRightInd w:val="0"/>
              <w:snapToGrid w:val="0"/>
              <w:jc w:val="center"/>
              <w:rPr>
                <w:rFonts w:ascii="宋体" w:hAnsi="宋体" w:cs="宋体"/>
                <w:sz w:val="24"/>
                <w:highlight w:val="none"/>
              </w:rPr>
            </w:pPr>
          </w:p>
        </w:tc>
        <w:tc>
          <w:tcPr>
            <w:tcW w:w="4142" w:type="dxa"/>
            <w:gridSpan w:val="5"/>
            <w:tcBorders>
              <w:right w:val="double" w:color="auto" w:sz="4" w:space="0"/>
            </w:tcBorders>
            <w:vAlign w:val="center"/>
          </w:tcPr>
          <w:p w14:paraId="0FFD715A">
            <w:pPr>
              <w:tabs>
                <w:tab w:val="left" w:pos="4320"/>
              </w:tabs>
              <w:adjustRightInd w:val="0"/>
              <w:snapToGrid w:val="0"/>
              <w:rPr>
                <w:rFonts w:ascii="宋体" w:hAnsi="宋体" w:cs="宋体"/>
                <w:sz w:val="24"/>
                <w:highlight w:val="none"/>
              </w:rPr>
            </w:pPr>
            <w:r>
              <w:rPr>
                <w:rFonts w:hint="eastAsia" w:ascii="宋体" w:hAnsi="宋体" w:cs="宋体"/>
                <w:sz w:val="24"/>
                <w:highlight w:val="none"/>
              </w:rPr>
              <w:t>2.</w:t>
            </w:r>
          </w:p>
        </w:tc>
      </w:tr>
      <w:tr w14:paraId="502D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54581ECD">
            <w:pPr>
              <w:tabs>
                <w:tab w:val="left" w:pos="4320"/>
              </w:tabs>
              <w:adjustRightInd w:val="0"/>
              <w:snapToGrid w:val="0"/>
              <w:ind w:left="266" w:hanging="266" w:hangingChars="111"/>
              <w:rPr>
                <w:rFonts w:ascii="宋体" w:hAnsi="宋体" w:cs="宋体"/>
                <w:sz w:val="24"/>
                <w:highlight w:val="none"/>
              </w:rPr>
            </w:pPr>
          </w:p>
        </w:tc>
        <w:tc>
          <w:tcPr>
            <w:tcW w:w="1276" w:type="dxa"/>
            <w:gridSpan w:val="2"/>
            <w:vAlign w:val="center"/>
          </w:tcPr>
          <w:p w14:paraId="28F7D8DC">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占地面积</w:t>
            </w:r>
          </w:p>
        </w:tc>
        <w:tc>
          <w:tcPr>
            <w:tcW w:w="1417" w:type="dxa"/>
            <w:gridSpan w:val="2"/>
            <w:vAlign w:val="center"/>
          </w:tcPr>
          <w:p w14:paraId="342C7277">
            <w:pPr>
              <w:tabs>
                <w:tab w:val="left" w:pos="4320"/>
              </w:tabs>
              <w:adjustRightInd w:val="0"/>
              <w:snapToGrid w:val="0"/>
              <w:jc w:val="right"/>
              <w:rPr>
                <w:rFonts w:ascii="宋体" w:hAnsi="宋体" w:cs="宋体"/>
                <w:sz w:val="24"/>
                <w:highlight w:val="none"/>
              </w:rPr>
            </w:pPr>
            <w:r>
              <w:rPr>
                <w:rFonts w:hint="eastAsia" w:ascii="宋体" w:hAnsi="宋体" w:cs="宋体"/>
                <w:sz w:val="24"/>
                <w:highlight w:val="none"/>
              </w:rPr>
              <w:t>M</w:t>
            </w:r>
            <w:r>
              <w:rPr>
                <w:rFonts w:hint="eastAsia" w:ascii="宋体" w:hAnsi="宋体" w:cs="宋体"/>
                <w:sz w:val="24"/>
                <w:highlight w:val="none"/>
                <w:vertAlign w:val="superscript"/>
              </w:rPr>
              <w:t>2</w:t>
            </w:r>
          </w:p>
        </w:tc>
        <w:tc>
          <w:tcPr>
            <w:tcW w:w="567" w:type="dxa"/>
            <w:vMerge w:val="continue"/>
            <w:vAlign w:val="center"/>
          </w:tcPr>
          <w:p w14:paraId="01D19DEA">
            <w:pPr>
              <w:tabs>
                <w:tab w:val="left" w:pos="4320"/>
              </w:tabs>
              <w:adjustRightInd w:val="0"/>
              <w:snapToGrid w:val="0"/>
              <w:rPr>
                <w:rFonts w:ascii="宋体" w:hAnsi="宋体" w:cs="宋体"/>
                <w:sz w:val="24"/>
                <w:highlight w:val="none"/>
              </w:rPr>
            </w:pPr>
          </w:p>
        </w:tc>
        <w:tc>
          <w:tcPr>
            <w:tcW w:w="946" w:type="dxa"/>
            <w:vMerge w:val="continue"/>
            <w:vAlign w:val="center"/>
          </w:tcPr>
          <w:p w14:paraId="58B75DC4">
            <w:pPr>
              <w:tabs>
                <w:tab w:val="left" w:pos="4320"/>
              </w:tabs>
              <w:adjustRightInd w:val="0"/>
              <w:snapToGrid w:val="0"/>
              <w:jc w:val="center"/>
              <w:rPr>
                <w:rFonts w:ascii="宋体" w:hAnsi="宋体" w:cs="宋体"/>
                <w:sz w:val="24"/>
                <w:highlight w:val="none"/>
              </w:rPr>
            </w:pPr>
          </w:p>
        </w:tc>
        <w:tc>
          <w:tcPr>
            <w:tcW w:w="4142" w:type="dxa"/>
            <w:gridSpan w:val="5"/>
            <w:tcBorders>
              <w:right w:val="double" w:color="auto" w:sz="4" w:space="0"/>
            </w:tcBorders>
            <w:vAlign w:val="center"/>
          </w:tcPr>
          <w:p w14:paraId="4FCFC8CD">
            <w:pPr>
              <w:tabs>
                <w:tab w:val="left" w:pos="4320"/>
              </w:tabs>
              <w:adjustRightInd w:val="0"/>
              <w:snapToGrid w:val="0"/>
              <w:spacing w:before="120" w:after="120"/>
              <w:rPr>
                <w:rFonts w:ascii="宋体" w:hAnsi="宋体" w:cs="宋体"/>
                <w:sz w:val="24"/>
                <w:highlight w:val="none"/>
              </w:rPr>
            </w:pPr>
            <w:r>
              <w:rPr>
                <w:rFonts w:hint="eastAsia" w:ascii="宋体" w:hAnsi="宋体" w:cs="宋体"/>
                <w:sz w:val="24"/>
                <w:highlight w:val="none"/>
              </w:rPr>
              <w:t>3.</w:t>
            </w:r>
          </w:p>
        </w:tc>
      </w:tr>
      <w:tr w14:paraId="59C0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1AE96123">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本次</w:t>
            </w:r>
          </w:p>
          <w:p w14:paraId="0691F84E">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投标</w:t>
            </w:r>
          </w:p>
          <w:p w14:paraId="761863F7">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产品</w:t>
            </w:r>
          </w:p>
          <w:p w14:paraId="2C07E66F">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情况</w:t>
            </w:r>
          </w:p>
        </w:tc>
        <w:tc>
          <w:tcPr>
            <w:tcW w:w="1643" w:type="dxa"/>
            <w:gridSpan w:val="3"/>
            <w:vAlign w:val="center"/>
          </w:tcPr>
          <w:p w14:paraId="73DE57D3">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本次投标</w:t>
            </w:r>
            <w:r>
              <w:rPr>
                <w:rFonts w:hint="eastAsia" w:ascii="宋体" w:hAnsi="宋体" w:cs="宋体"/>
                <w:sz w:val="24"/>
                <w:highlight w:val="none"/>
              </w:rPr>
              <w:br w:type="textWrapping"/>
            </w:r>
            <w:r>
              <w:rPr>
                <w:rFonts w:hint="eastAsia" w:ascii="宋体" w:hAnsi="宋体" w:cs="宋体"/>
                <w:sz w:val="24"/>
                <w:highlight w:val="none"/>
              </w:rPr>
              <w:t>产品名称</w:t>
            </w:r>
          </w:p>
        </w:tc>
        <w:tc>
          <w:tcPr>
            <w:tcW w:w="1617" w:type="dxa"/>
            <w:gridSpan w:val="2"/>
            <w:vAlign w:val="center"/>
          </w:tcPr>
          <w:p w14:paraId="63E8A238">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型    号</w:t>
            </w:r>
          </w:p>
        </w:tc>
        <w:tc>
          <w:tcPr>
            <w:tcW w:w="946" w:type="dxa"/>
            <w:vAlign w:val="center"/>
          </w:tcPr>
          <w:p w14:paraId="323B4554">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上年</w:t>
            </w:r>
            <w:r>
              <w:rPr>
                <w:rFonts w:hint="eastAsia" w:ascii="宋体" w:hAnsi="宋体" w:cs="宋体"/>
                <w:sz w:val="24"/>
                <w:highlight w:val="none"/>
              </w:rPr>
              <w:br w:type="textWrapping"/>
            </w:r>
            <w:r>
              <w:rPr>
                <w:rFonts w:hint="eastAsia" w:ascii="宋体" w:hAnsi="宋体" w:cs="宋体"/>
                <w:sz w:val="24"/>
                <w:highlight w:val="none"/>
              </w:rPr>
              <w:t>产销量</w:t>
            </w:r>
          </w:p>
        </w:tc>
        <w:tc>
          <w:tcPr>
            <w:tcW w:w="1263" w:type="dxa"/>
            <w:vAlign w:val="center"/>
          </w:tcPr>
          <w:p w14:paraId="37991E19">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产品技术</w:t>
            </w:r>
          </w:p>
          <w:p w14:paraId="6CD315BF">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先进水平</w:t>
            </w:r>
          </w:p>
        </w:tc>
        <w:tc>
          <w:tcPr>
            <w:tcW w:w="1273" w:type="dxa"/>
            <w:gridSpan w:val="2"/>
            <w:vAlign w:val="center"/>
          </w:tcPr>
          <w:p w14:paraId="3CBAACEA">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曾获何级</w:t>
            </w:r>
          </w:p>
          <w:p w14:paraId="0085420E">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何种奖励</w:t>
            </w:r>
          </w:p>
        </w:tc>
        <w:tc>
          <w:tcPr>
            <w:tcW w:w="1606" w:type="dxa"/>
            <w:gridSpan w:val="2"/>
            <w:tcBorders>
              <w:right w:val="double" w:color="auto" w:sz="4" w:space="0"/>
            </w:tcBorders>
            <w:vAlign w:val="center"/>
          </w:tcPr>
          <w:p w14:paraId="2AFFDD01">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主要用户</w:t>
            </w:r>
            <w:r>
              <w:rPr>
                <w:rFonts w:hint="eastAsia" w:ascii="宋体" w:hAnsi="宋体" w:cs="宋体"/>
                <w:sz w:val="24"/>
                <w:highlight w:val="none"/>
              </w:rPr>
              <w:br w:type="textWrapping"/>
            </w:r>
            <w:r>
              <w:rPr>
                <w:rFonts w:hint="eastAsia" w:ascii="宋体" w:hAnsi="宋体" w:cs="宋体"/>
                <w:sz w:val="24"/>
                <w:highlight w:val="none"/>
              </w:rPr>
              <w:t>名称</w:t>
            </w:r>
          </w:p>
        </w:tc>
      </w:tr>
      <w:tr w14:paraId="2A99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3118851B">
            <w:pPr>
              <w:tabs>
                <w:tab w:val="left" w:pos="4320"/>
              </w:tabs>
              <w:adjustRightInd w:val="0"/>
              <w:snapToGrid w:val="0"/>
              <w:rPr>
                <w:rFonts w:ascii="宋体" w:hAnsi="宋体" w:cs="宋体"/>
                <w:sz w:val="24"/>
                <w:highlight w:val="none"/>
              </w:rPr>
            </w:pPr>
          </w:p>
        </w:tc>
        <w:tc>
          <w:tcPr>
            <w:tcW w:w="1643" w:type="dxa"/>
            <w:gridSpan w:val="3"/>
            <w:vAlign w:val="center"/>
          </w:tcPr>
          <w:p w14:paraId="76CE42BC">
            <w:pPr>
              <w:tabs>
                <w:tab w:val="left" w:pos="4320"/>
              </w:tabs>
              <w:adjustRightInd w:val="0"/>
              <w:snapToGrid w:val="0"/>
              <w:rPr>
                <w:rFonts w:ascii="宋体" w:hAnsi="宋体" w:cs="宋体"/>
                <w:sz w:val="24"/>
                <w:highlight w:val="none"/>
              </w:rPr>
            </w:pPr>
          </w:p>
        </w:tc>
        <w:tc>
          <w:tcPr>
            <w:tcW w:w="1617" w:type="dxa"/>
            <w:gridSpan w:val="2"/>
            <w:vAlign w:val="center"/>
          </w:tcPr>
          <w:p w14:paraId="2825A5C6">
            <w:pPr>
              <w:tabs>
                <w:tab w:val="left" w:pos="4320"/>
              </w:tabs>
              <w:adjustRightInd w:val="0"/>
              <w:snapToGrid w:val="0"/>
              <w:rPr>
                <w:rFonts w:ascii="宋体" w:hAnsi="宋体" w:cs="宋体"/>
                <w:sz w:val="24"/>
                <w:highlight w:val="none"/>
              </w:rPr>
            </w:pPr>
          </w:p>
        </w:tc>
        <w:tc>
          <w:tcPr>
            <w:tcW w:w="946" w:type="dxa"/>
            <w:vAlign w:val="center"/>
          </w:tcPr>
          <w:p w14:paraId="6033DBA0">
            <w:pPr>
              <w:tabs>
                <w:tab w:val="left" w:pos="4320"/>
              </w:tabs>
              <w:adjustRightInd w:val="0"/>
              <w:snapToGrid w:val="0"/>
              <w:rPr>
                <w:rFonts w:ascii="宋体" w:hAnsi="宋体" w:cs="宋体"/>
                <w:sz w:val="24"/>
                <w:highlight w:val="none"/>
              </w:rPr>
            </w:pPr>
          </w:p>
        </w:tc>
        <w:tc>
          <w:tcPr>
            <w:tcW w:w="1263" w:type="dxa"/>
            <w:vAlign w:val="center"/>
          </w:tcPr>
          <w:p w14:paraId="58C0A750">
            <w:pPr>
              <w:tabs>
                <w:tab w:val="left" w:pos="4320"/>
              </w:tabs>
              <w:adjustRightInd w:val="0"/>
              <w:snapToGrid w:val="0"/>
              <w:rPr>
                <w:rFonts w:ascii="宋体" w:hAnsi="宋体" w:cs="宋体"/>
                <w:sz w:val="24"/>
                <w:highlight w:val="none"/>
              </w:rPr>
            </w:pPr>
          </w:p>
        </w:tc>
        <w:tc>
          <w:tcPr>
            <w:tcW w:w="1273" w:type="dxa"/>
            <w:gridSpan w:val="2"/>
            <w:vAlign w:val="center"/>
          </w:tcPr>
          <w:p w14:paraId="710D4508">
            <w:pPr>
              <w:tabs>
                <w:tab w:val="left" w:pos="4320"/>
              </w:tabs>
              <w:adjustRightInd w:val="0"/>
              <w:snapToGrid w:val="0"/>
              <w:rPr>
                <w:rFonts w:ascii="宋体" w:hAnsi="宋体" w:cs="宋体"/>
                <w:sz w:val="24"/>
                <w:highlight w:val="none"/>
              </w:rPr>
            </w:pPr>
          </w:p>
        </w:tc>
        <w:tc>
          <w:tcPr>
            <w:tcW w:w="1606" w:type="dxa"/>
            <w:gridSpan w:val="2"/>
            <w:tcBorders>
              <w:right w:val="double" w:color="auto" w:sz="4" w:space="0"/>
            </w:tcBorders>
            <w:vAlign w:val="center"/>
          </w:tcPr>
          <w:p w14:paraId="0C19B346">
            <w:pPr>
              <w:tabs>
                <w:tab w:val="left" w:pos="4320"/>
              </w:tabs>
              <w:adjustRightInd w:val="0"/>
              <w:snapToGrid w:val="0"/>
              <w:rPr>
                <w:rFonts w:ascii="宋体" w:hAnsi="宋体" w:cs="宋体"/>
                <w:sz w:val="24"/>
                <w:highlight w:val="none"/>
              </w:rPr>
            </w:pPr>
          </w:p>
        </w:tc>
      </w:tr>
      <w:tr w14:paraId="39BF0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12DAFEC8">
            <w:pPr>
              <w:tabs>
                <w:tab w:val="left" w:pos="4320"/>
              </w:tabs>
              <w:adjustRightInd w:val="0"/>
              <w:snapToGrid w:val="0"/>
              <w:rPr>
                <w:rFonts w:ascii="宋体" w:hAnsi="宋体" w:cs="宋体"/>
                <w:sz w:val="24"/>
                <w:highlight w:val="none"/>
              </w:rPr>
            </w:pPr>
          </w:p>
        </w:tc>
        <w:tc>
          <w:tcPr>
            <w:tcW w:w="1643" w:type="dxa"/>
            <w:gridSpan w:val="3"/>
            <w:vAlign w:val="center"/>
          </w:tcPr>
          <w:p w14:paraId="0702FC25">
            <w:pPr>
              <w:tabs>
                <w:tab w:val="left" w:pos="4320"/>
              </w:tabs>
              <w:adjustRightInd w:val="0"/>
              <w:snapToGrid w:val="0"/>
              <w:rPr>
                <w:rFonts w:ascii="宋体" w:hAnsi="宋体" w:cs="宋体"/>
                <w:sz w:val="24"/>
                <w:highlight w:val="none"/>
              </w:rPr>
            </w:pPr>
          </w:p>
        </w:tc>
        <w:tc>
          <w:tcPr>
            <w:tcW w:w="1617" w:type="dxa"/>
            <w:gridSpan w:val="2"/>
            <w:vAlign w:val="center"/>
          </w:tcPr>
          <w:p w14:paraId="44D01A6F">
            <w:pPr>
              <w:tabs>
                <w:tab w:val="left" w:pos="4320"/>
              </w:tabs>
              <w:adjustRightInd w:val="0"/>
              <w:snapToGrid w:val="0"/>
              <w:rPr>
                <w:rFonts w:ascii="宋体" w:hAnsi="宋体" w:cs="宋体"/>
                <w:sz w:val="24"/>
                <w:highlight w:val="none"/>
              </w:rPr>
            </w:pPr>
          </w:p>
        </w:tc>
        <w:tc>
          <w:tcPr>
            <w:tcW w:w="946" w:type="dxa"/>
            <w:vAlign w:val="center"/>
          </w:tcPr>
          <w:p w14:paraId="60780992">
            <w:pPr>
              <w:tabs>
                <w:tab w:val="left" w:pos="4320"/>
              </w:tabs>
              <w:adjustRightInd w:val="0"/>
              <w:snapToGrid w:val="0"/>
              <w:rPr>
                <w:rFonts w:ascii="宋体" w:hAnsi="宋体" w:cs="宋体"/>
                <w:sz w:val="24"/>
                <w:highlight w:val="none"/>
              </w:rPr>
            </w:pPr>
          </w:p>
        </w:tc>
        <w:tc>
          <w:tcPr>
            <w:tcW w:w="1263" w:type="dxa"/>
            <w:vAlign w:val="center"/>
          </w:tcPr>
          <w:p w14:paraId="34FF5531">
            <w:pPr>
              <w:tabs>
                <w:tab w:val="left" w:pos="4320"/>
              </w:tabs>
              <w:adjustRightInd w:val="0"/>
              <w:snapToGrid w:val="0"/>
              <w:rPr>
                <w:rFonts w:ascii="宋体" w:hAnsi="宋体" w:cs="宋体"/>
                <w:sz w:val="24"/>
                <w:highlight w:val="none"/>
              </w:rPr>
            </w:pPr>
          </w:p>
        </w:tc>
        <w:tc>
          <w:tcPr>
            <w:tcW w:w="1273" w:type="dxa"/>
            <w:gridSpan w:val="2"/>
            <w:vAlign w:val="center"/>
          </w:tcPr>
          <w:p w14:paraId="00C72C46">
            <w:pPr>
              <w:tabs>
                <w:tab w:val="left" w:pos="4320"/>
              </w:tabs>
              <w:adjustRightInd w:val="0"/>
              <w:snapToGrid w:val="0"/>
              <w:rPr>
                <w:rFonts w:ascii="宋体" w:hAnsi="宋体" w:cs="宋体"/>
                <w:sz w:val="24"/>
                <w:highlight w:val="none"/>
              </w:rPr>
            </w:pPr>
          </w:p>
        </w:tc>
        <w:tc>
          <w:tcPr>
            <w:tcW w:w="1606" w:type="dxa"/>
            <w:gridSpan w:val="2"/>
            <w:tcBorders>
              <w:right w:val="double" w:color="auto" w:sz="4" w:space="0"/>
            </w:tcBorders>
            <w:vAlign w:val="center"/>
          </w:tcPr>
          <w:p w14:paraId="42E3DA64">
            <w:pPr>
              <w:tabs>
                <w:tab w:val="left" w:pos="4320"/>
              </w:tabs>
              <w:adjustRightInd w:val="0"/>
              <w:snapToGrid w:val="0"/>
              <w:rPr>
                <w:rFonts w:ascii="宋体" w:hAnsi="宋体" w:cs="宋体"/>
                <w:sz w:val="24"/>
                <w:highlight w:val="none"/>
              </w:rPr>
            </w:pPr>
          </w:p>
        </w:tc>
      </w:tr>
      <w:tr w14:paraId="542F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1C4DA8A2">
            <w:pPr>
              <w:tabs>
                <w:tab w:val="left" w:pos="4320"/>
              </w:tabs>
              <w:adjustRightInd w:val="0"/>
              <w:snapToGrid w:val="0"/>
              <w:rPr>
                <w:rFonts w:ascii="宋体" w:hAnsi="宋体" w:cs="宋体"/>
                <w:sz w:val="24"/>
                <w:highlight w:val="none"/>
              </w:rPr>
            </w:pPr>
          </w:p>
        </w:tc>
        <w:tc>
          <w:tcPr>
            <w:tcW w:w="1643" w:type="dxa"/>
            <w:gridSpan w:val="3"/>
            <w:vAlign w:val="center"/>
          </w:tcPr>
          <w:p w14:paraId="35BF660F">
            <w:pPr>
              <w:tabs>
                <w:tab w:val="left" w:pos="4320"/>
              </w:tabs>
              <w:adjustRightInd w:val="0"/>
              <w:snapToGrid w:val="0"/>
              <w:rPr>
                <w:rFonts w:ascii="宋体" w:hAnsi="宋体" w:cs="宋体"/>
                <w:sz w:val="24"/>
                <w:highlight w:val="none"/>
              </w:rPr>
            </w:pPr>
          </w:p>
        </w:tc>
        <w:tc>
          <w:tcPr>
            <w:tcW w:w="1617" w:type="dxa"/>
            <w:gridSpan w:val="2"/>
            <w:vAlign w:val="center"/>
          </w:tcPr>
          <w:p w14:paraId="387F1926">
            <w:pPr>
              <w:tabs>
                <w:tab w:val="left" w:pos="4320"/>
              </w:tabs>
              <w:adjustRightInd w:val="0"/>
              <w:snapToGrid w:val="0"/>
              <w:rPr>
                <w:rFonts w:ascii="宋体" w:hAnsi="宋体" w:cs="宋体"/>
                <w:sz w:val="24"/>
                <w:highlight w:val="none"/>
              </w:rPr>
            </w:pPr>
          </w:p>
        </w:tc>
        <w:tc>
          <w:tcPr>
            <w:tcW w:w="946" w:type="dxa"/>
            <w:vAlign w:val="center"/>
          </w:tcPr>
          <w:p w14:paraId="64DAB439">
            <w:pPr>
              <w:tabs>
                <w:tab w:val="left" w:pos="4320"/>
              </w:tabs>
              <w:adjustRightInd w:val="0"/>
              <w:snapToGrid w:val="0"/>
              <w:rPr>
                <w:rFonts w:ascii="宋体" w:hAnsi="宋体" w:cs="宋体"/>
                <w:sz w:val="24"/>
                <w:highlight w:val="none"/>
              </w:rPr>
            </w:pPr>
          </w:p>
        </w:tc>
        <w:tc>
          <w:tcPr>
            <w:tcW w:w="1263" w:type="dxa"/>
            <w:vAlign w:val="center"/>
          </w:tcPr>
          <w:p w14:paraId="2E4A865E">
            <w:pPr>
              <w:tabs>
                <w:tab w:val="left" w:pos="4320"/>
              </w:tabs>
              <w:adjustRightInd w:val="0"/>
              <w:snapToGrid w:val="0"/>
              <w:rPr>
                <w:rFonts w:ascii="宋体" w:hAnsi="宋体" w:cs="宋体"/>
                <w:sz w:val="24"/>
                <w:highlight w:val="none"/>
              </w:rPr>
            </w:pPr>
          </w:p>
        </w:tc>
        <w:tc>
          <w:tcPr>
            <w:tcW w:w="1273" w:type="dxa"/>
            <w:gridSpan w:val="2"/>
            <w:vAlign w:val="center"/>
          </w:tcPr>
          <w:p w14:paraId="12F78B9A">
            <w:pPr>
              <w:tabs>
                <w:tab w:val="left" w:pos="4320"/>
              </w:tabs>
              <w:adjustRightInd w:val="0"/>
              <w:snapToGrid w:val="0"/>
              <w:rPr>
                <w:rFonts w:ascii="宋体" w:hAnsi="宋体" w:cs="宋体"/>
                <w:sz w:val="24"/>
                <w:highlight w:val="none"/>
              </w:rPr>
            </w:pPr>
          </w:p>
        </w:tc>
        <w:tc>
          <w:tcPr>
            <w:tcW w:w="1606" w:type="dxa"/>
            <w:gridSpan w:val="2"/>
            <w:tcBorders>
              <w:right w:val="double" w:color="auto" w:sz="4" w:space="0"/>
            </w:tcBorders>
            <w:vAlign w:val="center"/>
          </w:tcPr>
          <w:p w14:paraId="0C448B0F">
            <w:pPr>
              <w:tabs>
                <w:tab w:val="left" w:pos="4320"/>
              </w:tabs>
              <w:adjustRightInd w:val="0"/>
              <w:snapToGrid w:val="0"/>
              <w:rPr>
                <w:rFonts w:ascii="宋体" w:hAnsi="宋体" w:cs="宋体"/>
                <w:sz w:val="24"/>
                <w:highlight w:val="none"/>
              </w:rPr>
            </w:pPr>
          </w:p>
        </w:tc>
      </w:tr>
      <w:tr w14:paraId="5039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5555A35B">
            <w:pPr>
              <w:tabs>
                <w:tab w:val="left" w:pos="4320"/>
              </w:tabs>
              <w:adjustRightInd w:val="0"/>
              <w:snapToGrid w:val="0"/>
              <w:rPr>
                <w:rFonts w:ascii="宋体" w:hAnsi="宋体" w:cs="宋体"/>
                <w:sz w:val="24"/>
                <w:highlight w:val="none"/>
              </w:rPr>
            </w:pPr>
          </w:p>
        </w:tc>
        <w:tc>
          <w:tcPr>
            <w:tcW w:w="1643" w:type="dxa"/>
            <w:gridSpan w:val="3"/>
            <w:vAlign w:val="center"/>
          </w:tcPr>
          <w:p w14:paraId="6E08B00B">
            <w:pPr>
              <w:tabs>
                <w:tab w:val="left" w:pos="4320"/>
              </w:tabs>
              <w:adjustRightInd w:val="0"/>
              <w:snapToGrid w:val="0"/>
              <w:rPr>
                <w:rFonts w:ascii="宋体" w:hAnsi="宋体" w:cs="宋体"/>
                <w:sz w:val="24"/>
                <w:highlight w:val="none"/>
              </w:rPr>
            </w:pPr>
          </w:p>
        </w:tc>
        <w:tc>
          <w:tcPr>
            <w:tcW w:w="1617" w:type="dxa"/>
            <w:gridSpan w:val="2"/>
            <w:vAlign w:val="center"/>
          </w:tcPr>
          <w:p w14:paraId="2B6CE787">
            <w:pPr>
              <w:tabs>
                <w:tab w:val="left" w:pos="4320"/>
              </w:tabs>
              <w:adjustRightInd w:val="0"/>
              <w:snapToGrid w:val="0"/>
              <w:rPr>
                <w:rFonts w:ascii="宋体" w:hAnsi="宋体" w:cs="宋体"/>
                <w:sz w:val="24"/>
                <w:highlight w:val="none"/>
              </w:rPr>
            </w:pPr>
          </w:p>
        </w:tc>
        <w:tc>
          <w:tcPr>
            <w:tcW w:w="946" w:type="dxa"/>
            <w:vAlign w:val="center"/>
          </w:tcPr>
          <w:p w14:paraId="5A858D46">
            <w:pPr>
              <w:tabs>
                <w:tab w:val="left" w:pos="4320"/>
              </w:tabs>
              <w:adjustRightInd w:val="0"/>
              <w:snapToGrid w:val="0"/>
              <w:rPr>
                <w:rFonts w:ascii="宋体" w:hAnsi="宋体" w:cs="宋体"/>
                <w:sz w:val="24"/>
                <w:highlight w:val="none"/>
              </w:rPr>
            </w:pPr>
          </w:p>
        </w:tc>
        <w:tc>
          <w:tcPr>
            <w:tcW w:w="1263" w:type="dxa"/>
            <w:vAlign w:val="center"/>
          </w:tcPr>
          <w:p w14:paraId="15C113D1">
            <w:pPr>
              <w:tabs>
                <w:tab w:val="left" w:pos="4320"/>
              </w:tabs>
              <w:adjustRightInd w:val="0"/>
              <w:snapToGrid w:val="0"/>
              <w:rPr>
                <w:rFonts w:ascii="宋体" w:hAnsi="宋体" w:cs="宋体"/>
                <w:sz w:val="24"/>
                <w:highlight w:val="none"/>
              </w:rPr>
            </w:pPr>
          </w:p>
        </w:tc>
        <w:tc>
          <w:tcPr>
            <w:tcW w:w="1273" w:type="dxa"/>
            <w:gridSpan w:val="2"/>
            <w:vAlign w:val="center"/>
          </w:tcPr>
          <w:p w14:paraId="602DF83F">
            <w:pPr>
              <w:tabs>
                <w:tab w:val="left" w:pos="4320"/>
              </w:tabs>
              <w:adjustRightInd w:val="0"/>
              <w:snapToGrid w:val="0"/>
              <w:rPr>
                <w:rFonts w:ascii="宋体" w:hAnsi="宋体" w:cs="宋体"/>
                <w:sz w:val="24"/>
                <w:highlight w:val="none"/>
              </w:rPr>
            </w:pPr>
          </w:p>
        </w:tc>
        <w:tc>
          <w:tcPr>
            <w:tcW w:w="1606" w:type="dxa"/>
            <w:gridSpan w:val="2"/>
            <w:tcBorders>
              <w:right w:val="double" w:color="auto" w:sz="4" w:space="0"/>
            </w:tcBorders>
            <w:vAlign w:val="center"/>
          </w:tcPr>
          <w:p w14:paraId="7DBC5714">
            <w:pPr>
              <w:tabs>
                <w:tab w:val="left" w:pos="4320"/>
              </w:tabs>
              <w:adjustRightInd w:val="0"/>
              <w:snapToGrid w:val="0"/>
              <w:rPr>
                <w:rFonts w:ascii="宋体" w:hAnsi="宋体" w:cs="宋体"/>
                <w:sz w:val="24"/>
                <w:highlight w:val="none"/>
              </w:rPr>
            </w:pPr>
          </w:p>
        </w:tc>
      </w:tr>
      <w:tr w14:paraId="00EE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28BE3851">
            <w:pPr>
              <w:tabs>
                <w:tab w:val="left" w:pos="4320"/>
              </w:tabs>
              <w:adjustRightInd w:val="0"/>
              <w:snapToGrid w:val="0"/>
              <w:rPr>
                <w:rFonts w:ascii="宋体" w:hAnsi="宋体" w:cs="宋体"/>
                <w:sz w:val="24"/>
                <w:highlight w:val="none"/>
              </w:rPr>
            </w:pPr>
            <w:r>
              <w:rPr>
                <w:rFonts w:hint="eastAsia" w:ascii="宋体" w:hAnsi="宋体" w:cs="宋体"/>
                <w:sz w:val="24"/>
                <w:highlight w:val="none"/>
              </w:rPr>
              <w:t>其他</w:t>
            </w:r>
          </w:p>
        </w:tc>
        <w:tc>
          <w:tcPr>
            <w:tcW w:w="4206" w:type="dxa"/>
            <w:gridSpan w:val="6"/>
            <w:vAlign w:val="center"/>
          </w:tcPr>
          <w:p w14:paraId="7D6A0F48">
            <w:pPr>
              <w:tabs>
                <w:tab w:val="left" w:pos="4320"/>
              </w:tabs>
              <w:adjustRightInd w:val="0"/>
              <w:snapToGrid w:val="0"/>
              <w:spacing w:before="60" w:after="60"/>
              <w:rPr>
                <w:rFonts w:ascii="宋体" w:hAnsi="宋体" w:cs="宋体"/>
                <w:sz w:val="24"/>
                <w:highlight w:val="none"/>
              </w:rPr>
            </w:pPr>
            <w:r>
              <w:rPr>
                <w:rFonts w:hint="eastAsia" w:ascii="宋体" w:hAnsi="宋体" w:cs="宋体"/>
                <w:sz w:val="24"/>
                <w:highlight w:val="none"/>
              </w:rPr>
              <w:t>近3年完成及正在执行的合同中发生的由于投标人违约或部分违约而引起诉讼和受到索赔的案件具体情况及结果（须如实填写，若对此进行隐瞒，而后又被采购人或采购代理机构发现，或被他人举证成立，其投标资格将被取消）。</w:t>
            </w:r>
          </w:p>
        </w:tc>
        <w:tc>
          <w:tcPr>
            <w:tcW w:w="4142" w:type="dxa"/>
            <w:gridSpan w:val="5"/>
            <w:tcBorders>
              <w:right w:val="double" w:color="auto" w:sz="4" w:space="0"/>
            </w:tcBorders>
            <w:vAlign w:val="center"/>
          </w:tcPr>
          <w:p w14:paraId="7B613561">
            <w:pPr>
              <w:tabs>
                <w:tab w:val="left" w:pos="4320"/>
              </w:tabs>
              <w:adjustRightInd w:val="0"/>
              <w:snapToGrid w:val="0"/>
              <w:spacing w:before="60" w:after="60"/>
              <w:rPr>
                <w:rFonts w:ascii="宋体" w:hAnsi="宋体" w:cs="宋体"/>
                <w:sz w:val="24"/>
                <w:highlight w:val="none"/>
              </w:rPr>
            </w:pPr>
            <w:r>
              <w:rPr>
                <w:rFonts w:hint="eastAsia" w:ascii="宋体" w:hAnsi="宋体" w:cs="宋体"/>
                <w:sz w:val="24"/>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2168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vAlign w:val="center"/>
          </w:tcPr>
          <w:p w14:paraId="5A7ABB96">
            <w:pPr>
              <w:tabs>
                <w:tab w:val="left" w:pos="4320"/>
              </w:tabs>
              <w:adjustRightInd w:val="0"/>
              <w:snapToGrid w:val="0"/>
              <w:rPr>
                <w:rFonts w:ascii="宋体" w:hAnsi="宋体" w:cs="宋体"/>
                <w:sz w:val="24"/>
                <w:highlight w:val="none"/>
              </w:rPr>
            </w:pPr>
          </w:p>
        </w:tc>
        <w:tc>
          <w:tcPr>
            <w:tcW w:w="4206" w:type="dxa"/>
            <w:gridSpan w:val="6"/>
            <w:tcBorders>
              <w:bottom w:val="double" w:color="auto" w:sz="4" w:space="0"/>
            </w:tcBorders>
            <w:vAlign w:val="center"/>
          </w:tcPr>
          <w:p w14:paraId="67DF38A2">
            <w:pPr>
              <w:tabs>
                <w:tab w:val="left" w:pos="4320"/>
              </w:tabs>
              <w:adjustRightInd w:val="0"/>
              <w:snapToGrid w:val="0"/>
              <w:rPr>
                <w:rFonts w:ascii="宋体" w:hAnsi="宋体" w:cs="宋体"/>
                <w:sz w:val="24"/>
                <w:highlight w:val="none"/>
              </w:rPr>
            </w:pPr>
          </w:p>
        </w:tc>
        <w:tc>
          <w:tcPr>
            <w:tcW w:w="4142" w:type="dxa"/>
            <w:gridSpan w:val="5"/>
            <w:tcBorders>
              <w:bottom w:val="double" w:color="auto" w:sz="4" w:space="0"/>
              <w:right w:val="double" w:color="auto" w:sz="4" w:space="0"/>
            </w:tcBorders>
            <w:vAlign w:val="center"/>
          </w:tcPr>
          <w:p w14:paraId="26131F99">
            <w:pPr>
              <w:tabs>
                <w:tab w:val="left" w:pos="4320"/>
              </w:tabs>
              <w:adjustRightInd w:val="0"/>
              <w:snapToGrid w:val="0"/>
              <w:rPr>
                <w:rFonts w:ascii="宋体" w:hAnsi="宋体" w:cs="宋体"/>
                <w:sz w:val="24"/>
                <w:highlight w:val="none"/>
              </w:rPr>
            </w:pPr>
          </w:p>
        </w:tc>
      </w:tr>
    </w:tbl>
    <w:p w14:paraId="28C00AEB">
      <w:pPr>
        <w:spacing w:line="400" w:lineRule="exact"/>
        <w:ind w:firstLine="540"/>
        <w:contextualSpacing/>
        <w:rPr>
          <w:rFonts w:ascii="宋体" w:hAnsi="宋体" w:cs="宋体"/>
          <w:b/>
          <w:bCs/>
          <w:szCs w:val="21"/>
          <w:highlight w:val="none"/>
        </w:rPr>
      </w:pPr>
    </w:p>
    <w:p w14:paraId="4564A89B">
      <w:pPr>
        <w:rPr>
          <w:rFonts w:ascii="宋体" w:hAnsi="宋体" w:cs="宋体"/>
          <w:b/>
          <w:color w:val="000000"/>
          <w:sz w:val="30"/>
          <w:szCs w:val="30"/>
          <w:highlight w:val="none"/>
        </w:rPr>
      </w:pPr>
      <w:r>
        <w:rPr>
          <w:rFonts w:hint="eastAsia" w:ascii="宋体" w:hAnsi="宋体" w:cs="宋体"/>
          <w:b/>
          <w:color w:val="000000"/>
          <w:sz w:val="30"/>
          <w:szCs w:val="30"/>
          <w:highlight w:val="none"/>
        </w:rPr>
        <w:br w:type="page"/>
      </w:r>
    </w:p>
    <w:p w14:paraId="75CB5C55">
      <w:pPr>
        <w:jc w:val="center"/>
        <w:rPr>
          <w:rFonts w:ascii="宋体" w:hAnsi="宋体" w:cs="宋体"/>
          <w:b/>
          <w:bCs/>
          <w:sz w:val="30"/>
          <w:szCs w:val="30"/>
          <w:highlight w:val="none"/>
        </w:rPr>
      </w:pPr>
      <w:r>
        <w:rPr>
          <w:rFonts w:hint="eastAsia" w:ascii="宋体" w:hAnsi="宋体" w:cs="宋体"/>
          <w:b/>
          <w:bCs/>
          <w:sz w:val="30"/>
          <w:szCs w:val="30"/>
          <w:highlight w:val="none"/>
        </w:rPr>
        <w:t>开标一览表</w:t>
      </w:r>
    </w:p>
    <w:p w14:paraId="19642DC6">
      <w:pPr>
        <w:jc w:val="center"/>
        <w:rPr>
          <w:rFonts w:ascii="宋体" w:hAnsi="宋体" w:cs="宋体"/>
          <w:b/>
          <w:bCs/>
          <w:sz w:val="30"/>
          <w:szCs w:val="30"/>
          <w:highlight w:val="none"/>
        </w:rPr>
      </w:pPr>
    </w:p>
    <w:p w14:paraId="6472D10C">
      <w:pPr>
        <w:adjustRightIn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项目名称：2026年南通城市轨道交通运营第三方安全监管项目                               </w:t>
      </w:r>
    </w:p>
    <w:tbl>
      <w:tblPr>
        <w:tblStyle w:val="4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06"/>
      </w:tblGrid>
      <w:tr w14:paraId="283A5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trPr>
        <w:tc>
          <w:tcPr>
            <w:tcW w:w="8206" w:type="dxa"/>
            <w:vAlign w:val="center"/>
          </w:tcPr>
          <w:p w14:paraId="2C8A9686">
            <w:pPr>
              <w:adjustRightIn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投标总报价</w:t>
            </w:r>
          </w:p>
        </w:tc>
      </w:tr>
      <w:tr w14:paraId="2517A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8206" w:type="dxa"/>
            <w:vAlign w:val="center"/>
          </w:tcPr>
          <w:p w14:paraId="5A5FCABF">
            <w:pPr>
              <w:pStyle w:val="243"/>
              <w:adjustRightInd w:val="0"/>
              <w:spacing w:before="0" w:after="0"/>
              <w:ind w:firstLine="1200" w:firstLineChars="500"/>
              <w:jc w:val="both"/>
              <w:rPr>
                <w:rFonts w:ascii="宋体" w:hAnsi="宋体" w:cs="宋体"/>
                <w:highlight w:val="none"/>
              </w:rPr>
            </w:pPr>
            <w:r>
              <w:rPr>
                <w:rFonts w:hint="eastAsia" w:ascii="宋体" w:hAnsi="宋体" w:cs="宋体"/>
                <w:highlight w:val="none"/>
              </w:rPr>
              <w:t>大写：人民币</w:t>
            </w:r>
          </w:p>
          <w:p w14:paraId="047D9DF4">
            <w:pPr>
              <w:pStyle w:val="243"/>
              <w:adjustRightInd w:val="0"/>
              <w:spacing w:before="0" w:after="0"/>
              <w:ind w:firstLineChars="200"/>
              <w:rPr>
                <w:rFonts w:ascii="宋体" w:hAnsi="宋体" w:cs="宋体"/>
                <w:highlight w:val="none"/>
              </w:rPr>
            </w:pPr>
            <w:r>
              <w:rPr>
                <w:rFonts w:hint="eastAsia" w:ascii="宋体" w:hAnsi="宋体" w:cs="宋体"/>
                <w:highlight w:val="none"/>
              </w:rPr>
              <w:t>小写：                             （人民币：元）</w:t>
            </w:r>
          </w:p>
        </w:tc>
      </w:tr>
    </w:tbl>
    <w:p w14:paraId="5D65DA45">
      <w:pPr>
        <w:pStyle w:val="43"/>
        <w:adjustRightInd w:val="0"/>
        <w:spacing w:line="360" w:lineRule="auto"/>
        <w:ind w:firstLine="480" w:firstLineChars="200"/>
        <w:rPr>
          <w:rFonts w:cs="宋体"/>
          <w:color w:val="auto"/>
          <w:highlight w:val="none"/>
        </w:rPr>
      </w:pPr>
    </w:p>
    <w:p w14:paraId="75B1EC39">
      <w:pPr>
        <w:adjustRightInd w:val="0"/>
        <w:snapToGrid w:val="0"/>
        <w:spacing w:line="360" w:lineRule="auto"/>
        <w:jc w:val="center"/>
        <w:rPr>
          <w:rStyle w:val="300"/>
          <w:rFonts w:ascii="宋体" w:hAnsi="宋体" w:cs="宋体"/>
          <w:sz w:val="24"/>
          <w:highlight w:val="none"/>
        </w:rPr>
      </w:pPr>
      <w:r>
        <w:rPr>
          <w:rStyle w:val="300"/>
          <w:rFonts w:hint="eastAsia" w:ascii="宋体" w:hAnsi="宋体" w:cs="宋体"/>
          <w:sz w:val="24"/>
          <w:highlight w:val="none"/>
        </w:rPr>
        <w:t xml:space="preserve">                               投标人：</w:t>
      </w:r>
      <w:r>
        <w:rPr>
          <w:rFonts w:hint="eastAsia" w:ascii="宋体" w:hAnsi="宋体" w:cs="宋体"/>
          <w:sz w:val="24"/>
          <w:highlight w:val="none"/>
        </w:rPr>
        <w:t>（盖章）</w:t>
      </w:r>
    </w:p>
    <w:p w14:paraId="2A7E1464">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 xml:space="preserve">                                 日期：  年  月  日</w:t>
      </w:r>
    </w:p>
    <w:p w14:paraId="597F294A">
      <w:pPr>
        <w:rPr>
          <w:rFonts w:ascii="宋体" w:hAnsi="宋体" w:cs="宋体"/>
          <w:b/>
          <w:bCs/>
          <w:sz w:val="30"/>
          <w:szCs w:val="30"/>
          <w:highlight w:val="none"/>
        </w:rPr>
      </w:pPr>
      <w:r>
        <w:rPr>
          <w:rFonts w:hint="eastAsia" w:ascii="宋体" w:hAnsi="宋体" w:cs="宋体"/>
          <w:b/>
          <w:bCs/>
          <w:sz w:val="30"/>
          <w:szCs w:val="30"/>
          <w:highlight w:val="none"/>
        </w:rPr>
        <w:br w:type="page"/>
      </w:r>
    </w:p>
    <w:p w14:paraId="0A0128F6">
      <w:pPr>
        <w:jc w:val="center"/>
        <w:rPr>
          <w:rFonts w:ascii="宋体" w:hAnsi="宋体" w:cs="宋体"/>
          <w:b/>
          <w:bCs/>
          <w:sz w:val="30"/>
          <w:szCs w:val="30"/>
          <w:highlight w:val="none"/>
        </w:rPr>
      </w:pPr>
      <w:r>
        <w:rPr>
          <w:rFonts w:hint="eastAsia" w:ascii="宋体" w:hAnsi="宋体" w:cs="宋体"/>
          <w:b/>
          <w:bCs/>
          <w:sz w:val="30"/>
          <w:szCs w:val="30"/>
          <w:highlight w:val="none"/>
        </w:rPr>
        <w:t>投标分项报价表</w:t>
      </w:r>
    </w:p>
    <w:p w14:paraId="2BC3F041">
      <w:pPr>
        <w:jc w:val="center"/>
        <w:rPr>
          <w:rFonts w:ascii="宋体" w:hAnsi="宋体" w:cs="宋体"/>
          <w:b/>
          <w:sz w:val="30"/>
          <w:szCs w:val="30"/>
          <w:highlight w:val="none"/>
        </w:rPr>
      </w:pPr>
    </w:p>
    <w:p w14:paraId="12F8F44C">
      <w:pPr>
        <w:spacing w:line="360" w:lineRule="auto"/>
        <w:rPr>
          <w:rFonts w:ascii="宋体" w:hAnsi="宋体" w:cs="宋体"/>
          <w:sz w:val="24"/>
          <w:highlight w:val="none"/>
        </w:rPr>
      </w:pPr>
      <w:r>
        <w:rPr>
          <w:rFonts w:hint="eastAsia" w:ascii="宋体" w:hAnsi="宋体" w:cs="宋体"/>
          <w:sz w:val="24"/>
          <w:highlight w:val="none"/>
        </w:rPr>
        <w:t>项目名称：2026年南通城市轨道交通运营第三方安全监管项目</w:t>
      </w:r>
    </w:p>
    <w:tbl>
      <w:tblPr>
        <w:tblStyle w:val="4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3"/>
        <w:gridCol w:w="2108"/>
        <w:gridCol w:w="1080"/>
        <w:gridCol w:w="1172"/>
        <w:gridCol w:w="1771"/>
        <w:gridCol w:w="1724"/>
        <w:gridCol w:w="838"/>
      </w:tblGrid>
      <w:tr w14:paraId="717CE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723" w:type="dxa"/>
            <w:vAlign w:val="center"/>
          </w:tcPr>
          <w:p w14:paraId="4581BAD7">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序号</w:t>
            </w:r>
          </w:p>
        </w:tc>
        <w:tc>
          <w:tcPr>
            <w:tcW w:w="2108" w:type="dxa"/>
            <w:vAlign w:val="center"/>
          </w:tcPr>
          <w:p w14:paraId="6287735D">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名称</w:t>
            </w:r>
          </w:p>
        </w:tc>
        <w:tc>
          <w:tcPr>
            <w:tcW w:w="1080" w:type="dxa"/>
            <w:vAlign w:val="center"/>
          </w:tcPr>
          <w:p w14:paraId="7BE2E4E5">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单位</w:t>
            </w:r>
          </w:p>
        </w:tc>
        <w:tc>
          <w:tcPr>
            <w:tcW w:w="1172" w:type="dxa"/>
            <w:vAlign w:val="center"/>
          </w:tcPr>
          <w:p w14:paraId="48571E56">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数量</w:t>
            </w:r>
          </w:p>
        </w:tc>
        <w:tc>
          <w:tcPr>
            <w:tcW w:w="1771" w:type="dxa"/>
            <w:vAlign w:val="center"/>
          </w:tcPr>
          <w:p w14:paraId="04829E05">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单价（</w:t>
            </w:r>
            <w:r>
              <w:rPr>
                <w:rFonts w:hint="eastAsia" w:ascii="宋体" w:hAnsi="宋体" w:cs="宋体"/>
                <w:b/>
                <w:sz w:val="24"/>
                <w:highlight w:val="none"/>
                <w:lang w:bidi="zh-CN"/>
              </w:rPr>
              <w:t>元</w:t>
            </w:r>
            <w:r>
              <w:rPr>
                <w:rFonts w:hint="eastAsia" w:ascii="宋体" w:hAnsi="宋体" w:cs="宋体"/>
                <w:b/>
                <w:sz w:val="24"/>
                <w:highlight w:val="none"/>
                <w:lang w:val="zh-CN" w:bidi="zh-CN"/>
              </w:rPr>
              <w:t>）</w:t>
            </w:r>
          </w:p>
        </w:tc>
        <w:tc>
          <w:tcPr>
            <w:tcW w:w="1724" w:type="dxa"/>
            <w:vAlign w:val="center"/>
          </w:tcPr>
          <w:p w14:paraId="4DE23903">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金额（</w:t>
            </w:r>
            <w:r>
              <w:rPr>
                <w:rFonts w:hint="eastAsia" w:ascii="宋体" w:hAnsi="宋体" w:cs="宋体"/>
                <w:b/>
                <w:sz w:val="24"/>
                <w:highlight w:val="none"/>
                <w:lang w:bidi="zh-CN"/>
              </w:rPr>
              <w:t>元</w:t>
            </w:r>
            <w:r>
              <w:rPr>
                <w:rFonts w:hint="eastAsia" w:ascii="宋体" w:hAnsi="宋体" w:cs="宋体"/>
                <w:b/>
                <w:sz w:val="24"/>
                <w:highlight w:val="none"/>
                <w:lang w:val="zh-CN" w:bidi="zh-CN"/>
              </w:rPr>
              <w:t>）</w:t>
            </w:r>
          </w:p>
        </w:tc>
        <w:tc>
          <w:tcPr>
            <w:tcW w:w="838" w:type="dxa"/>
            <w:vAlign w:val="center"/>
          </w:tcPr>
          <w:p w14:paraId="29A56DFB">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备注</w:t>
            </w:r>
          </w:p>
        </w:tc>
      </w:tr>
      <w:tr w14:paraId="268AC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723" w:type="dxa"/>
            <w:vAlign w:val="center"/>
          </w:tcPr>
          <w:p w14:paraId="524116E2">
            <w:pPr>
              <w:autoSpaceDE w:val="0"/>
              <w:autoSpaceDN w:val="0"/>
              <w:ind w:left="8"/>
              <w:jc w:val="center"/>
              <w:rPr>
                <w:rFonts w:ascii="宋体" w:hAnsi="宋体" w:cs="宋体"/>
                <w:sz w:val="24"/>
                <w:highlight w:val="none"/>
                <w:lang w:val="zh-CN" w:bidi="zh-CN"/>
              </w:rPr>
            </w:pPr>
            <w:r>
              <w:rPr>
                <w:rFonts w:hint="eastAsia" w:ascii="宋体" w:hAnsi="宋体" w:cs="宋体"/>
                <w:sz w:val="24"/>
                <w:highlight w:val="none"/>
                <w:lang w:val="zh-CN" w:bidi="zh-CN"/>
              </w:rPr>
              <w:t>1</w:t>
            </w:r>
          </w:p>
        </w:tc>
        <w:tc>
          <w:tcPr>
            <w:tcW w:w="2108" w:type="dxa"/>
            <w:vAlign w:val="center"/>
          </w:tcPr>
          <w:p w14:paraId="55D818AE">
            <w:pPr>
              <w:autoSpaceDE w:val="0"/>
              <w:autoSpaceDN w:val="0"/>
              <w:jc w:val="center"/>
              <w:rPr>
                <w:rFonts w:ascii="宋体" w:hAnsi="宋体" w:cs="宋体"/>
                <w:sz w:val="24"/>
                <w:highlight w:val="none"/>
                <w:lang w:val="zh-CN" w:bidi="zh-CN"/>
              </w:rPr>
            </w:pPr>
          </w:p>
        </w:tc>
        <w:tc>
          <w:tcPr>
            <w:tcW w:w="1080" w:type="dxa"/>
            <w:vAlign w:val="center"/>
          </w:tcPr>
          <w:p w14:paraId="739A066F">
            <w:pPr>
              <w:autoSpaceDE w:val="0"/>
              <w:autoSpaceDN w:val="0"/>
              <w:jc w:val="center"/>
              <w:rPr>
                <w:rFonts w:ascii="宋体" w:hAnsi="宋体" w:cs="宋体"/>
                <w:sz w:val="24"/>
                <w:highlight w:val="none"/>
                <w:lang w:val="zh-CN" w:bidi="zh-CN"/>
              </w:rPr>
            </w:pPr>
          </w:p>
        </w:tc>
        <w:tc>
          <w:tcPr>
            <w:tcW w:w="1172" w:type="dxa"/>
            <w:vAlign w:val="center"/>
          </w:tcPr>
          <w:p w14:paraId="22C731D2">
            <w:pPr>
              <w:autoSpaceDE w:val="0"/>
              <w:autoSpaceDN w:val="0"/>
              <w:jc w:val="center"/>
              <w:rPr>
                <w:rFonts w:ascii="宋体" w:hAnsi="宋体" w:cs="宋体"/>
                <w:sz w:val="24"/>
                <w:highlight w:val="none"/>
                <w:lang w:val="zh-CN" w:bidi="zh-CN"/>
              </w:rPr>
            </w:pPr>
          </w:p>
        </w:tc>
        <w:tc>
          <w:tcPr>
            <w:tcW w:w="1771" w:type="dxa"/>
            <w:vAlign w:val="center"/>
          </w:tcPr>
          <w:p w14:paraId="5B8CCD79">
            <w:pPr>
              <w:autoSpaceDE w:val="0"/>
              <w:autoSpaceDN w:val="0"/>
              <w:jc w:val="center"/>
              <w:rPr>
                <w:rFonts w:ascii="宋体" w:hAnsi="宋体" w:cs="宋体"/>
                <w:sz w:val="24"/>
                <w:highlight w:val="none"/>
                <w:lang w:val="zh-CN" w:bidi="zh-CN"/>
              </w:rPr>
            </w:pPr>
          </w:p>
        </w:tc>
        <w:tc>
          <w:tcPr>
            <w:tcW w:w="1724" w:type="dxa"/>
            <w:vAlign w:val="center"/>
          </w:tcPr>
          <w:p w14:paraId="57917740">
            <w:pPr>
              <w:autoSpaceDE w:val="0"/>
              <w:autoSpaceDN w:val="0"/>
              <w:jc w:val="center"/>
              <w:rPr>
                <w:rFonts w:ascii="宋体" w:hAnsi="宋体" w:cs="宋体"/>
                <w:sz w:val="24"/>
                <w:highlight w:val="none"/>
                <w:lang w:val="zh-CN" w:bidi="zh-CN"/>
              </w:rPr>
            </w:pPr>
          </w:p>
        </w:tc>
        <w:tc>
          <w:tcPr>
            <w:tcW w:w="838" w:type="dxa"/>
            <w:vAlign w:val="center"/>
          </w:tcPr>
          <w:p w14:paraId="5E8763EE">
            <w:pPr>
              <w:autoSpaceDE w:val="0"/>
              <w:autoSpaceDN w:val="0"/>
              <w:jc w:val="center"/>
              <w:rPr>
                <w:rFonts w:ascii="宋体" w:hAnsi="宋体" w:cs="宋体"/>
                <w:sz w:val="24"/>
                <w:highlight w:val="none"/>
                <w:lang w:val="zh-CN" w:bidi="zh-CN"/>
              </w:rPr>
            </w:pPr>
          </w:p>
        </w:tc>
      </w:tr>
      <w:tr w14:paraId="3895C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723" w:type="dxa"/>
            <w:vAlign w:val="center"/>
          </w:tcPr>
          <w:p w14:paraId="37BED3AD">
            <w:pPr>
              <w:autoSpaceDE w:val="0"/>
              <w:autoSpaceDN w:val="0"/>
              <w:ind w:left="8"/>
              <w:jc w:val="center"/>
              <w:rPr>
                <w:rFonts w:ascii="宋体" w:hAnsi="宋体" w:cs="宋体"/>
                <w:sz w:val="24"/>
                <w:highlight w:val="none"/>
                <w:lang w:val="zh-CN" w:bidi="zh-CN"/>
              </w:rPr>
            </w:pPr>
            <w:r>
              <w:rPr>
                <w:rFonts w:hint="eastAsia" w:ascii="宋体" w:hAnsi="宋体" w:cs="宋体"/>
                <w:sz w:val="24"/>
                <w:highlight w:val="none"/>
                <w:lang w:val="zh-CN" w:bidi="zh-CN"/>
              </w:rPr>
              <w:t>2</w:t>
            </w:r>
          </w:p>
        </w:tc>
        <w:tc>
          <w:tcPr>
            <w:tcW w:w="2108" w:type="dxa"/>
            <w:vAlign w:val="center"/>
          </w:tcPr>
          <w:p w14:paraId="3AE4BF72">
            <w:pPr>
              <w:autoSpaceDE w:val="0"/>
              <w:autoSpaceDN w:val="0"/>
              <w:jc w:val="center"/>
              <w:rPr>
                <w:rFonts w:ascii="宋体" w:hAnsi="宋体" w:cs="宋体"/>
                <w:sz w:val="24"/>
                <w:highlight w:val="none"/>
                <w:lang w:val="zh-CN" w:bidi="zh-CN"/>
              </w:rPr>
            </w:pPr>
          </w:p>
        </w:tc>
        <w:tc>
          <w:tcPr>
            <w:tcW w:w="1080" w:type="dxa"/>
            <w:vAlign w:val="center"/>
          </w:tcPr>
          <w:p w14:paraId="0F24E8F2">
            <w:pPr>
              <w:autoSpaceDE w:val="0"/>
              <w:autoSpaceDN w:val="0"/>
              <w:jc w:val="center"/>
              <w:rPr>
                <w:rFonts w:ascii="宋体" w:hAnsi="宋体" w:cs="宋体"/>
                <w:sz w:val="24"/>
                <w:highlight w:val="none"/>
                <w:lang w:val="zh-CN" w:bidi="zh-CN"/>
              </w:rPr>
            </w:pPr>
          </w:p>
        </w:tc>
        <w:tc>
          <w:tcPr>
            <w:tcW w:w="1172" w:type="dxa"/>
            <w:vAlign w:val="center"/>
          </w:tcPr>
          <w:p w14:paraId="427B0281">
            <w:pPr>
              <w:autoSpaceDE w:val="0"/>
              <w:autoSpaceDN w:val="0"/>
              <w:jc w:val="center"/>
              <w:rPr>
                <w:rFonts w:ascii="宋体" w:hAnsi="宋体" w:cs="宋体"/>
                <w:sz w:val="24"/>
                <w:highlight w:val="none"/>
                <w:lang w:val="zh-CN" w:bidi="zh-CN"/>
              </w:rPr>
            </w:pPr>
          </w:p>
        </w:tc>
        <w:tc>
          <w:tcPr>
            <w:tcW w:w="1771" w:type="dxa"/>
            <w:vAlign w:val="center"/>
          </w:tcPr>
          <w:p w14:paraId="7F2003CC">
            <w:pPr>
              <w:autoSpaceDE w:val="0"/>
              <w:autoSpaceDN w:val="0"/>
              <w:jc w:val="center"/>
              <w:rPr>
                <w:rFonts w:ascii="宋体" w:hAnsi="宋体" w:cs="宋体"/>
                <w:sz w:val="24"/>
                <w:highlight w:val="none"/>
                <w:lang w:val="zh-CN" w:bidi="zh-CN"/>
              </w:rPr>
            </w:pPr>
          </w:p>
        </w:tc>
        <w:tc>
          <w:tcPr>
            <w:tcW w:w="1724" w:type="dxa"/>
            <w:vAlign w:val="center"/>
          </w:tcPr>
          <w:p w14:paraId="18A7864D">
            <w:pPr>
              <w:autoSpaceDE w:val="0"/>
              <w:autoSpaceDN w:val="0"/>
              <w:jc w:val="center"/>
              <w:rPr>
                <w:rFonts w:ascii="宋体" w:hAnsi="宋体" w:cs="宋体"/>
                <w:sz w:val="24"/>
                <w:highlight w:val="none"/>
                <w:lang w:val="zh-CN" w:bidi="zh-CN"/>
              </w:rPr>
            </w:pPr>
          </w:p>
        </w:tc>
        <w:tc>
          <w:tcPr>
            <w:tcW w:w="838" w:type="dxa"/>
            <w:vAlign w:val="center"/>
          </w:tcPr>
          <w:p w14:paraId="5EBEFE63">
            <w:pPr>
              <w:autoSpaceDE w:val="0"/>
              <w:autoSpaceDN w:val="0"/>
              <w:jc w:val="center"/>
              <w:rPr>
                <w:rFonts w:ascii="宋体" w:hAnsi="宋体" w:cs="宋体"/>
                <w:sz w:val="24"/>
                <w:highlight w:val="none"/>
                <w:lang w:val="zh-CN" w:bidi="zh-CN"/>
              </w:rPr>
            </w:pPr>
          </w:p>
        </w:tc>
      </w:tr>
      <w:tr w14:paraId="1C47F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723" w:type="dxa"/>
            <w:vAlign w:val="center"/>
          </w:tcPr>
          <w:p w14:paraId="0A689EDA">
            <w:pPr>
              <w:autoSpaceDE w:val="0"/>
              <w:autoSpaceDN w:val="0"/>
              <w:ind w:left="8"/>
              <w:jc w:val="center"/>
              <w:rPr>
                <w:rFonts w:ascii="宋体" w:hAnsi="宋体" w:cs="宋体"/>
                <w:sz w:val="24"/>
                <w:highlight w:val="none"/>
                <w:lang w:val="zh-CN" w:bidi="zh-CN"/>
              </w:rPr>
            </w:pPr>
            <w:r>
              <w:rPr>
                <w:rFonts w:hint="eastAsia" w:ascii="宋体" w:hAnsi="宋体" w:cs="宋体"/>
                <w:sz w:val="24"/>
                <w:highlight w:val="none"/>
                <w:lang w:val="zh-CN" w:bidi="zh-CN"/>
              </w:rPr>
              <w:t>3</w:t>
            </w:r>
          </w:p>
        </w:tc>
        <w:tc>
          <w:tcPr>
            <w:tcW w:w="2108" w:type="dxa"/>
            <w:vAlign w:val="center"/>
          </w:tcPr>
          <w:p w14:paraId="7437C431">
            <w:pPr>
              <w:autoSpaceDE w:val="0"/>
              <w:autoSpaceDN w:val="0"/>
              <w:jc w:val="center"/>
              <w:rPr>
                <w:rFonts w:ascii="宋体" w:hAnsi="宋体" w:cs="宋体"/>
                <w:sz w:val="24"/>
                <w:highlight w:val="none"/>
                <w:lang w:val="zh-CN" w:bidi="zh-CN"/>
              </w:rPr>
            </w:pPr>
          </w:p>
        </w:tc>
        <w:tc>
          <w:tcPr>
            <w:tcW w:w="1080" w:type="dxa"/>
            <w:vAlign w:val="center"/>
          </w:tcPr>
          <w:p w14:paraId="78DCD55A">
            <w:pPr>
              <w:autoSpaceDE w:val="0"/>
              <w:autoSpaceDN w:val="0"/>
              <w:jc w:val="center"/>
              <w:rPr>
                <w:rFonts w:ascii="宋体" w:hAnsi="宋体" w:cs="宋体"/>
                <w:sz w:val="24"/>
                <w:highlight w:val="none"/>
                <w:lang w:val="zh-CN" w:bidi="zh-CN"/>
              </w:rPr>
            </w:pPr>
          </w:p>
        </w:tc>
        <w:tc>
          <w:tcPr>
            <w:tcW w:w="1172" w:type="dxa"/>
            <w:vAlign w:val="center"/>
          </w:tcPr>
          <w:p w14:paraId="0C4A4B7F">
            <w:pPr>
              <w:autoSpaceDE w:val="0"/>
              <w:autoSpaceDN w:val="0"/>
              <w:jc w:val="center"/>
              <w:rPr>
                <w:rFonts w:ascii="宋体" w:hAnsi="宋体" w:cs="宋体"/>
                <w:sz w:val="24"/>
                <w:highlight w:val="none"/>
                <w:lang w:val="zh-CN" w:bidi="zh-CN"/>
              </w:rPr>
            </w:pPr>
          </w:p>
        </w:tc>
        <w:tc>
          <w:tcPr>
            <w:tcW w:w="1771" w:type="dxa"/>
            <w:vAlign w:val="center"/>
          </w:tcPr>
          <w:p w14:paraId="68AE9AFC">
            <w:pPr>
              <w:autoSpaceDE w:val="0"/>
              <w:autoSpaceDN w:val="0"/>
              <w:jc w:val="center"/>
              <w:rPr>
                <w:rFonts w:ascii="宋体" w:hAnsi="宋体" w:cs="宋体"/>
                <w:sz w:val="24"/>
                <w:highlight w:val="none"/>
                <w:lang w:val="zh-CN" w:bidi="zh-CN"/>
              </w:rPr>
            </w:pPr>
          </w:p>
        </w:tc>
        <w:tc>
          <w:tcPr>
            <w:tcW w:w="1724" w:type="dxa"/>
            <w:vAlign w:val="center"/>
          </w:tcPr>
          <w:p w14:paraId="1DE79591">
            <w:pPr>
              <w:autoSpaceDE w:val="0"/>
              <w:autoSpaceDN w:val="0"/>
              <w:jc w:val="center"/>
              <w:rPr>
                <w:rFonts w:ascii="宋体" w:hAnsi="宋体" w:cs="宋体"/>
                <w:sz w:val="24"/>
                <w:highlight w:val="none"/>
                <w:lang w:val="zh-CN" w:bidi="zh-CN"/>
              </w:rPr>
            </w:pPr>
          </w:p>
        </w:tc>
        <w:tc>
          <w:tcPr>
            <w:tcW w:w="838" w:type="dxa"/>
            <w:vAlign w:val="center"/>
          </w:tcPr>
          <w:p w14:paraId="7E68429F">
            <w:pPr>
              <w:autoSpaceDE w:val="0"/>
              <w:autoSpaceDN w:val="0"/>
              <w:jc w:val="center"/>
              <w:rPr>
                <w:rFonts w:ascii="宋体" w:hAnsi="宋体" w:cs="宋体"/>
                <w:sz w:val="24"/>
                <w:highlight w:val="none"/>
                <w:lang w:val="zh-CN" w:bidi="zh-CN"/>
              </w:rPr>
            </w:pPr>
          </w:p>
        </w:tc>
      </w:tr>
      <w:tr w14:paraId="41537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723" w:type="dxa"/>
            <w:vAlign w:val="center"/>
          </w:tcPr>
          <w:p w14:paraId="0C90C07E">
            <w:pPr>
              <w:autoSpaceDE w:val="0"/>
              <w:autoSpaceDN w:val="0"/>
              <w:ind w:left="8"/>
              <w:jc w:val="center"/>
              <w:rPr>
                <w:rFonts w:ascii="宋体" w:hAnsi="宋体" w:cs="宋体"/>
                <w:sz w:val="24"/>
                <w:highlight w:val="none"/>
                <w:lang w:val="zh-CN" w:bidi="zh-CN"/>
              </w:rPr>
            </w:pPr>
            <w:r>
              <w:rPr>
                <w:rFonts w:hint="eastAsia" w:ascii="宋体" w:hAnsi="宋体" w:cs="宋体"/>
                <w:sz w:val="24"/>
                <w:highlight w:val="none"/>
                <w:lang w:val="zh-CN" w:bidi="zh-CN"/>
              </w:rPr>
              <w:t>4</w:t>
            </w:r>
          </w:p>
        </w:tc>
        <w:tc>
          <w:tcPr>
            <w:tcW w:w="2108" w:type="dxa"/>
            <w:vAlign w:val="center"/>
          </w:tcPr>
          <w:p w14:paraId="720F9B6B">
            <w:pPr>
              <w:autoSpaceDE w:val="0"/>
              <w:autoSpaceDN w:val="0"/>
              <w:jc w:val="center"/>
              <w:rPr>
                <w:rFonts w:ascii="宋体" w:hAnsi="宋体" w:cs="宋体"/>
                <w:sz w:val="24"/>
                <w:highlight w:val="none"/>
                <w:lang w:val="zh-CN" w:bidi="zh-CN"/>
              </w:rPr>
            </w:pPr>
          </w:p>
        </w:tc>
        <w:tc>
          <w:tcPr>
            <w:tcW w:w="1080" w:type="dxa"/>
            <w:vAlign w:val="center"/>
          </w:tcPr>
          <w:p w14:paraId="7F38BD67">
            <w:pPr>
              <w:autoSpaceDE w:val="0"/>
              <w:autoSpaceDN w:val="0"/>
              <w:jc w:val="center"/>
              <w:rPr>
                <w:rFonts w:ascii="宋体" w:hAnsi="宋体" w:cs="宋体"/>
                <w:sz w:val="24"/>
                <w:highlight w:val="none"/>
                <w:lang w:val="zh-CN" w:bidi="zh-CN"/>
              </w:rPr>
            </w:pPr>
          </w:p>
        </w:tc>
        <w:tc>
          <w:tcPr>
            <w:tcW w:w="1172" w:type="dxa"/>
            <w:vAlign w:val="center"/>
          </w:tcPr>
          <w:p w14:paraId="671BA077">
            <w:pPr>
              <w:autoSpaceDE w:val="0"/>
              <w:autoSpaceDN w:val="0"/>
              <w:jc w:val="center"/>
              <w:rPr>
                <w:rFonts w:ascii="宋体" w:hAnsi="宋体" w:cs="宋体"/>
                <w:sz w:val="24"/>
                <w:highlight w:val="none"/>
                <w:lang w:val="zh-CN" w:bidi="zh-CN"/>
              </w:rPr>
            </w:pPr>
          </w:p>
        </w:tc>
        <w:tc>
          <w:tcPr>
            <w:tcW w:w="1771" w:type="dxa"/>
            <w:vAlign w:val="center"/>
          </w:tcPr>
          <w:p w14:paraId="53E12A55">
            <w:pPr>
              <w:autoSpaceDE w:val="0"/>
              <w:autoSpaceDN w:val="0"/>
              <w:jc w:val="center"/>
              <w:rPr>
                <w:rFonts w:ascii="宋体" w:hAnsi="宋体" w:cs="宋体"/>
                <w:sz w:val="24"/>
                <w:highlight w:val="none"/>
                <w:lang w:val="zh-CN" w:bidi="zh-CN"/>
              </w:rPr>
            </w:pPr>
          </w:p>
        </w:tc>
        <w:tc>
          <w:tcPr>
            <w:tcW w:w="1724" w:type="dxa"/>
            <w:vAlign w:val="center"/>
          </w:tcPr>
          <w:p w14:paraId="720B3B73">
            <w:pPr>
              <w:autoSpaceDE w:val="0"/>
              <w:autoSpaceDN w:val="0"/>
              <w:jc w:val="center"/>
              <w:rPr>
                <w:rFonts w:ascii="宋体" w:hAnsi="宋体" w:cs="宋体"/>
                <w:sz w:val="24"/>
                <w:highlight w:val="none"/>
                <w:lang w:val="zh-CN" w:bidi="zh-CN"/>
              </w:rPr>
            </w:pPr>
          </w:p>
        </w:tc>
        <w:tc>
          <w:tcPr>
            <w:tcW w:w="838" w:type="dxa"/>
            <w:vAlign w:val="center"/>
          </w:tcPr>
          <w:p w14:paraId="5DBDFC9D">
            <w:pPr>
              <w:autoSpaceDE w:val="0"/>
              <w:autoSpaceDN w:val="0"/>
              <w:jc w:val="center"/>
              <w:rPr>
                <w:rFonts w:ascii="宋体" w:hAnsi="宋体" w:cs="宋体"/>
                <w:sz w:val="24"/>
                <w:highlight w:val="none"/>
                <w:lang w:val="zh-CN" w:bidi="zh-CN"/>
              </w:rPr>
            </w:pPr>
          </w:p>
        </w:tc>
      </w:tr>
      <w:tr w14:paraId="2E28F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723" w:type="dxa"/>
            <w:vAlign w:val="center"/>
          </w:tcPr>
          <w:p w14:paraId="3B227204">
            <w:pPr>
              <w:autoSpaceDE w:val="0"/>
              <w:autoSpaceDN w:val="0"/>
              <w:jc w:val="center"/>
              <w:rPr>
                <w:rFonts w:ascii="宋体" w:hAnsi="宋体" w:cs="宋体"/>
                <w:sz w:val="24"/>
                <w:highlight w:val="none"/>
                <w:lang w:bidi="zh-CN"/>
              </w:rPr>
            </w:pPr>
            <w:r>
              <w:rPr>
                <w:rFonts w:hint="eastAsia" w:ascii="宋体" w:hAnsi="宋体" w:cs="宋体"/>
                <w:sz w:val="24"/>
                <w:highlight w:val="none"/>
                <w:lang w:bidi="zh-CN"/>
              </w:rPr>
              <w:t>...</w:t>
            </w:r>
          </w:p>
        </w:tc>
        <w:tc>
          <w:tcPr>
            <w:tcW w:w="2108" w:type="dxa"/>
            <w:vAlign w:val="center"/>
          </w:tcPr>
          <w:p w14:paraId="630D8DE3">
            <w:pPr>
              <w:autoSpaceDE w:val="0"/>
              <w:autoSpaceDN w:val="0"/>
              <w:jc w:val="center"/>
              <w:rPr>
                <w:rFonts w:ascii="宋体" w:hAnsi="宋体" w:cs="宋体"/>
                <w:sz w:val="24"/>
                <w:highlight w:val="none"/>
                <w:lang w:val="zh-CN" w:bidi="zh-CN"/>
              </w:rPr>
            </w:pPr>
          </w:p>
        </w:tc>
        <w:tc>
          <w:tcPr>
            <w:tcW w:w="1080" w:type="dxa"/>
            <w:vAlign w:val="center"/>
          </w:tcPr>
          <w:p w14:paraId="1501425C">
            <w:pPr>
              <w:autoSpaceDE w:val="0"/>
              <w:autoSpaceDN w:val="0"/>
              <w:jc w:val="center"/>
              <w:rPr>
                <w:rFonts w:ascii="宋体" w:hAnsi="宋体" w:cs="宋体"/>
                <w:sz w:val="24"/>
                <w:highlight w:val="none"/>
                <w:lang w:val="zh-CN" w:bidi="zh-CN"/>
              </w:rPr>
            </w:pPr>
          </w:p>
        </w:tc>
        <w:tc>
          <w:tcPr>
            <w:tcW w:w="1172" w:type="dxa"/>
            <w:vAlign w:val="center"/>
          </w:tcPr>
          <w:p w14:paraId="1E85FFB0">
            <w:pPr>
              <w:autoSpaceDE w:val="0"/>
              <w:autoSpaceDN w:val="0"/>
              <w:jc w:val="center"/>
              <w:rPr>
                <w:rFonts w:ascii="宋体" w:hAnsi="宋体" w:cs="宋体"/>
                <w:sz w:val="24"/>
                <w:highlight w:val="none"/>
                <w:lang w:val="zh-CN" w:bidi="zh-CN"/>
              </w:rPr>
            </w:pPr>
          </w:p>
        </w:tc>
        <w:tc>
          <w:tcPr>
            <w:tcW w:w="1771" w:type="dxa"/>
            <w:tcBorders>
              <w:right w:val="single" w:color="auto" w:sz="4" w:space="0"/>
            </w:tcBorders>
            <w:vAlign w:val="center"/>
          </w:tcPr>
          <w:p w14:paraId="2A2EFD54">
            <w:pPr>
              <w:autoSpaceDE w:val="0"/>
              <w:autoSpaceDN w:val="0"/>
              <w:jc w:val="center"/>
              <w:rPr>
                <w:rFonts w:ascii="宋体" w:hAnsi="宋体" w:cs="宋体"/>
                <w:sz w:val="24"/>
                <w:highlight w:val="none"/>
                <w:lang w:val="zh-CN" w:bidi="zh-CN"/>
              </w:rPr>
            </w:pPr>
          </w:p>
        </w:tc>
        <w:tc>
          <w:tcPr>
            <w:tcW w:w="1724" w:type="dxa"/>
            <w:tcBorders>
              <w:left w:val="single" w:color="auto" w:sz="4" w:space="0"/>
              <w:right w:val="single" w:color="auto" w:sz="4" w:space="0"/>
            </w:tcBorders>
            <w:vAlign w:val="center"/>
          </w:tcPr>
          <w:p w14:paraId="3383AD36">
            <w:pPr>
              <w:autoSpaceDE w:val="0"/>
              <w:autoSpaceDN w:val="0"/>
              <w:jc w:val="center"/>
              <w:rPr>
                <w:rFonts w:ascii="宋体" w:hAnsi="宋体" w:cs="宋体"/>
                <w:sz w:val="24"/>
                <w:highlight w:val="none"/>
                <w:lang w:val="zh-CN" w:bidi="zh-CN"/>
              </w:rPr>
            </w:pPr>
          </w:p>
        </w:tc>
        <w:tc>
          <w:tcPr>
            <w:tcW w:w="838" w:type="dxa"/>
            <w:tcBorders>
              <w:left w:val="single" w:color="auto" w:sz="4" w:space="0"/>
            </w:tcBorders>
            <w:vAlign w:val="center"/>
          </w:tcPr>
          <w:p w14:paraId="63A4AEB6">
            <w:pPr>
              <w:autoSpaceDE w:val="0"/>
              <w:autoSpaceDN w:val="0"/>
              <w:jc w:val="center"/>
              <w:rPr>
                <w:rFonts w:ascii="宋体" w:hAnsi="宋体" w:cs="宋体"/>
                <w:sz w:val="24"/>
                <w:highlight w:val="none"/>
                <w:lang w:val="zh-CN" w:bidi="zh-CN"/>
              </w:rPr>
            </w:pPr>
          </w:p>
        </w:tc>
      </w:tr>
      <w:tr w14:paraId="46745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6854" w:type="dxa"/>
            <w:gridSpan w:val="5"/>
            <w:tcBorders>
              <w:right w:val="single" w:color="auto" w:sz="4" w:space="0"/>
            </w:tcBorders>
            <w:vAlign w:val="center"/>
          </w:tcPr>
          <w:p w14:paraId="67E6DAE7">
            <w:pPr>
              <w:autoSpaceDE w:val="0"/>
              <w:autoSpaceDN w:val="0"/>
              <w:jc w:val="center"/>
              <w:rPr>
                <w:rFonts w:ascii="宋体" w:hAnsi="宋体" w:cs="宋体"/>
                <w:sz w:val="24"/>
                <w:highlight w:val="none"/>
                <w:lang w:bidi="zh-CN"/>
              </w:rPr>
            </w:pPr>
            <w:r>
              <w:rPr>
                <w:rFonts w:hint="eastAsia" w:ascii="宋体" w:hAnsi="宋体" w:cs="宋体"/>
                <w:sz w:val="24"/>
                <w:highlight w:val="none"/>
                <w:lang w:bidi="zh-CN"/>
              </w:rPr>
              <w:t>合计（元）</w:t>
            </w:r>
          </w:p>
        </w:tc>
        <w:tc>
          <w:tcPr>
            <w:tcW w:w="1724" w:type="dxa"/>
            <w:tcBorders>
              <w:left w:val="single" w:color="auto" w:sz="4" w:space="0"/>
              <w:right w:val="single" w:color="auto" w:sz="4" w:space="0"/>
            </w:tcBorders>
            <w:vAlign w:val="center"/>
          </w:tcPr>
          <w:p w14:paraId="5E76B352">
            <w:pPr>
              <w:autoSpaceDE w:val="0"/>
              <w:autoSpaceDN w:val="0"/>
              <w:jc w:val="center"/>
              <w:rPr>
                <w:rFonts w:ascii="宋体" w:hAnsi="宋体" w:cs="宋体"/>
                <w:sz w:val="24"/>
                <w:highlight w:val="none"/>
                <w:lang w:val="zh-CN" w:bidi="zh-CN"/>
              </w:rPr>
            </w:pPr>
          </w:p>
        </w:tc>
        <w:tc>
          <w:tcPr>
            <w:tcW w:w="838" w:type="dxa"/>
            <w:tcBorders>
              <w:left w:val="single" w:color="auto" w:sz="4" w:space="0"/>
            </w:tcBorders>
            <w:vAlign w:val="center"/>
          </w:tcPr>
          <w:p w14:paraId="45FB9854">
            <w:pPr>
              <w:autoSpaceDE w:val="0"/>
              <w:autoSpaceDN w:val="0"/>
              <w:jc w:val="center"/>
              <w:rPr>
                <w:rFonts w:ascii="宋体" w:hAnsi="宋体" w:cs="宋体"/>
                <w:sz w:val="24"/>
                <w:highlight w:val="none"/>
                <w:lang w:val="zh-CN" w:bidi="zh-CN"/>
              </w:rPr>
            </w:pPr>
          </w:p>
        </w:tc>
      </w:tr>
    </w:tbl>
    <w:p w14:paraId="4B14E9AA">
      <w:pPr>
        <w:snapToGrid w:val="0"/>
        <w:spacing w:line="360" w:lineRule="auto"/>
        <w:ind w:left="843" w:hanging="843" w:hangingChars="350"/>
        <w:jc w:val="right"/>
        <w:rPr>
          <w:rFonts w:ascii="宋体" w:hAnsi="宋体" w:cs="宋体"/>
          <w:b/>
          <w:sz w:val="24"/>
          <w:highlight w:val="none"/>
        </w:rPr>
      </w:pPr>
    </w:p>
    <w:p w14:paraId="7691A97E">
      <w:pPr>
        <w:adjustRightInd w:val="0"/>
        <w:snapToGrid w:val="0"/>
        <w:spacing w:line="360" w:lineRule="auto"/>
        <w:jc w:val="center"/>
        <w:rPr>
          <w:rStyle w:val="300"/>
          <w:rFonts w:ascii="宋体" w:hAnsi="宋体" w:cs="宋体"/>
          <w:sz w:val="24"/>
          <w:highlight w:val="none"/>
        </w:rPr>
      </w:pPr>
      <w:r>
        <w:rPr>
          <w:rStyle w:val="300"/>
          <w:rFonts w:hint="eastAsia" w:ascii="宋体" w:hAnsi="宋体" w:cs="宋体"/>
          <w:sz w:val="24"/>
          <w:highlight w:val="none"/>
        </w:rPr>
        <w:t xml:space="preserve">                                投标人：</w:t>
      </w:r>
      <w:r>
        <w:rPr>
          <w:rFonts w:hint="eastAsia" w:ascii="宋体" w:hAnsi="宋体" w:cs="宋体"/>
          <w:sz w:val="24"/>
          <w:highlight w:val="none"/>
        </w:rPr>
        <w:t>（盖章）</w:t>
      </w:r>
    </w:p>
    <w:p w14:paraId="15EE2762">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 xml:space="preserve">                                 日期：  年  月  日</w:t>
      </w:r>
    </w:p>
    <w:p w14:paraId="24B40C08">
      <w:pPr>
        <w:rPr>
          <w:rFonts w:ascii="宋体" w:hAnsi="宋体" w:cs="宋体"/>
          <w:sz w:val="24"/>
          <w:highlight w:val="none"/>
        </w:rPr>
      </w:pPr>
      <w:r>
        <w:rPr>
          <w:rFonts w:hint="eastAsia" w:ascii="宋体" w:hAnsi="宋体" w:cs="宋体"/>
          <w:sz w:val="24"/>
          <w:highlight w:val="none"/>
        </w:rPr>
        <w:br w:type="page"/>
      </w:r>
    </w:p>
    <w:p w14:paraId="55720701">
      <w:pPr>
        <w:adjustRightInd w:val="0"/>
        <w:snapToGrid w:val="0"/>
        <w:spacing w:line="360" w:lineRule="auto"/>
        <w:jc w:val="center"/>
        <w:rPr>
          <w:rFonts w:ascii="宋体" w:hAnsi="宋体" w:cs="宋体"/>
          <w:b/>
          <w:color w:val="000000"/>
          <w:sz w:val="30"/>
          <w:szCs w:val="30"/>
          <w:highlight w:val="none"/>
        </w:rPr>
      </w:pPr>
      <w:r>
        <w:rPr>
          <w:rFonts w:hint="eastAsia" w:ascii="宋体" w:hAnsi="宋体" w:cs="宋体"/>
          <w:b/>
          <w:color w:val="000000"/>
          <w:sz w:val="30"/>
          <w:szCs w:val="30"/>
          <w:highlight w:val="none"/>
        </w:rPr>
        <w:t>中小企业声明函（工程、服务）</w:t>
      </w:r>
    </w:p>
    <w:p w14:paraId="1335723A">
      <w:pPr>
        <w:adjustRightInd w:val="0"/>
        <w:snapToGrid w:val="0"/>
        <w:spacing w:line="360" w:lineRule="auto"/>
        <w:ind w:firstLine="720" w:firstLineChars="300"/>
        <w:rPr>
          <w:rFonts w:ascii="宋体" w:hAnsi="宋体" w:cs="宋体"/>
          <w:sz w:val="24"/>
          <w:highlight w:val="none"/>
        </w:rPr>
      </w:pPr>
      <w:r>
        <w:rPr>
          <w:rFonts w:hint="eastAsia" w:ascii="宋体" w:hAnsi="宋体" w:cs="宋体"/>
          <w:sz w:val="24"/>
          <w:highlight w:val="none"/>
        </w:rPr>
        <w:t>本公司（联合体）郑重声明，根据《政府采购促进中小企业发展管理办法》（财库﹝2020﹞46 号）的规定，本公司 （联合体）参加</w:t>
      </w:r>
      <w:r>
        <w:rPr>
          <w:rFonts w:hint="eastAsia" w:ascii="宋体" w:hAnsi="宋体" w:cs="宋体"/>
          <w:sz w:val="24"/>
          <w:highlight w:val="none"/>
          <w:u w:val="single"/>
        </w:rPr>
        <w:t>（单位名称）</w:t>
      </w:r>
      <w:r>
        <w:rPr>
          <w:rFonts w:hint="eastAsia" w:ascii="宋体" w:hAnsi="宋体" w:cs="宋体"/>
          <w:sz w:val="24"/>
          <w:highlight w:val="none"/>
        </w:rPr>
        <w:t>的</w:t>
      </w:r>
      <w:r>
        <w:rPr>
          <w:rFonts w:hint="eastAsia" w:ascii="宋体" w:hAnsi="宋体" w:cs="宋体"/>
          <w:sz w:val="24"/>
          <w:highlight w:val="none"/>
          <w:u w:val="single"/>
        </w:rPr>
        <w:t>（项目名称）</w:t>
      </w:r>
      <w:r>
        <w:rPr>
          <w:rFonts w:hint="eastAsia" w:ascii="宋体" w:hAnsi="宋体" w:cs="宋体"/>
          <w:sz w:val="24"/>
          <w:highlight w:val="none"/>
        </w:rPr>
        <w:t>采购活动，工程的施工单位全部为符合政策要求的中小企业（或者：服务部由符合政策要求的中小企业承接）。相关企业（含联合体中的中小企业、签订分包意向协议的中小企业）的具体情 况如下：</w:t>
      </w:r>
    </w:p>
    <w:p w14:paraId="55CFA60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1. </w:t>
      </w:r>
      <w:r>
        <w:rPr>
          <w:rFonts w:hint="eastAsia" w:ascii="宋体" w:hAnsi="宋体" w:cs="宋体"/>
          <w:sz w:val="24"/>
          <w:highlight w:val="none"/>
          <w:u w:val="single"/>
        </w:rPr>
        <w:t xml:space="preserve">（标的名称） </w:t>
      </w:r>
      <w:r>
        <w:rPr>
          <w:rFonts w:hint="eastAsia" w:ascii="宋体" w:hAnsi="宋体" w:cs="宋体"/>
          <w:sz w:val="24"/>
          <w:highlight w:val="none"/>
        </w:rPr>
        <w:t>，属于</w:t>
      </w:r>
      <w:r>
        <w:rPr>
          <w:rFonts w:hint="eastAsia" w:ascii="宋体" w:hAnsi="宋体" w:cs="宋体"/>
          <w:sz w:val="24"/>
          <w:highlight w:val="none"/>
          <w:u w:val="single"/>
        </w:rPr>
        <w:t>（招标文件中明确的所属行业）</w:t>
      </w:r>
      <w:r>
        <w:rPr>
          <w:rFonts w:hint="eastAsia" w:ascii="宋体" w:hAnsi="宋体" w:cs="宋体"/>
          <w:sz w:val="24"/>
          <w:highlight w:val="none"/>
        </w:rPr>
        <w:t>； 承建（承接）企业为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 xml:space="preserve">； </w:t>
      </w:r>
    </w:p>
    <w:p w14:paraId="675B620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2. </w:t>
      </w:r>
      <w:r>
        <w:rPr>
          <w:rFonts w:hint="eastAsia" w:ascii="宋体" w:hAnsi="宋体" w:cs="宋体"/>
          <w:sz w:val="24"/>
          <w:highlight w:val="none"/>
          <w:u w:val="single"/>
        </w:rPr>
        <w:t xml:space="preserve">（标的名称） </w:t>
      </w:r>
      <w:r>
        <w:rPr>
          <w:rFonts w:hint="eastAsia" w:ascii="宋体" w:hAnsi="宋体" w:cs="宋体"/>
          <w:sz w:val="24"/>
          <w:highlight w:val="none"/>
        </w:rPr>
        <w:t>，属于</w:t>
      </w:r>
      <w:r>
        <w:rPr>
          <w:rFonts w:hint="eastAsia" w:ascii="宋体" w:hAnsi="宋体" w:cs="宋体"/>
          <w:sz w:val="24"/>
          <w:highlight w:val="none"/>
          <w:u w:val="single"/>
        </w:rPr>
        <w:t>（招标文件中明确的所属行业）</w:t>
      </w:r>
      <w:r>
        <w:rPr>
          <w:rFonts w:hint="eastAsia" w:ascii="宋体" w:hAnsi="宋体" w:cs="宋体"/>
          <w:sz w:val="24"/>
          <w:highlight w:val="none"/>
        </w:rPr>
        <w:t>； 承建（承接）企业为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548DDD4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w:t>
      </w:r>
    </w:p>
    <w:p w14:paraId="001DA3C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w:t>
      </w:r>
    </w:p>
    <w:p w14:paraId="43286EE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本企业对上述声明内容的真实性负责。如有虚假，将依法承担相应责任。 </w:t>
      </w:r>
    </w:p>
    <w:p w14:paraId="4DBD4B88">
      <w:pPr>
        <w:adjustRightInd w:val="0"/>
        <w:snapToGrid w:val="0"/>
        <w:spacing w:line="360" w:lineRule="auto"/>
        <w:ind w:firstLine="480" w:firstLineChars="200"/>
        <w:rPr>
          <w:rFonts w:ascii="宋体" w:hAnsi="宋体" w:cs="宋体"/>
          <w:sz w:val="24"/>
          <w:highlight w:val="none"/>
        </w:rPr>
      </w:pPr>
    </w:p>
    <w:p w14:paraId="393E4E1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企业名称（盖章）： </w:t>
      </w:r>
    </w:p>
    <w:p w14:paraId="1A728472">
      <w:pPr>
        <w:adjustRightInd w:val="0"/>
        <w:snapToGrid w:val="0"/>
        <w:spacing w:line="360" w:lineRule="auto"/>
        <w:ind w:firstLine="480" w:firstLineChars="200"/>
        <w:rPr>
          <w:rFonts w:ascii="宋体" w:hAnsi="宋体" w:cs="宋体"/>
          <w:sz w:val="24"/>
          <w:highlight w:val="none"/>
        </w:rPr>
      </w:pPr>
    </w:p>
    <w:p w14:paraId="6249632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日 期： </w:t>
      </w:r>
    </w:p>
    <w:p w14:paraId="4468AE7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 从业人员、营业收入、资产总额填报上一年度数据，无上一年度数据的新成立企业可不填报。</w:t>
      </w:r>
    </w:p>
    <w:p w14:paraId="430AD2EC">
      <w:pPr>
        <w:spacing w:line="560" w:lineRule="exact"/>
        <w:rPr>
          <w:rFonts w:ascii="宋体" w:hAnsi="宋体" w:cs="宋体"/>
          <w:b/>
          <w:bCs/>
          <w:sz w:val="32"/>
          <w:szCs w:val="32"/>
          <w:highlight w:val="none"/>
        </w:rPr>
      </w:pPr>
    </w:p>
    <w:p w14:paraId="019B6BCB">
      <w:pPr>
        <w:widowControl/>
        <w:adjustRightInd w:val="0"/>
        <w:snapToGrid w:val="0"/>
        <w:spacing w:line="400" w:lineRule="exact"/>
        <w:ind w:left="141" w:leftChars="67"/>
        <w:rPr>
          <w:rFonts w:ascii="宋体" w:hAnsi="宋体" w:cs="宋体"/>
          <w:szCs w:val="21"/>
          <w:highlight w:val="none"/>
        </w:rPr>
      </w:pPr>
    </w:p>
    <w:p w14:paraId="39D71176">
      <w:pPr>
        <w:widowControl/>
        <w:jc w:val="center"/>
        <w:rPr>
          <w:rFonts w:ascii="宋体" w:hAnsi="宋体" w:cs="宋体"/>
          <w:b/>
          <w:color w:val="000000"/>
          <w:sz w:val="30"/>
          <w:szCs w:val="30"/>
          <w:highlight w:val="none"/>
        </w:rPr>
      </w:pPr>
      <w:r>
        <w:rPr>
          <w:rFonts w:hint="eastAsia" w:ascii="宋体" w:hAnsi="宋体" w:cs="宋体"/>
          <w:b/>
          <w:color w:val="000000"/>
          <w:szCs w:val="21"/>
          <w:highlight w:val="none"/>
        </w:rPr>
        <w:br w:type="page"/>
      </w:r>
      <w:r>
        <w:rPr>
          <w:rFonts w:hint="eastAsia" w:ascii="宋体" w:hAnsi="宋体" w:cs="宋体"/>
          <w:b/>
          <w:color w:val="000000"/>
          <w:sz w:val="30"/>
          <w:szCs w:val="30"/>
          <w:highlight w:val="none"/>
        </w:rPr>
        <w:t>残疾人福利性单位声明函</w:t>
      </w:r>
    </w:p>
    <w:p w14:paraId="78DC02C3">
      <w:pPr>
        <w:spacing w:line="400" w:lineRule="exact"/>
        <w:rPr>
          <w:rFonts w:ascii="宋体" w:hAnsi="宋体" w:cs="宋体"/>
          <w:b/>
          <w:spacing w:val="6"/>
          <w:szCs w:val="21"/>
          <w:highlight w:val="none"/>
        </w:rPr>
      </w:pPr>
    </w:p>
    <w:p w14:paraId="3C39D1C2">
      <w:pPr>
        <w:widowControl/>
        <w:adjustRightInd w:val="0"/>
        <w:snapToGrid w:val="0"/>
        <w:spacing w:line="360" w:lineRule="auto"/>
        <w:ind w:left="142" w:firstLine="480" w:firstLineChars="200"/>
        <w:rPr>
          <w:rFonts w:ascii="宋体" w:hAnsi="宋体" w:cs="宋体"/>
          <w:sz w:val="24"/>
          <w:highlight w:val="none"/>
        </w:rPr>
      </w:pPr>
      <w:r>
        <w:rPr>
          <w:rFonts w:hint="eastAsia" w:ascii="宋体" w:hAnsi="宋体" w:cs="宋体"/>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2FDC8A9">
      <w:pPr>
        <w:widowControl/>
        <w:adjustRightInd w:val="0"/>
        <w:snapToGrid w:val="0"/>
        <w:spacing w:line="360" w:lineRule="auto"/>
        <w:ind w:left="142" w:firstLine="480" w:firstLineChars="200"/>
        <w:rPr>
          <w:rFonts w:ascii="宋体" w:hAnsi="宋体" w:cs="宋体"/>
          <w:sz w:val="24"/>
          <w:highlight w:val="none"/>
        </w:rPr>
      </w:pPr>
      <w:r>
        <w:rPr>
          <w:rFonts w:hint="eastAsia" w:ascii="宋体" w:hAnsi="宋体" w:cs="宋体"/>
          <w:sz w:val="24"/>
          <w:highlight w:val="none"/>
        </w:rPr>
        <w:t>本单位对上述声明的真实性负责。如有虚假，将依法承担相应责任。</w:t>
      </w:r>
    </w:p>
    <w:p w14:paraId="4D5F78AC">
      <w:pPr>
        <w:widowControl/>
        <w:adjustRightInd w:val="0"/>
        <w:snapToGrid w:val="0"/>
        <w:spacing w:line="360" w:lineRule="auto"/>
        <w:ind w:left="142" w:firstLine="480" w:firstLineChars="200"/>
        <w:rPr>
          <w:rFonts w:ascii="宋体" w:hAnsi="宋体" w:cs="宋体"/>
          <w:sz w:val="24"/>
          <w:highlight w:val="none"/>
        </w:rPr>
      </w:pPr>
    </w:p>
    <w:p w14:paraId="2B9ED574">
      <w:pPr>
        <w:adjustRightInd w:val="0"/>
        <w:snapToGrid w:val="0"/>
        <w:spacing w:line="360" w:lineRule="auto"/>
        <w:ind w:firstLine="480" w:firstLineChars="200"/>
        <w:jc w:val="center"/>
        <w:rPr>
          <w:rFonts w:ascii="宋体" w:hAnsi="宋体" w:cs="宋体"/>
          <w:sz w:val="24"/>
          <w:highlight w:val="none"/>
        </w:rPr>
      </w:pPr>
      <w:r>
        <w:rPr>
          <w:rFonts w:hint="eastAsia" w:ascii="宋体" w:hAnsi="宋体" w:cs="宋体"/>
          <w:sz w:val="24"/>
          <w:highlight w:val="none"/>
        </w:rPr>
        <w:t xml:space="preserve">                   潜在</w:t>
      </w:r>
      <w:r>
        <w:rPr>
          <w:rFonts w:hint="eastAsia" w:ascii="宋体" w:hAnsi="宋体" w:cs="宋体"/>
          <w:color w:val="000000"/>
          <w:sz w:val="24"/>
          <w:highlight w:val="none"/>
        </w:rPr>
        <w:t>投标人</w:t>
      </w:r>
      <w:r>
        <w:rPr>
          <w:rFonts w:hint="eastAsia" w:ascii="宋体" w:hAnsi="宋体" w:cs="宋体"/>
          <w:sz w:val="24"/>
          <w:highlight w:val="none"/>
        </w:rPr>
        <w:t>公章：</w:t>
      </w:r>
    </w:p>
    <w:p w14:paraId="78CE1DAB">
      <w:pPr>
        <w:adjustRightInd w:val="0"/>
        <w:snapToGrid w:val="0"/>
        <w:spacing w:line="360" w:lineRule="auto"/>
        <w:ind w:firstLine="480" w:firstLineChars="200"/>
        <w:jc w:val="center"/>
        <w:rPr>
          <w:rFonts w:ascii="宋体" w:hAnsi="宋体" w:cs="宋体"/>
          <w:sz w:val="24"/>
          <w:highlight w:val="none"/>
        </w:rPr>
      </w:pPr>
      <w:r>
        <w:rPr>
          <w:rFonts w:hint="eastAsia" w:ascii="宋体" w:hAnsi="宋体" w:cs="宋体"/>
          <w:sz w:val="24"/>
          <w:highlight w:val="none"/>
        </w:rPr>
        <w:t xml:space="preserve">                        日期：</w:t>
      </w:r>
    </w:p>
    <w:p w14:paraId="14D4BCC8">
      <w:pPr>
        <w:adjustRightInd w:val="0"/>
        <w:snapToGrid w:val="0"/>
        <w:spacing w:line="360" w:lineRule="auto"/>
        <w:ind w:firstLine="482" w:firstLineChars="200"/>
        <w:rPr>
          <w:rFonts w:ascii="宋体" w:hAnsi="宋体" w:cs="宋体"/>
          <w:b/>
          <w:sz w:val="24"/>
          <w:highlight w:val="none"/>
        </w:rPr>
      </w:pPr>
    </w:p>
    <w:p w14:paraId="499E01A1">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享受政府采购支持政策的残疾人福利性单位应当同时满足以下条件：</w:t>
      </w:r>
    </w:p>
    <w:p w14:paraId="3E41012A">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（一）安置的残疾人占本单位在职职工人数的比例不低于25%（含25%），并且安置的残疾人人数不少于10人（含10人）；</w:t>
      </w:r>
    </w:p>
    <w:p w14:paraId="4D412017">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（二）依法与安置的每位残疾人签订了一年以上（含一年）的劳动合同或服务协议；</w:t>
      </w:r>
    </w:p>
    <w:p w14:paraId="6224DBA3">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（三）为安置的每位残疾人按月足额缴纳了基本养老保险、基本医疗保险、失业保险、工伤保险和生育保险等社会保险费；</w:t>
      </w:r>
    </w:p>
    <w:p w14:paraId="5507364B">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（四）通过银行等金融机构向安置的每位残疾人，按月支付了不低于单位所在区县适用的经省级人民政府批准的月最低工资标准的工资；</w:t>
      </w:r>
    </w:p>
    <w:p w14:paraId="54D9662B">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（五）提供本单位制造的货物、承担的工程或者服务（以下简称产品），或者提供其他残疾人福利性单位制造的货物（不包括使用非残疾人福利性单位注册商标的货物）。</w:t>
      </w:r>
    </w:p>
    <w:p w14:paraId="642478F3">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3376C44">
      <w:pPr>
        <w:widowControl/>
        <w:shd w:val="clear" w:color="auto" w:fill="FFFFFF"/>
        <w:spacing w:line="400" w:lineRule="exact"/>
        <w:ind w:firstLine="480"/>
        <w:jc w:val="left"/>
        <w:textAlignment w:val="baseline"/>
        <w:rPr>
          <w:rFonts w:ascii="宋体" w:hAnsi="宋体" w:cs="宋体"/>
          <w:sz w:val="24"/>
          <w:highlight w:val="none"/>
        </w:rPr>
      </w:pPr>
    </w:p>
    <w:p w14:paraId="03135AC1">
      <w:pPr>
        <w:widowControl/>
        <w:adjustRightInd w:val="0"/>
        <w:snapToGrid w:val="0"/>
        <w:spacing w:line="360" w:lineRule="auto"/>
        <w:ind w:firstLine="482" w:firstLineChars="200"/>
        <w:jc w:val="center"/>
        <w:rPr>
          <w:rFonts w:ascii="宋体" w:hAnsi="宋体" w:cs="宋体"/>
          <w:b/>
          <w:color w:val="000000"/>
          <w:sz w:val="30"/>
          <w:szCs w:val="30"/>
          <w:highlight w:val="none"/>
        </w:rPr>
      </w:pPr>
      <w:r>
        <w:rPr>
          <w:rFonts w:hint="eastAsia" w:ascii="宋体" w:hAnsi="宋体" w:cs="宋体"/>
          <w:b/>
          <w:color w:val="000000"/>
          <w:sz w:val="24"/>
          <w:highlight w:val="none"/>
        </w:rPr>
        <w:br w:type="page"/>
      </w:r>
      <w:r>
        <w:rPr>
          <w:rFonts w:hint="eastAsia" w:ascii="宋体" w:hAnsi="宋体" w:cs="宋体"/>
          <w:b/>
          <w:color w:val="000000"/>
          <w:sz w:val="30"/>
          <w:szCs w:val="30"/>
          <w:highlight w:val="none"/>
        </w:rPr>
        <w:t>监狱企业证明函</w:t>
      </w:r>
    </w:p>
    <w:p w14:paraId="481E8ABD">
      <w:pPr>
        <w:widowControl/>
        <w:adjustRightInd w:val="0"/>
        <w:snapToGrid w:val="0"/>
        <w:spacing w:line="360" w:lineRule="auto"/>
        <w:ind w:firstLine="482" w:firstLineChars="200"/>
        <w:jc w:val="center"/>
        <w:rPr>
          <w:rFonts w:ascii="宋体" w:hAnsi="宋体" w:cs="宋体"/>
          <w:b/>
          <w:color w:val="000000"/>
          <w:sz w:val="24"/>
          <w:highlight w:val="none"/>
        </w:rPr>
      </w:pPr>
    </w:p>
    <w:p w14:paraId="72AF6C1C">
      <w:pPr>
        <w:widowControl/>
        <w:adjustRightInd w:val="0"/>
        <w:snapToGrid w:val="0"/>
        <w:spacing w:line="360" w:lineRule="auto"/>
        <w:ind w:firstLine="480" w:firstLineChars="200"/>
        <w:jc w:val="left"/>
        <w:outlineLvl w:val="2"/>
        <w:rPr>
          <w:rFonts w:ascii="宋体" w:hAnsi="宋体" w:cs="宋体"/>
          <w:sz w:val="24"/>
          <w:highlight w:val="none"/>
        </w:rPr>
      </w:pPr>
      <w:r>
        <w:rPr>
          <w:rFonts w:hint="eastAsia" w:ascii="宋体" w:hAnsi="宋体" w:cs="宋体"/>
          <w:sz w:val="24"/>
          <w:highlight w:val="none"/>
        </w:rPr>
        <w:t>根据《财政部 司法部关于政府采购支持监狱企业发展有关问题的通知》（财库[2014]68号）的规定，</w:t>
      </w:r>
      <w:r>
        <w:rPr>
          <w:rFonts w:hint="eastAsia" w:ascii="宋体" w:hAnsi="宋体" w:cs="宋体"/>
          <w:sz w:val="24"/>
          <w:highlight w:val="none"/>
          <w:u w:val="single"/>
        </w:rPr>
        <w:t xml:space="preserve">          </w:t>
      </w:r>
      <w:r>
        <w:rPr>
          <w:rFonts w:hint="eastAsia" w:ascii="宋体" w:hAnsi="宋体" w:cs="宋体"/>
          <w:sz w:val="24"/>
          <w:highlight w:val="none"/>
        </w:rPr>
        <w:t>（填写</w:t>
      </w:r>
      <w:r>
        <w:rPr>
          <w:rFonts w:hint="eastAsia" w:ascii="宋体" w:hAnsi="宋体" w:cs="宋体"/>
          <w:color w:val="000000"/>
          <w:sz w:val="24"/>
          <w:highlight w:val="none"/>
        </w:rPr>
        <w:t>投标人</w:t>
      </w:r>
      <w:r>
        <w:rPr>
          <w:rFonts w:hint="eastAsia" w:ascii="宋体" w:hAnsi="宋体" w:cs="宋体"/>
          <w:sz w:val="24"/>
          <w:highlight w:val="none"/>
        </w:rPr>
        <w:t>法定全称）为监狱企业。</w:t>
      </w:r>
    </w:p>
    <w:p w14:paraId="73ED3913">
      <w:pPr>
        <w:widowControl/>
        <w:adjustRightInd w:val="0"/>
        <w:snapToGrid w:val="0"/>
        <w:spacing w:line="360" w:lineRule="auto"/>
        <w:ind w:firstLine="480" w:firstLineChars="200"/>
        <w:jc w:val="left"/>
        <w:outlineLvl w:val="2"/>
        <w:rPr>
          <w:rFonts w:ascii="宋体" w:hAnsi="宋体" w:cs="宋体"/>
          <w:sz w:val="24"/>
          <w:highlight w:val="none"/>
        </w:rPr>
      </w:pPr>
      <w:r>
        <w:rPr>
          <w:rFonts w:hint="eastAsia" w:ascii="宋体" w:hAnsi="宋体" w:cs="宋体"/>
          <w:sz w:val="24"/>
          <w:highlight w:val="none"/>
        </w:rPr>
        <w:t>特此声明。</w:t>
      </w:r>
    </w:p>
    <w:p w14:paraId="70904479">
      <w:pPr>
        <w:adjustRightInd w:val="0"/>
        <w:snapToGrid w:val="0"/>
        <w:spacing w:line="360" w:lineRule="auto"/>
        <w:ind w:firstLine="480" w:firstLineChars="200"/>
        <w:rPr>
          <w:rFonts w:ascii="宋体" w:hAnsi="宋体" w:cs="宋体"/>
          <w:sz w:val="24"/>
          <w:highlight w:val="none"/>
        </w:rPr>
      </w:pPr>
    </w:p>
    <w:p w14:paraId="1801E57D">
      <w:pPr>
        <w:widowControl/>
        <w:adjustRightInd w:val="0"/>
        <w:snapToGrid w:val="0"/>
        <w:spacing w:line="360" w:lineRule="auto"/>
        <w:ind w:firstLine="480" w:firstLineChars="200"/>
        <w:jc w:val="left"/>
        <w:outlineLvl w:val="2"/>
        <w:rPr>
          <w:rFonts w:ascii="宋体" w:hAnsi="宋体" w:cs="宋体"/>
          <w:sz w:val="24"/>
          <w:highlight w:val="none"/>
        </w:rPr>
      </w:pPr>
      <w:r>
        <w:rPr>
          <w:rFonts w:hint="eastAsia" w:ascii="宋体" w:hAnsi="宋体" w:cs="宋体"/>
          <w:sz w:val="24"/>
          <w:highlight w:val="none"/>
        </w:rPr>
        <w:t>省级以上监狱管理局、戒毒管理局（含新疆生产建设兵团）（盖章）：</w:t>
      </w:r>
    </w:p>
    <w:p w14:paraId="6BB16F22">
      <w:pPr>
        <w:keepNext/>
        <w:keepLines/>
        <w:overflowPunct w:val="0"/>
        <w:adjustRightInd w:val="0"/>
        <w:snapToGrid w:val="0"/>
        <w:spacing w:line="360" w:lineRule="auto"/>
        <w:ind w:firstLine="480" w:firstLineChars="200"/>
        <w:jc w:val="center"/>
        <w:textAlignment w:val="baseline"/>
        <w:outlineLvl w:val="1"/>
        <w:rPr>
          <w:rFonts w:ascii="宋体" w:hAnsi="宋体" w:cs="宋体"/>
          <w:bCs/>
          <w:sz w:val="24"/>
          <w:highlight w:val="none"/>
        </w:rPr>
      </w:pPr>
      <w:r>
        <w:rPr>
          <w:rFonts w:hint="eastAsia" w:ascii="宋体" w:hAnsi="宋体" w:cs="宋体"/>
          <w:bCs/>
          <w:sz w:val="24"/>
          <w:highlight w:val="none"/>
        </w:rPr>
        <w:t>日期：</w:t>
      </w:r>
    </w:p>
    <w:p w14:paraId="0B77182A">
      <w:pPr>
        <w:adjustRightInd w:val="0"/>
        <w:snapToGrid w:val="0"/>
        <w:spacing w:line="360" w:lineRule="auto"/>
        <w:ind w:firstLine="482" w:firstLineChars="200"/>
        <w:jc w:val="center"/>
        <w:rPr>
          <w:rFonts w:ascii="宋体" w:hAnsi="宋体" w:cs="宋体"/>
          <w:b/>
          <w:bCs/>
          <w:sz w:val="24"/>
          <w:highlight w:val="none"/>
        </w:rPr>
      </w:pPr>
    </w:p>
    <w:p w14:paraId="41317A20">
      <w:pPr>
        <w:adjustRightInd w:val="0"/>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br w:type="page"/>
      </w:r>
    </w:p>
    <w:p w14:paraId="15403454">
      <w:pPr>
        <w:pStyle w:val="17"/>
        <w:spacing w:line="360" w:lineRule="auto"/>
        <w:ind w:right="415"/>
        <w:jc w:val="center"/>
        <w:rPr>
          <w:rFonts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质疑函范本</w:t>
      </w:r>
    </w:p>
    <w:p w14:paraId="368E6EFA">
      <w:pPr>
        <w:adjustRightInd w:val="0"/>
        <w:snapToGrid w:val="0"/>
        <w:spacing w:line="360" w:lineRule="auto"/>
        <w:rPr>
          <w:rFonts w:ascii="宋体" w:hAnsi="宋体" w:cs="宋体"/>
          <w:bCs/>
          <w:sz w:val="24"/>
          <w:highlight w:val="none"/>
        </w:rPr>
      </w:pPr>
      <w:r>
        <w:rPr>
          <w:rFonts w:hint="eastAsia" w:ascii="宋体" w:hAnsi="宋体" w:cs="宋体"/>
          <w:bCs/>
          <w:sz w:val="24"/>
          <w:highlight w:val="none"/>
        </w:rPr>
        <w:t>一、质疑供应商基本信息</w:t>
      </w:r>
    </w:p>
    <w:p w14:paraId="408B2F2D">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质疑供应商：</w:t>
      </w:r>
      <w:r>
        <w:rPr>
          <w:rFonts w:hint="eastAsia" w:ascii="宋体" w:hAnsi="宋体" w:cs="宋体"/>
          <w:sz w:val="24"/>
          <w:highlight w:val="none"/>
          <w:u w:val="dotted"/>
        </w:rPr>
        <w:t xml:space="preserve">                                                              </w:t>
      </w:r>
    </w:p>
    <w:p w14:paraId="7DFF5F22">
      <w:pPr>
        <w:adjustRightInd w:val="0"/>
        <w:snapToGrid w:val="0"/>
        <w:spacing w:line="360" w:lineRule="auto"/>
        <w:rPr>
          <w:rFonts w:ascii="宋体" w:hAnsi="宋体" w:cs="宋体"/>
          <w:sz w:val="24"/>
          <w:highlight w:val="none"/>
        </w:rPr>
      </w:pPr>
      <w:r>
        <w:rPr>
          <w:rFonts w:hint="eastAsia" w:ascii="宋体" w:hAnsi="宋体" w:cs="宋体"/>
          <w:sz w:val="24"/>
          <w:highlight w:val="none"/>
        </w:rPr>
        <w:t>地址：                        邮编：</w:t>
      </w:r>
      <w:r>
        <w:rPr>
          <w:rFonts w:hint="eastAsia" w:ascii="宋体" w:hAnsi="宋体" w:cs="宋体"/>
          <w:sz w:val="24"/>
          <w:highlight w:val="none"/>
          <w:u w:val="dotted"/>
        </w:rPr>
        <w:t xml:space="preserve">                                    </w:t>
      </w:r>
    </w:p>
    <w:p w14:paraId="4FB4F2DE">
      <w:pPr>
        <w:adjustRightInd w:val="0"/>
        <w:snapToGrid w:val="0"/>
        <w:spacing w:line="360" w:lineRule="auto"/>
        <w:rPr>
          <w:rFonts w:ascii="宋体" w:hAnsi="宋体" w:cs="宋体"/>
          <w:sz w:val="24"/>
          <w:highlight w:val="none"/>
        </w:rPr>
      </w:pPr>
      <w:r>
        <w:rPr>
          <w:rFonts w:hint="eastAsia" w:ascii="宋体" w:hAnsi="宋体" w:cs="宋体"/>
          <w:sz w:val="24"/>
          <w:highlight w:val="none"/>
        </w:rPr>
        <w:t>联系人：                      联系电话：</w:t>
      </w:r>
      <w:r>
        <w:rPr>
          <w:rFonts w:hint="eastAsia" w:ascii="宋体" w:hAnsi="宋体" w:cs="宋体"/>
          <w:sz w:val="24"/>
          <w:highlight w:val="none"/>
          <w:u w:val="dotted"/>
        </w:rPr>
        <w:t xml:space="preserve">                                       </w:t>
      </w:r>
    </w:p>
    <w:p w14:paraId="5283D3B4">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p>
    <w:p w14:paraId="450FBE5D">
      <w:pPr>
        <w:adjustRightInd w:val="0"/>
        <w:snapToGrid w:val="0"/>
        <w:spacing w:line="360"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dotted"/>
        </w:rPr>
        <w:t xml:space="preserve">                                                                </w:t>
      </w:r>
    </w:p>
    <w:p w14:paraId="4153867E">
      <w:pPr>
        <w:adjustRightInd w:val="0"/>
        <w:snapToGrid w:val="0"/>
        <w:spacing w:line="360" w:lineRule="auto"/>
        <w:rPr>
          <w:rFonts w:ascii="宋体" w:hAnsi="宋体" w:cs="宋体"/>
          <w:sz w:val="24"/>
          <w:highlight w:val="none"/>
        </w:rPr>
      </w:pPr>
      <w:r>
        <w:rPr>
          <w:rFonts w:hint="eastAsia" w:ascii="宋体" w:hAnsi="宋体" w:cs="宋体"/>
          <w:sz w:val="24"/>
          <w:highlight w:val="none"/>
        </w:rPr>
        <w:t>地址：                        邮编：</w:t>
      </w:r>
      <w:r>
        <w:rPr>
          <w:rFonts w:hint="eastAsia" w:ascii="宋体" w:hAnsi="宋体" w:cs="宋体"/>
          <w:sz w:val="24"/>
          <w:highlight w:val="none"/>
          <w:u w:val="dotted"/>
        </w:rPr>
        <w:t xml:space="preserve">                                     </w:t>
      </w:r>
    </w:p>
    <w:p w14:paraId="480458EC">
      <w:pPr>
        <w:adjustRightInd w:val="0"/>
        <w:snapToGrid w:val="0"/>
        <w:spacing w:line="360" w:lineRule="auto"/>
        <w:rPr>
          <w:rFonts w:ascii="宋体" w:hAnsi="宋体" w:cs="宋体"/>
          <w:bCs/>
          <w:sz w:val="24"/>
          <w:highlight w:val="none"/>
        </w:rPr>
      </w:pPr>
      <w:r>
        <w:rPr>
          <w:rFonts w:hint="eastAsia" w:ascii="宋体" w:hAnsi="宋体" w:cs="宋体"/>
          <w:bCs/>
          <w:sz w:val="24"/>
          <w:highlight w:val="none"/>
        </w:rPr>
        <w:t>二、质疑项目基本情况</w:t>
      </w:r>
    </w:p>
    <w:p w14:paraId="2A9B6372">
      <w:pPr>
        <w:adjustRightInd w:val="0"/>
        <w:snapToGrid w:val="0"/>
        <w:spacing w:line="360" w:lineRule="auto"/>
        <w:rPr>
          <w:rFonts w:ascii="宋体" w:hAnsi="宋体" w:cs="宋体"/>
          <w:sz w:val="24"/>
          <w:highlight w:val="none"/>
        </w:rPr>
      </w:pPr>
      <w:r>
        <w:rPr>
          <w:rFonts w:hint="eastAsia" w:ascii="宋体" w:hAnsi="宋体" w:cs="宋体"/>
          <w:sz w:val="24"/>
          <w:highlight w:val="none"/>
        </w:rPr>
        <w:t>质疑项目的名称：</w:t>
      </w:r>
      <w:r>
        <w:rPr>
          <w:rFonts w:hint="eastAsia" w:ascii="宋体" w:hAnsi="宋体" w:cs="宋体"/>
          <w:sz w:val="24"/>
          <w:highlight w:val="none"/>
          <w:u w:val="dotted"/>
        </w:rPr>
        <w:t xml:space="preserve">                                                          </w:t>
      </w:r>
    </w:p>
    <w:p w14:paraId="1C175104">
      <w:pPr>
        <w:adjustRightInd w:val="0"/>
        <w:snapToGrid w:val="0"/>
        <w:spacing w:line="360" w:lineRule="auto"/>
        <w:rPr>
          <w:rFonts w:ascii="宋体" w:hAnsi="宋体" w:cs="宋体"/>
          <w:sz w:val="24"/>
          <w:highlight w:val="none"/>
        </w:rPr>
      </w:pPr>
      <w:r>
        <w:rPr>
          <w:rFonts w:hint="eastAsia" w:ascii="宋体" w:hAnsi="宋体" w:cs="宋体"/>
          <w:sz w:val="24"/>
          <w:highlight w:val="none"/>
        </w:rPr>
        <w:t>质疑项目的编号：              包号：</w:t>
      </w:r>
      <w:r>
        <w:rPr>
          <w:rFonts w:hint="eastAsia" w:ascii="宋体" w:hAnsi="宋体" w:cs="宋体"/>
          <w:sz w:val="24"/>
          <w:highlight w:val="none"/>
          <w:u w:val="dotted"/>
        </w:rPr>
        <w:t xml:space="preserve">                           </w:t>
      </w:r>
    </w:p>
    <w:p w14:paraId="32722A9B">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采购人名称：</w:t>
      </w:r>
      <w:r>
        <w:rPr>
          <w:rFonts w:hint="eastAsia" w:ascii="宋体" w:hAnsi="宋体" w:cs="宋体"/>
          <w:sz w:val="24"/>
          <w:highlight w:val="none"/>
          <w:u w:val="dotted"/>
        </w:rPr>
        <w:t xml:space="preserve">                                                              </w:t>
      </w:r>
    </w:p>
    <w:p w14:paraId="01EC945E">
      <w:pPr>
        <w:adjustRightInd w:val="0"/>
        <w:snapToGrid w:val="0"/>
        <w:spacing w:line="360" w:lineRule="auto"/>
        <w:rPr>
          <w:rFonts w:ascii="宋体" w:hAnsi="宋体" w:cs="宋体"/>
          <w:sz w:val="24"/>
          <w:highlight w:val="none"/>
        </w:rPr>
      </w:pPr>
      <w:r>
        <w:rPr>
          <w:rFonts w:hint="eastAsia" w:ascii="宋体" w:hAnsi="宋体" w:cs="宋体"/>
          <w:sz w:val="24"/>
          <w:highlight w:val="none"/>
        </w:rPr>
        <w:t>招标文件获取日期：</w:t>
      </w:r>
      <w:r>
        <w:rPr>
          <w:rFonts w:hint="eastAsia" w:ascii="宋体" w:hAnsi="宋体" w:cs="宋体"/>
          <w:sz w:val="24"/>
          <w:highlight w:val="none"/>
          <w:u w:val="dotted"/>
        </w:rPr>
        <w:t xml:space="preserve">                                                        </w:t>
      </w:r>
    </w:p>
    <w:p w14:paraId="4F78CB68">
      <w:pPr>
        <w:adjustRightInd w:val="0"/>
        <w:snapToGrid w:val="0"/>
        <w:spacing w:line="360" w:lineRule="auto"/>
        <w:rPr>
          <w:rFonts w:ascii="宋体" w:hAnsi="宋体" w:cs="宋体"/>
          <w:bCs/>
          <w:sz w:val="24"/>
          <w:highlight w:val="none"/>
        </w:rPr>
      </w:pPr>
      <w:r>
        <w:rPr>
          <w:rFonts w:hint="eastAsia" w:ascii="宋体" w:hAnsi="宋体" w:cs="宋体"/>
          <w:bCs/>
          <w:sz w:val="24"/>
          <w:highlight w:val="none"/>
        </w:rPr>
        <w:t>三、质疑事项具体内容</w:t>
      </w:r>
    </w:p>
    <w:p w14:paraId="1FF37484">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质疑事项1：</w:t>
      </w:r>
      <w:r>
        <w:rPr>
          <w:rFonts w:hint="eastAsia" w:ascii="宋体" w:hAnsi="宋体" w:cs="宋体"/>
          <w:sz w:val="24"/>
          <w:highlight w:val="none"/>
          <w:u w:val="dotted"/>
        </w:rPr>
        <w:t xml:space="preserve">                                                              </w:t>
      </w:r>
    </w:p>
    <w:p w14:paraId="762BF0FC">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14:paraId="0109492E">
      <w:pPr>
        <w:adjustRightInd w:val="0"/>
        <w:snapToGrid w:val="0"/>
        <w:spacing w:line="360" w:lineRule="auto"/>
        <w:rPr>
          <w:rFonts w:ascii="宋体" w:hAnsi="宋体" w:cs="宋体"/>
          <w:sz w:val="24"/>
          <w:highlight w:val="none"/>
        </w:rPr>
      </w:pPr>
      <w:r>
        <w:rPr>
          <w:rFonts w:hint="eastAsia" w:ascii="宋体" w:hAnsi="宋体" w:cs="宋体"/>
          <w:sz w:val="24"/>
          <w:highlight w:val="none"/>
          <w:u w:val="dotted"/>
        </w:rPr>
        <w:t xml:space="preserve">                                                                           </w:t>
      </w:r>
    </w:p>
    <w:p w14:paraId="25B03133">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14:paraId="1E63FA75">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14:paraId="24564DDA">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质疑事项2</w:t>
      </w:r>
    </w:p>
    <w:p w14:paraId="43347F21">
      <w:pPr>
        <w:adjustRightInd w:val="0"/>
        <w:snapToGrid w:val="0"/>
        <w:spacing w:line="360" w:lineRule="auto"/>
        <w:rPr>
          <w:rFonts w:ascii="宋体" w:hAnsi="宋体" w:cs="宋体"/>
          <w:sz w:val="24"/>
          <w:highlight w:val="none"/>
        </w:rPr>
      </w:pPr>
      <w:r>
        <w:rPr>
          <w:rFonts w:hint="eastAsia" w:ascii="宋体" w:hAnsi="宋体" w:cs="宋体"/>
          <w:sz w:val="24"/>
          <w:highlight w:val="none"/>
        </w:rPr>
        <w:t>……</w:t>
      </w:r>
    </w:p>
    <w:p w14:paraId="757074D2">
      <w:pPr>
        <w:adjustRightInd w:val="0"/>
        <w:snapToGrid w:val="0"/>
        <w:spacing w:line="360" w:lineRule="auto"/>
        <w:rPr>
          <w:rFonts w:ascii="宋体" w:hAnsi="宋体" w:cs="宋体"/>
          <w:bCs/>
          <w:sz w:val="24"/>
          <w:highlight w:val="none"/>
        </w:rPr>
      </w:pPr>
      <w:r>
        <w:rPr>
          <w:rFonts w:hint="eastAsia" w:ascii="宋体" w:hAnsi="宋体" w:cs="宋体"/>
          <w:bCs/>
          <w:sz w:val="24"/>
          <w:highlight w:val="none"/>
        </w:rPr>
        <w:t>四、与质疑事项相关的质疑请求</w:t>
      </w:r>
    </w:p>
    <w:p w14:paraId="451830A1">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请求：</w:t>
      </w:r>
      <w:r>
        <w:rPr>
          <w:rFonts w:hint="eastAsia" w:ascii="宋体" w:hAnsi="宋体" w:cs="宋体"/>
          <w:sz w:val="24"/>
          <w:highlight w:val="none"/>
          <w:u w:val="dotted"/>
        </w:rPr>
        <w:t xml:space="preserve">                                                                     </w:t>
      </w:r>
    </w:p>
    <w:p w14:paraId="19CC0DD4">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签字(签章)：                   公章：                      </w:t>
      </w:r>
    </w:p>
    <w:p w14:paraId="7BC006BE">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日期：    </w:t>
      </w:r>
    </w:p>
    <w:p w14:paraId="65C87A15">
      <w:pPr>
        <w:adjustRightInd w:val="0"/>
        <w:snapToGrid w:val="0"/>
        <w:spacing w:line="360" w:lineRule="auto"/>
        <w:rPr>
          <w:rFonts w:ascii="宋体" w:hAnsi="宋体" w:cs="宋体"/>
          <w:b/>
          <w:sz w:val="24"/>
          <w:highlight w:val="none"/>
        </w:rPr>
      </w:pPr>
      <w:r>
        <w:rPr>
          <w:rFonts w:hint="eastAsia" w:ascii="宋体" w:hAnsi="宋体" w:cs="宋体"/>
          <w:b/>
          <w:sz w:val="24"/>
          <w:highlight w:val="none"/>
        </w:rPr>
        <w:br w:type="page"/>
      </w:r>
      <w:r>
        <w:rPr>
          <w:rFonts w:hint="eastAsia" w:ascii="宋体" w:hAnsi="宋体" w:cs="宋体"/>
          <w:b/>
          <w:sz w:val="24"/>
          <w:highlight w:val="none"/>
        </w:rPr>
        <w:t>质疑函制作说明：</w:t>
      </w:r>
    </w:p>
    <w:p w14:paraId="785ACD3C">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1.供应商提出质疑时，应提交质疑函和必要的证明材料。</w:t>
      </w:r>
    </w:p>
    <w:p w14:paraId="299FDDCF">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B62B160">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3.质疑供应商若对项目的某一分包进行质疑，质疑函中应列明具体标段。</w:t>
      </w:r>
    </w:p>
    <w:p w14:paraId="09DE84A7">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4.质疑函的质疑事项应具体、明确，并有必要的事实依据和法律依据。</w:t>
      </w:r>
    </w:p>
    <w:p w14:paraId="7A989FEE">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5.质疑函的质疑请求应与质疑事项相关。</w:t>
      </w:r>
    </w:p>
    <w:p w14:paraId="2A367BD4">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6.质疑供应商为自然人的，质疑函应由本人签字；质疑供应商为法人或者其他组织的，质疑函应由法定代表人、主要负责人，或者其授权代表签字或者盖章，并加盖公章。</w:t>
      </w:r>
    </w:p>
    <w:p w14:paraId="4ABA4A02">
      <w:pPr>
        <w:widowControl/>
        <w:adjustRightInd w:val="0"/>
        <w:snapToGrid w:val="0"/>
        <w:spacing w:line="360" w:lineRule="auto"/>
        <w:ind w:firstLine="640"/>
        <w:jc w:val="left"/>
        <w:rPr>
          <w:rFonts w:ascii="宋体" w:hAnsi="宋体" w:cs="宋体"/>
          <w:szCs w:val="21"/>
          <w:highlight w:val="none"/>
        </w:rPr>
      </w:pPr>
    </w:p>
    <w:sectPr>
      <w:type w:val="continuous"/>
      <w:pgSz w:w="11906" w:h="16838"/>
      <w:pgMar w:top="1440" w:right="1797" w:bottom="1440" w:left="1797"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幼圆">
    <w:panose1 w:val="0201050906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ˎ̥">
    <w:altName w:val="DejaVu Math TeX Gyre"/>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Helvetica-Light">
    <w:altName w:val="DejaVu Math TeX Gyre"/>
    <w:panose1 w:val="00000000000000000000"/>
    <w:charset w:val="00"/>
    <w:family w:val="auto"/>
    <w:pitch w:val="default"/>
    <w:sig w:usb0="00000000" w:usb1="00000000" w:usb2="00000000" w:usb3="00000000" w:csb0="00000000"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创艺简仿宋">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FD95C">
    <w:pPr>
      <w:pStyle w:val="29"/>
      <w:jc w:val="center"/>
    </w:pPr>
    <w:r>
      <w:fldChar w:fldCharType="begin"/>
    </w:r>
    <w:r>
      <w:instrText xml:space="preserve">PAGE \* MERGEFORMAT</w:instrText>
    </w:r>
    <w:r>
      <w:fldChar w:fldCharType="separate"/>
    </w:r>
    <w:r>
      <w:t>1</w:t>
    </w:r>
    <w:r>
      <w:fldChar w:fldCharType="end"/>
    </w:r>
  </w:p>
  <w:p w14:paraId="41A4308B">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99F83">
    <w:pPr>
      <w:pStyle w:val="30"/>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pStyle w:val="284"/>
      <w:lvlText w:val=""/>
      <w:lvlJc w:val="left"/>
      <w:pPr>
        <w:tabs>
          <w:tab w:val="left" w:pos="480"/>
        </w:tabs>
        <w:ind w:left="480" w:hanging="480"/>
      </w:pPr>
      <w:rPr>
        <w:rFonts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1">
    <w:nsid w:val="520C7151"/>
    <w:multiLevelType w:val="singleLevel"/>
    <w:tmpl w:val="520C715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characterSpacingControl w:val="doNotCompress"/>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xNTFmN2NlZTk0MGQ1OTkxM2M1ZDNhNDkyN2Q1NDcifQ=="/>
  </w:docVars>
  <w:rsids>
    <w:rsidRoot w:val="00295813"/>
    <w:rsid w:val="00136682"/>
    <w:rsid w:val="0020275D"/>
    <w:rsid w:val="00295813"/>
    <w:rsid w:val="002E23A7"/>
    <w:rsid w:val="003735BA"/>
    <w:rsid w:val="00531862"/>
    <w:rsid w:val="00E7366B"/>
    <w:rsid w:val="00F04223"/>
    <w:rsid w:val="01065DB3"/>
    <w:rsid w:val="0173619F"/>
    <w:rsid w:val="035B751F"/>
    <w:rsid w:val="045B431A"/>
    <w:rsid w:val="04B05649"/>
    <w:rsid w:val="04C904B8"/>
    <w:rsid w:val="06777EA8"/>
    <w:rsid w:val="078828AD"/>
    <w:rsid w:val="08435F0C"/>
    <w:rsid w:val="093F7D8B"/>
    <w:rsid w:val="09C74FB8"/>
    <w:rsid w:val="0A8F22BC"/>
    <w:rsid w:val="0AA66A18"/>
    <w:rsid w:val="0AF01B7E"/>
    <w:rsid w:val="0B282299"/>
    <w:rsid w:val="0C130CE1"/>
    <w:rsid w:val="0D270472"/>
    <w:rsid w:val="0D8B0A01"/>
    <w:rsid w:val="0DA335E0"/>
    <w:rsid w:val="0E197DBB"/>
    <w:rsid w:val="0FB86539"/>
    <w:rsid w:val="10501A8E"/>
    <w:rsid w:val="106A0826"/>
    <w:rsid w:val="10A818CA"/>
    <w:rsid w:val="11D7201F"/>
    <w:rsid w:val="1241376B"/>
    <w:rsid w:val="12977AFE"/>
    <w:rsid w:val="12F40DF6"/>
    <w:rsid w:val="13457226"/>
    <w:rsid w:val="134D3BB6"/>
    <w:rsid w:val="13B54A2A"/>
    <w:rsid w:val="15977F8D"/>
    <w:rsid w:val="165878EE"/>
    <w:rsid w:val="16931028"/>
    <w:rsid w:val="16BA5EB3"/>
    <w:rsid w:val="16EB42BE"/>
    <w:rsid w:val="173F65BD"/>
    <w:rsid w:val="185F4F64"/>
    <w:rsid w:val="18DE232D"/>
    <w:rsid w:val="18DE55C9"/>
    <w:rsid w:val="197D680E"/>
    <w:rsid w:val="19C2405F"/>
    <w:rsid w:val="1A2C0935"/>
    <w:rsid w:val="1ACF03B6"/>
    <w:rsid w:val="1B016DFD"/>
    <w:rsid w:val="1B532B3E"/>
    <w:rsid w:val="1C3B6584"/>
    <w:rsid w:val="1C560D76"/>
    <w:rsid w:val="1F180A8E"/>
    <w:rsid w:val="1F6435E0"/>
    <w:rsid w:val="1FDA72B0"/>
    <w:rsid w:val="20A01302"/>
    <w:rsid w:val="217B17CC"/>
    <w:rsid w:val="23645B24"/>
    <w:rsid w:val="26753BA5"/>
    <w:rsid w:val="26AB75C6"/>
    <w:rsid w:val="26CE613C"/>
    <w:rsid w:val="27651E6B"/>
    <w:rsid w:val="27677991"/>
    <w:rsid w:val="27805907"/>
    <w:rsid w:val="27BF5A1F"/>
    <w:rsid w:val="280671AA"/>
    <w:rsid w:val="281309A6"/>
    <w:rsid w:val="28151638"/>
    <w:rsid w:val="2A0B0BE7"/>
    <w:rsid w:val="2ACD2201"/>
    <w:rsid w:val="2BEA2138"/>
    <w:rsid w:val="2D1C7470"/>
    <w:rsid w:val="2DEC7868"/>
    <w:rsid w:val="2E143CAB"/>
    <w:rsid w:val="2EB8253C"/>
    <w:rsid w:val="2ED578D6"/>
    <w:rsid w:val="2EE858F4"/>
    <w:rsid w:val="2F3542F6"/>
    <w:rsid w:val="309E7D31"/>
    <w:rsid w:val="30EB1246"/>
    <w:rsid w:val="31D96A4D"/>
    <w:rsid w:val="33166F26"/>
    <w:rsid w:val="343A71E6"/>
    <w:rsid w:val="34EA2EB6"/>
    <w:rsid w:val="35035331"/>
    <w:rsid w:val="35551771"/>
    <w:rsid w:val="37405B09"/>
    <w:rsid w:val="375A02D5"/>
    <w:rsid w:val="37957501"/>
    <w:rsid w:val="37C56B6C"/>
    <w:rsid w:val="38211DDE"/>
    <w:rsid w:val="38A945A5"/>
    <w:rsid w:val="38B44A00"/>
    <w:rsid w:val="38C7769E"/>
    <w:rsid w:val="39900D5E"/>
    <w:rsid w:val="39B90520"/>
    <w:rsid w:val="39C56140"/>
    <w:rsid w:val="39D30EB6"/>
    <w:rsid w:val="3A9F6F1C"/>
    <w:rsid w:val="3B3616FD"/>
    <w:rsid w:val="3C334F54"/>
    <w:rsid w:val="3C6F58C4"/>
    <w:rsid w:val="3C782375"/>
    <w:rsid w:val="3CCA284C"/>
    <w:rsid w:val="3CED228F"/>
    <w:rsid w:val="3CF85103"/>
    <w:rsid w:val="3DA81B6D"/>
    <w:rsid w:val="3EED47C8"/>
    <w:rsid w:val="3EEF22EE"/>
    <w:rsid w:val="3F1B30E3"/>
    <w:rsid w:val="40026051"/>
    <w:rsid w:val="40471E5C"/>
    <w:rsid w:val="4098328B"/>
    <w:rsid w:val="41287D39"/>
    <w:rsid w:val="41E579D9"/>
    <w:rsid w:val="42285ACD"/>
    <w:rsid w:val="42C35F6C"/>
    <w:rsid w:val="432804C5"/>
    <w:rsid w:val="433D71E5"/>
    <w:rsid w:val="445B14BB"/>
    <w:rsid w:val="45FD2076"/>
    <w:rsid w:val="46844F52"/>
    <w:rsid w:val="46C557BD"/>
    <w:rsid w:val="46ED3C55"/>
    <w:rsid w:val="47446E38"/>
    <w:rsid w:val="493059DD"/>
    <w:rsid w:val="49834DA9"/>
    <w:rsid w:val="49D267D5"/>
    <w:rsid w:val="49EE3C94"/>
    <w:rsid w:val="4A8F0E29"/>
    <w:rsid w:val="4B306168"/>
    <w:rsid w:val="4BF57306"/>
    <w:rsid w:val="4BF66718"/>
    <w:rsid w:val="4C60533D"/>
    <w:rsid w:val="4C861952"/>
    <w:rsid w:val="4DC64B62"/>
    <w:rsid w:val="4DE8029F"/>
    <w:rsid w:val="4DEA4CF4"/>
    <w:rsid w:val="4DED7C58"/>
    <w:rsid w:val="4DFD4BCD"/>
    <w:rsid w:val="4E5C1022"/>
    <w:rsid w:val="4E600B13"/>
    <w:rsid w:val="4E9F4991"/>
    <w:rsid w:val="4FB22660"/>
    <w:rsid w:val="4FFD668F"/>
    <w:rsid w:val="507C5317"/>
    <w:rsid w:val="52D018D4"/>
    <w:rsid w:val="533D44A5"/>
    <w:rsid w:val="540D3E2D"/>
    <w:rsid w:val="54173089"/>
    <w:rsid w:val="54BB0346"/>
    <w:rsid w:val="54F138EC"/>
    <w:rsid w:val="550975A9"/>
    <w:rsid w:val="550F33CA"/>
    <w:rsid w:val="5613290E"/>
    <w:rsid w:val="570C5A35"/>
    <w:rsid w:val="5827444F"/>
    <w:rsid w:val="589D2963"/>
    <w:rsid w:val="597638E0"/>
    <w:rsid w:val="5A236E98"/>
    <w:rsid w:val="5A581576"/>
    <w:rsid w:val="5AA24261"/>
    <w:rsid w:val="5B694D7F"/>
    <w:rsid w:val="5C2018E1"/>
    <w:rsid w:val="5DA271A0"/>
    <w:rsid w:val="5EAE0745"/>
    <w:rsid w:val="5FF2209D"/>
    <w:rsid w:val="5FFA1A80"/>
    <w:rsid w:val="607E0110"/>
    <w:rsid w:val="613227E3"/>
    <w:rsid w:val="616A3BC2"/>
    <w:rsid w:val="61866C5A"/>
    <w:rsid w:val="61CE196F"/>
    <w:rsid w:val="63AC1FBF"/>
    <w:rsid w:val="63B429E0"/>
    <w:rsid w:val="650A312E"/>
    <w:rsid w:val="653D52B2"/>
    <w:rsid w:val="65E31721"/>
    <w:rsid w:val="66065ECE"/>
    <w:rsid w:val="667C7355"/>
    <w:rsid w:val="66EF082E"/>
    <w:rsid w:val="670B7BC2"/>
    <w:rsid w:val="67C44A12"/>
    <w:rsid w:val="67EB7697"/>
    <w:rsid w:val="68525518"/>
    <w:rsid w:val="688558EE"/>
    <w:rsid w:val="68BF6CD1"/>
    <w:rsid w:val="68DD74D8"/>
    <w:rsid w:val="6933182A"/>
    <w:rsid w:val="6B55414D"/>
    <w:rsid w:val="6B9424AE"/>
    <w:rsid w:val="6BBC16AA"/>
    <w:rsid w:val="6C0E79A8"/>
    <w:rsid w:val="6C477A6C"/>
    <w:rsid w:val="6C5D623A"/>
    <w:rsid w:val="6C8E7995"/>
    <w:rsid w:val="6C8F6099"/>
    <w:rsid w:val="6CF05300"/>
    <w:rsid w:val="6F584FAD"/>
    <w:rsid w:val="6F861AE4"/>
    <w:rsid w:val="6F8E4B6A"/>
    <w:rsid w:val="713C4679"/>
    <w:rsid w:val="71AB0B00"/>
    <w:rsid w:val="722501F6"/>
    <w:rsid w:val="723D4B43"/>
    <w:rsid w:val="724539F8"/>
    <w:rsid w:val="73F531FC"/>
    <w:rsid w:val="744C3764"/>
    <w:rsid w:val="75970A0E"/>
    <w:rsid w:val="77672662"/>
    <w:rsid w:val="79200D1B"/>
    <w:rsid w:val="79AB77D5"/>
    <w:rsid w:val="79B03D0E"/>
    <w:rsid w:val="79E81839"/>
    <w:rsid w:val="7BF1074D"/>
    <w:rsid w:val="7CFD71E7"/>
    <w:rsid w:val="7D884742"/>
    <w:rsid w:val="7DA27FCE"/>
    <w:rsid w:val="7DBA2989"/>
    <w:rsid w:val="7DDE778B"/>
    <w:rsid w:val="7E3160A4"/>
    <w:rsid w:val="7E355268"/>
    <w:rsid w:val="7F20035F"/>
    <w:rsid w:val="7F860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213"/>
    <w:qFormat/>
    <w:uiPriority w:val="0"/>
    <w:pPr>
      <w:keepNext/>
      <w:keepLines/>
      <w:spacing w:before="340" w:after="330" w:line="578" w:lineRule="auto"/>
      <w:outlineLvl w:val="0"/>
    </w:pPr>
    <w:rPr>
      <w:b/>
      <w:bCs/>
      <w:sz w:val="44"/>
      <w:szCs w:val="44"/>
    </w:rPr>
  </w:style>
  <w:style w:type="paragraph" w:styleId="3">
    <w:name w:val="heading 2"/>
    <w:basedOn w:val="1"/>
    <w:next w:val="1"/>
    <w:link w:val="21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15"/>
    <w:qFormat/>
    <w:uiPriority w:val="0"/>
    <w:pPr>
      <w:keepNext/>
      <w:keepLines/>
      <w:spacing w:before="260" w:after="260" w:line="416" w:lineRule="auto"/>
      <w:outlineLvl w:val="2"/>
    </w:pPr>
    <w:rPr>
      <w:b/>
      <w:bCs/>
      <w:sz w:val="32"/>
      <w:szCs w:val="32"/>
    </w:rPr>
  </w:style>
  <w:style w:type="paragraph" w:styleId="5">
    <w:name w:val="heading 4"/>
    <w:basedOn w:val="1"/>
    <w:next w:val="1"/>
    <w:link w:val="216"/>
    <w:qFormat/>
    <w:uiPriority w:val="0"/>
    <w:pPr>
      <w:keepNext/>
      <w:jc w:val="center"/>
      <w:outlineLvl w:val="3"/>
    </w:pPr>
    <w:rPr>
      <w:rFonts w:eastAsia="新宋体"/>
      <w:sz w:val="30"/>
      <w:szCs w:val="21"/>
    </w:rPr>
  </w:style>
  <w:style w:type="paragraph" w:styleId="6">
    <w:name w:val="heading 5"/>
    <w:basedOn w:val="1"/>
    <w:next w:val="1"/>
    <w:link w:val="217"/>
    <w:qFormat/>
    <w:uiPriority w:val="0"/>
    <w:pPr>
      <w:keepNext/>
      <w:keepLines/>
      <w:spacing w:before="280" w:after="290" w:line="376" w:lineRule="auto"/>
      <w:outlineLvl w:val="4"/>
    </w:pPr>
    <w:rPr>
      <w:b/>
      <w:bCs/>
      <w:sz w:val="28"/>
      <w:szCs w:val="28"/>
    </w:rPr>
  </w:style>
  <w:style w:type="paragraph" w:styleId="7">
    <w:name w:val="heading 6"/>
    <w:basedOn w:val="1"/>
    <w:next w:val="8"/>
    <w:link w:val="218"/>
    <w:qFormat/>
    <w:uiPriority w:val="0"/>
    <w:pPr>
      <w:keepNext/>
      <w:jc w:val="center"/>
      <w:outlineLvl w:val="5"/>
    </w:pPr>
    <w:rPr>
      <w:b/>
      <w:sz w:val="44"/>
      <w:szCs w:val="20"/>
    </w:rPr>
  </w:style>
  <w:style w:type="paragraph" w:styleId="9">
    <w:name w:val="heading 7"/>
    <w:basedOn w:val="1"/>
    <w:next w:val="1"/>
    <w:link w:val="220"/>
    <w:qFormat/>
    <w:uiPriority w:val="0"/>
    <w:pPr>
      <w:keepNext/>
      <w:keepLines/>
      <w:spacing w:before="240" w:after="64" w:line="320" w:lineRule="auto"/>
      <w:outlineLvl w:val="6"/>
    </w:pPr>
    <w:rPr>
      <w:b/>
      <w:bCs/>
      <w:sz w:val="24"/>
    </w:rPr>
  </w:style>
  <w:style w:type="paragraph" w:styleId="10">
    <w:name w:val="heading 8"/>
    <w:basedOn w:val="1"/>
    <w:next w:val="1"/>
    <w:link w:val="22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222"/>
    <w:qFormat/>
    <w:uiPriority w:val="0"/>
    <w:pPr>
      <w:keepNext/>
      <w:keepLines/>
      <w:spacing w:before="240" w:after="64" w:line="320" w:lineRule="auto"/>
      <w:outlineLvl w:val="8"/>
    </w:pPr>
    <w:rPr>
      <w:rFonts w:ascii="Arial" w:hAnsi="Arial" w:eastAsia="黑体"/>
      <w:sz w:val="24"/>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219"/>
    <w:qFormat/>
    <w:uiPriority w:val="0"/>
    <w:pPr>
      <w:ind w:firstLine="420"/>
    </w:pPr>
    <w:rPr>
      <w:sz w:val="20"/>
      <w:szCs w:val="20"/>
    </w:rPr>
  </w:style>
  <w:style w:type="paragraph" w:styleId="12">
    <w:name w:val="toc 7"/>
    <w:basedOn w:val="1"/>
    <w:next w:val="1"/>
    <w:unhideWhenUsed/>
    <w:qFormat/>
    <w:uiPriority w:val="39"/>
    <w:pPr>
      <w:spacing w:after="57"/>
      <w:ind w:left="1701"/>
    </w:pPr>
  </w:style>
  <w:style w:type="paragraph" w:styleId="13">
    <w:name w:val="caption"/>
    <w:basedOn w:val="1"/>
    <w:next w:val="1"/>
    <w:semiHidden/>
    <w:unhideWhenUsed/>
    <w:qFormat/>
    <w:uiPriority w:val="35"/>
    <w:pPr>
      <w:spacing w:line="276" w:lineRule="auto"/>
    </w:pPr>
    <w:rPr>
      <w:b/>
      <w:bCs/>
      <w:color w:val="4F81BD"/>
      <w:sz w:val="18"/>
      <w:szCs w:val="18"/>
    </w:rPr>
  </w:style>
  <w:style w:type="paragraph" w:styleId="14">
    <w:name w:val="Document Map"/>
    <w:basedOn w:val="1"/>
    <w:link w:val="223"/>
    <w:semiHidden/>
    <w:qFormat/>
    <w:uiPriority w:val="0"/>
    <w:pPr>
      <w:shd w:val="clear" w:color="auto" w:fill="000080"/>
    </w:pPr>
    <w:rPr>
      <w:sz w:val="20"/>
    </w:rPr>
  </w:style>
  <w:style w:type="paragraph" w:styleId="15">
    <w:name w:val="annotation text"/>
    <w:basedOn w:val="1"/>
    <w:semiHidden/>
    <w:unhideWhenUsed/>
    <w:qFormat/>
    <w:uiPriority w:val="99"/>
    <w:pPr>
      <w:jc w:val="left"/>
    </w:pPr>
  </w:style>
  <w:style w:type="paragraph" w:styleId="16">
    <w:name w:val="Body Text 3"/>
    <w:basedOn w:val="1"/>
    <w:link w:val="224"/>
    <w:qFormat/>
    <w:uiPriority w:val="0"/>
    <w:pPr>
      <w:spacing w:after="120"/>
    </w:pPr>
    <w:rPr>
      <w:sz w:val="16"/>
      <w:szCs w:val="16"/>
    </w:rPr>
  </w:style>
  <w:style w:type="paragraph" w:styleId="17">
    <w:name w:val="Body Text"/>
    <w:basedOn w:val="1"/>
    <w:next w:val="1"/>
    <w:link w:val="225"/>
    <w:qFormat/>
    <w:uiPriority w:val="0"/>
    <w:rPr>
      <w:rFonts w:ascii="仿宋_GB2312" w:eastAsia="仿宋_GB2312"/>
      <w:sz w:val="24"/>
      <w:szCs w:val="20"/>
    </w:rPr>
  </w:style>
  <w:style w:type="paragraph" w:styleId="18">
    <w:name w:val="Body Text Indent"/>
    <w:basedOn w:val="1"/>
    <w:next w:val="19"/>
    <w:link w:val="226"/>
    <w:qFormat/>
    <w:uiPriority w:val="0"/>
    <w:pPr>
      <w:ind w:left="765"/>
    </w:pPr>
    <w:rPr>
      <w:rFonts w:ascii="仿宋_GB2312" w:eastAsia="仿宋_GB2312"/>
      <w:sz w:val="28"/>
      <w:szCs w:val="20"/>
    </w:rPr>
  </w:style>
  <w:style w:type="paragraph" w:styleId="19">
    <w:name w:val="envelope return"/>
    <w:basedOn w:val="1"/>
    <w:unhideWhenUsed/>
    <w:qFormat/>
    <w:uiPriority w:val="99"/>
    <w:rPr>
      <w:rFonts w:ascii="Arial" w:hAnsi="Arial"/>
    </w:rPr>
  </w:style>
  <w:style w:type="paragraph" w:styleId="20">
    <w:name w:val="index 4"/>
    <w:basedOn w:val="1"/>
    <w:next w:val="1"/>
    <w:unhideWhenUsed/>
    <w:qFormat/>
    <w:uiPriority w:val="99"/>
    <w:pPr>
      <w:ind w:left="600"/>
    </w:pPr>
  </w:style>
  <w:style w:type="paragraph" w:styleId="21">
    <w:name w:val="toc 5"/>
    <w:basedOn w:val="1"/>
    <w:next w:val="1"/>
    <w:unhideWhenUsed/>
    <w:qFormat/>
    <w:uiPriority w:val="39"/>
    <w:pPr>
      <w:spacing w:after="57"/>
      <w:ind w:left="1134"/>
    </w:pPr>
  </w:style>
  <w:style w:type="paragraph" w:styleId="22">
    <w:name w:val="toc 3"/>
    <w:basedOn w:val="1"/>
    <w:next w:val="1"/>
    <w:unhideWhenUsed/>
    <w:qFormat/>
    <w:uiPriority w:val="39"/>
    <w:pPr>
      <w:spacing w:after="57"/>
      <w:ind w:left="567"/>
    </w:pPr>
  </w:style>
  <w:style w:type="paragraph" w:styleId="23">
    <w:name w:val="Plain Text"/>
    <w:basedOn w:val="1"/>
    <w:link w:val="227"/>
    <w:qFormat/>
    <w:uiPriority w:val="0"/>
    <w:rPr>
      <w:rFonts w:ascii="宋体" w:hAnsi="Courier New"/>
      <w:sz w:val="20"/>
      <w:szCs w:val="21"/>
    </w:rPr>
  </w:style>
  <w:style w:type="paragraph" w:styleId="24">
    <w:name w:val="toc 8"/>
    <w:basedOn w:val="1"/>
    <w:next w:val="1"/>
    <w:unhideWhenUsed/>
    <w:qFormat/>
    <w:uiPriority w:val="39"/>
    <w:pPr>
      <w:spacing w:after="57"/>
      <w:ind w:left="1984"/>
    </w:pPr>
  </w:style>
  <w:style w:type="paragraph" w:styleId="25">
    <w:name w:val="Date"/>
    <w:basedOn w:val="1"/>
    <w:next w:val="1"/>
    <w:link w:val="228"/>
    <w:qFormat/>
    <w:uiPriority w:val="0"/>
    <w:rPr>
      <w:sz w:val="24"/>
      <w:szCs w:val="20"/>
    </w:rPr>
  </w:style>
  <w:style w:type="paragraph" w:styleId="26">
    <w:name w:val="Body Text Indent 2"/>
    <w:basedOn w:val="1"/>
    <w:link w:val="229"/>
    <w:qFormat/>
    <w:uiPriority w:val="0"/>
    <w:pPr>
      <w:spacing w:line="500" w:lineRule="exact"/>
      <w:ind w:firstLine="560"/>
    </w:pPr>
    <w:rPr>
      <w:rFonts w:eastAsia="仿宋_GB2312"/>
      <w:sz w:val="28"/>
      <w:szCs w:val="20"/>
    </w:rPr>
  </w:style>
  <w:style w:type="paragraph" w:styleId="27">
    <w:name w:val="endnote text"/>
    <w:basedOn w:val="1"/>
    <w:link w:val="211"/>
    <w:semiHidden/>
    <w:unhideWhenUsed/>
    <w:qFormat/>
    <w:uiPriority w:val="99"/>
    <w:rPr>
      <w:sz w:val="20"/>
    </w:rPr>
  </w:style>
  <w:style w:type="paragraph" w:styleId="28">
    <w:name w:val="Balloon Text"/>
    <w:basedOn w:val="1"/>
    <w:link w:val="230"/>
    <w:semiHidden/>
    <w:qFormat/>
    <w:uiPriority w:val="0"/>
    <w:rPr>
      <w:sz w:val="18"/>
      <w:szCs w:val="18"/>
    </w:rPr>
  </w:style>
  <w:style w:type="paragraph" w:styleId="29">
    <w:name w:val="footer"/>
    <w:basedOn w:val="1"/>
    <w:link w:val="231"/>
    <w:qFormat/>
    <w:uiPriority w:val="99"/>
    <w:pPr>
      <w:tabs>
        <w:tab w:val="center" w:pos="4153"/>
        <w:tab w:val="right" w:pos="8306"/>
      </w:tabs>
      <w:jc w:val="left"/>
    </w:pPr>
    <w:rPr>
      <w:sz w:val="18"/>
      <w:szCs w:val="20"/>
    </w:rPr>
  </w:style>
  <w:style w:type="paragraph" w:styleId="30">
    <w:name w:val="header"/>
    <w:basedOn w:val="1"/>
    <w:link w:val="232"/>
    <w:qFormat/>
    <w:uiPriority w:val="0"/>
    <w:pPr>
      <w:pBdr>
        <w:bottom w:val="single" w:color="000000" w:sz="6" w:space="1"/>
      </w:pBdr>
      <w:tabs>
        <w:tab w:val="center" w:pos="4153"/>
        <w:tab w:val="right" w:pos="8306"/>
      </w:tabs>
      <w:jc w:val="center"/>
    </w:pPr>
    <w:rPr>
      <w:sz w:val="18"/>
      <w:szCs w:val="18"/>
    </w:rPr>
  </w:style>
  <w:style w:type="paragraph" w:styleId="31">
    <w:name w:val="toc 1"/>
    <w:basedOn w:val="1"/>
    <w:next w:val="1"/>
    <w:unhideWhenUsed/>
    <w:qFormat/>
    <w:uiPriority w:val="39"/>
    <w:pPr>
      <w:spacing w:after="57"/>
    </w:pPr>
  </w:style>
  <w:style w:type="paragraph" w:styleId="32">
    <w:name w:val="toc 4"/>
    <w:basedOn w:val="1"/>
    <w:next w:val="1"/>
    <w:unhideWhenUsed/>
    <w:qFormat/>
    <w:uiPriority w:val="39"/>
    <w:pPr>
      <w:spacing w:after="57"/>
      <w:ind w:left="850"/>
    </w:pPr>
  </w:style>
  <w:style w:type="paragraph" w:styleId="33">
    <w:name w:val="Subtitle"/>
    <w:basedOn w:val="1"/>
    <w:next w:val="1"/>
    <w:link w:val="96"/>
    <w:qFormat/>
    <w:uiPriority w:val="11"/>
    <w:pPr>
      <w:spacing w:before="200" w:after="200"/>
    </w:pPr>
    <w:rPr>
      <w:sz w:val="24"/>
    </w:rPr>
  </w:style>
  <w:style w:type="paragraph" w:styleId="34">
    <w:name w:val="List"/>
    <w:basedOn w:val="1"/>
    <w:qFormat/>
    <w:uiPriority w:val="0"/>
    <w:pPr>
      <w:ind w:left="200" w:hanging="200"/>
    </w:pPr>
  </w:style>
  <w:style w:type="paragraph" w:styleId="35">
    <w:name w:val="footnote text"/>
    <w:basedOn w:val="1"/>
    <w:link w:val="210"/>
    <w:semiHidden/>
    <w:unhideWhenUsed/>
    <w:qFormat/>
    <w:uiPriority w:val="99"/>
    <w:pPr>
      <w:spacing w:after="40"/>
    </w:pPr>
    <w:rPr>
      <w:sz w:val="18"/>
    </w:rPr>
  </w:style>
  <w:style w:type="paragraph" w:styleId="36">
    <w:name w:val="toc 6"/>
    <w:basedOn w:val="1"/>
    <w:next w:val="1"/>
    <w:unhideWhenUsed/>
    <w:qFormat/>
    <w:uiPriority w:val="39"/>
    <w:pPr>
      <w:spacing w:after="57"/>
      <w:ind w:left="1417"/>
    </w:pPr>
  </w:style>
  <w:style w:type="paragraph" w:styleId="37">
    <w:name w:val="Body Text Indent 3"/>
    <w:basedOn w:val="1"/>
    <w:link w:val="234"/>
    <w:qFormat/>
    <w:uiPriority w:val="0"/>
    <w:pPr>
      <w:spacing w:after="120"/>
      <w:ind w:left="420"/>
    </w:pPr>
    <w:rPr>
      <w:sz w:val="16"/>
      <w:szCs w:val="16"/>
    </w:rPr>
  </w:style>
  <w:style w:type="paragraph" w:styleId="38">
    <w:name w:val="table of figures"/>
    <w:basedOn w:val="1"/>
    <w:next w:val="1"/>
    <w:unhideWhenUsed/>
    <w:qFormat/>
    <w:uiPriority w:val="99"/>
  </w:style>
  <w:style w:type="paragraph" w:styleId="39">
    <w:name w:val="toc 2"/>
    <w:basedOn w:val="1"/>
    <w:next w:val="1"/>
    <w:unhideWhenUsed/>
    <w:qFormat/>
    <w:uiPriority w:val="39"/>
    <w:pPr>
      <w:spacing w:after="57"/>
      <w:ind w:left="283"/>
    </w:pPr>
  </w:style>
  <w:style w:type="paragraph" w:styleId="40">
    <w:name w:val="toc 9"/>
    <w:basedOn w:val="1"/>
    <w:next w:val="1"/>
    <w:unhideWhenUsed/>
    <w:qFormat/>
    <w:uiPriority w:val="39"/>
    <w:pPr>
      <w:spacing w:after="57"/>
      <w:ind w:left="2268"/>
    </w:pPr>
  </w:style>
  <w:style w:type="paragraph" w:styleId="41">
    <w:name w:val="Body Text 2"/>
    <w:basedOn w:val="1"/>
    <w:link w:val="235"/>
    <w:qFormat/>
    <w:uiPriority w:val="0"/>
    <w:rPr>
      <w:b/>
      <w:bCs/>
      <w:sz w:val="18"/>
    </w:rPr>
  </w:style>
  <w:style w:type="paragraph" w:styleId="42">
    <w:name w:val="HTML Preformatted"/>
    <w:basedOn w:val="1"/>
    <w:link w:val="2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等线 Light" w:hAnsi="等线 Light" w:eastAsia="幼圆" w:cs="等线 Light"/>
      <w:sz w:val="24"/>
      <w:szCs w:val="22"/>
    </w:rPr>
  </w:style>
  <w:style w:type="paragraph" w:styleId="43">
    <w:name w:val="Normal (Web)"/>
    <w:basedOn w:val="1"/>
    <w:qFormat/>
    <w:uiPriority w:val="0"/>
    <w:pPr>
      <w:widowControl/>
      <w:spacing w:before="100" w:beforeAutospacing="1" w:after="100" w:afterAutospacing="1"/>
      <w:jc w:val="left"/>
    </w:pPr>
    <w:rPr>
      <w:rFonts w:ascii="宋体" w:hAnsi="宋体"/>
      <w:color w:val="000000"/>
      <w:sz w:val="24"/>
    </w:rPr>
  </w:style>
  <w:style w:type="paragraph" w:styleId="44">
    <w:name w:val="Title"/>
    <w:basedOn w:val="1"/>
    <w:next w:val="1"/>
    <w:link w:val="95"/>
    <w:qFormat/>
    <w:uiPriority w:val="10"/>
    <w:pPr>
      <w:spacing w:before="300" w:after="200"/>
      <w:contextualSpacing/>
    </w:pPr>
    <w:rPr>
      <w:sz w:val="48"/>
      <w:szCs w:val="48"/>
    </w:rPr>
  </w:style>
  <w:style w:type="paragraph" w:styleId="45">
    <w:name w:val="Body Text First Indent"/>
    <w:basedOn w:val="17"/>
    <w:qFormat/>
    <w:uiPriority w:val="99"/>
    <w:pPr>
      <w:ind w:firstLine="420"/>
    </w:pPr>
  </w:style>
  <w:style w:type="paragraph" w:styleId="46">
    <w:name w:val="Body Text First Indent 2"/>
    <w:basedOn w:val="18"/>
    <w:qFormat/>
    <w:uiPriority w:val="99"/>
    <w:pPr>
      <w:ind w:firstLine="200"/>
    </w:pPr>
  </w:style>
  <w:style w:type="table" w:styleId="48">
    <w:name w:val="Table Grid"/>
    <w:basedOn w:val="4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0">
    <w:name w:val="Strong"/>
    <w:qFormat/>
    <w:uiPriority w:val="0"/>
    <w:rPr>
      <w:b/>
      <w:bCs/>
    </w:rPr>
  </w:style>
  <w:style w:type="character" w:styleId="51">
    <w:name w:val="endnote reference"/>
    <w:semiHidden/>
    <w:unhideWhenUsed/>
    <w:qFormat/>
    <w:uiPriority w:val="99"/>
    <w:rPr>
      <w:vertAlign w:val="superscript"/>
    </w:rPr>
  </w:style>
  <w:style w:type="character" w:styleId="52">
    <w:name w:val="page number"/>
    <w:qFormat/>
    <w:uiPriority w:val="0"/>
  </w:style>
  <w:style w:type="character" w:styleId="53">
    <w:name w:val="Hyperlink"/>
    <w:qFormat/>
    <w:uiPriority w:val="0"/>
    <w:rPr>
      <w:color w:val="0000FF"/>
      <w:u w:val="single"/>
    </w:rPr>
  </w:style>
  <w:style w:type="character" w:styleId="54">
    <w:name w:val="footnote reference"/>
    <w:unhideWhenUsed/>
    <w:qFormat/>
    <w:uiPriority w:val="99"/>
    <w:rPr>
      <w:vertAlign w:val="superscript"/>
    </w:rPr>
  </w:style>
  <w:style w:type="paragraph" w:customStyle="1" w:styleId="55">
    <w:name w:val="Default"/>
    <w:qFormat/>
    <w:uiPriority w:val="0"/>
    <w:pPr>
      <w:widowControl w:val="0"/>
    </w:pPr>
    <w:rPr>
      <w:rFonts w:ascii="Arial Unicode MS" w:hAnsi="Times New Roman" w:eastAsia="Arial Unicode MS" w:cs="Arial Unicode MS"/>
      <w:color w:val="000000"/>
      <w:sz w:val="24"/>
      <w:szCs w:val="24"/>
      <w:lang w:val="en-US" w:eastAsia="zh-CN" w:bidi="ar-SA"/>
    </w:rPr>
  </w:style>
  <w:style w:type="paragraph" w:customStyle="1" w:styleId="56">
    <w:name w:val="正文首行缩进 21"/>
    <w:basedOn w:val="57"/>
    <w:qFormat/>
    <w:uiPriority w:val="0"/>
    <w:pPr>
      <w:spacing w:after="0" w:line="360" w:lineRule="auto"/>
      <w:ind w:left="0" w:firstLine="420"/>
    </w:pPr>
    <w:rPr>
      <w:rFonts w:ascii="宋体" w:hAnsi="宋体"/>
      <w:sz w:val="20"/>
      <w:szCs w:val="20"/>
    </w:rPr>
  </w:style>
  <w:style w:type="paragraph" w:customStyle="1" w:styleId="57">
    <w:name w:val="正文文本缩进1"/>
    <w:basedOn w:val="1"/>
    <w:unhideWhenUsed/>
    <w:qFormat/>
    <w:uiPriority w:val="99"/>
    <w:pPr>
      <w:spacing w:after="120"/>
      <w:ind w:left="420"/>
    </w:pPr>
  </w:style>
  <w:style w:type="table" w:customStyle="1" w:styleId="58">
    <w:name w:val="无格式表格 11"/>
    <w:basedOn w:val="47"/>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无格式表格 21"/>
    <w:basedOn w:val="47"/>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无格式表格 31"/>
    <w:basedOn w:val="47"/>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无格式表格 41"/>
    <w:basedOn w:val="47"/>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无格式表格 51"/>
    <w:basedOn w:val="47"/>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网格表 1 浅色1"/>
    <w:basedOn w:val="47"/>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网格表 21"/>
    <w:basedOn w:val="47"/>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5">
    <w:name w:val="网格表 31"/>
    <w:basedOn w:val="47"/>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6">
    <w:name w:val="网格表 41"/>
    <w:basedOn w:val="47"/>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7">
    <w:name w:val="网格表 5 深色1"/>
    <w:basedOn w:val="47"/>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68">
    <w:name w:val="网格表 6 彩色1"/>
    <w:basedOn w:val="47"/>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9">
    <w:name w:val="网格表 7 彩色1"/>
    <w:basedOn w:val="47"/>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0">
    <w:name w:val="清单表 1 浅色1"/>
    <w:basedOn w:val="47"/>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71">
    <w:name w:val="清单表 21"/>
    <w:basedOn w:val="47"/>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2">
    <w:name w:val="清单表 31"/>
    <w:basedOn w:val="47"/>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73">
    <w:name w:val="清单表 41"/>
    <w:basedOn w:val="47"/>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4">
    <w:name w:val="清单表 5 深色1"/>
    <w:basedOn w:val="47"/>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75">
    <w:name w:val="清单表 6 彩色1"/>
    <w:basedOn w:val="47"/>
    <w:qFormat/>
    <w:uiPriority w:val="99"/>
    <w:tblPr>
      <w:tblBorders>
        <w:top w:val="single" w:color="7F7F7F" w:sz="4" w:space="0"/>
        <w:bottom w:val="single" w:color="7F7F7F"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76">
    <w:name w:val="清单表 7 彩色1"/>
    <w:basedOn w:val="47"/>
    <w:qFormat/>
    <w:uiPriority w:val="99"/>
    <w:tblPr>
      <w:tblBorders>
        <w:right w:val="single" w:color="7F7F7F"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paragraph" w:customStyle="1" w:styleId="77">
    <w:name w:val="TOC 标题1"/>
    <w:unhideWhenUsed/>
    <w:qFormat/>
    <w:uiPriority w:val="39"/>
    <w:rPr>
      <w:rFonts w:ascii="Times New Roman" w:hAnsi="Times New Roman" w:eastAsia="宋体" w:cs="Times New Roman"/>
      <w:lang w:val="en-US" w:eastAsia="zh-CN" w:bidi="ar-SA"/>
    </w:rPr>
  </w:style>
  <w:style w:type="character" w:customStyle="1" w:styleId="78">
    <w:name w:val="Title Char"/>
    <w:basedOn w:val="49"/>
    <w:qFormat/>
    <w:uiPriority w:val="10"/>
    <w:rPr>
      <w:sz w:val="48"/>
      <w:szCs w:val="48"/>
    </w:rPr>
  </w:style>
  <w:style w:type="character" w:customStyle="1" w:styleId="79">
    <w:name w:val="Subtitle Char"/>
    <w:basedOn w:val="49"/>
    <w:qFormat/>
    <w:uiPriority w:val="11"/>
    <w:rPr>
      <w:sz w:val="24"/>
      <w:szCs w:val="24"/>
    </w:rPr>
  </w:style>
  <w:style w:type="character" w:customStyle="1" w:styleId="80">
    <w:name w:val="Quote Char"/>
    <w:qFormat/>
    <w:uiPriority w:val="29"/>
    <w:rPr>
      <w:i/>
    </w:rPr>
  </w:style>
  <w:style w:type="character" w:customStyle="1" w:styleId="81">
    <w:name w:val="Intense Quote Char"/>
    <w:qFormat/>
    <w:uiPriority w:val="30"/>
    <w:rPr>
      <w:i/>
    </w:rPr>
  </w:style>
  <w:style w:type="character" w:customStyle="1" w:styleId="82">
    <w:name w:val="Footnote Text Char"/>
    <w:qFormat/>
    <w:uiPriority w:val="99"/>
    <w:rPr>
      <w:sz w:val="18"/>
    </w:rPr>
  </w:style>
  <w:style w:type="character" w:customStyle="1" w:styleId="83">
    <w:name w:val="Endnote Text Char"/>
    <w:qFormat/>
    <w:uiPriority w:val="99"/>
    <w:rPr>
      <w:sz w:val="20"/>
    </w:rPr>
  </w:style>
  <w:style w:type="character" w:customStyle="1" w:styleId="84">
    <w:name w:val="Heading 1 Char"/>
    <w:qFormat/>
    <w:uiPriority w:val="9"/>
    <w:rPr>
      <w:rFonts w:ascii="Arial" w:hAnsi="Arial" w:eastAsia="Arial" w:cs="Arial"/>
      <w:sz w:val="40"/>
      <w:szCs w:val="40"/>
    </w:rPr>
  </w:style>
  <w:style w:type="character" w:customStyle="1" w:styleId="85">
    <w:name w:val="Heading 2 Char"/>
    <w:qFormat/>
    <w:uiPriority w:val="9"/>
    <w:rPr>
      <w:rFonts w:ascii="Arial" w:hAnsi="Arial" w:eastAsia="Arial" w:cs="Arial"/>
      <w:sz w:val="34"/>
    </w:rPr>
  </w:style>
  <w:style w:type="character" w:customStyle="1" w:styleId="86">
    <w:name w:val="Heading 3 Char"/>
    <w:qFormat/>
    <w:uiPriority w:val="9"/>
    <w:rPr>
      <w:rFonts w:ascii="Arial" w:hAnsi="Arial" w:eastAsia="Arial" w:cs="Arial"/>
      <w:sz w:val="30"/>
      <w:szCs w:val="30"/>
    </w:rPr>
  </w:style>
  <w:style w:type="character" w:customStyle="1" w:styleId="87">
    <w:name w:val="Heading 4 Char"/>
    <w:qFormat/>
    <w:uiPriority w:val="9"/>
    <w:rPr>
      <w:rFonts w:ascii="Arial" w:hAnsi="Arial" w:eastAsia="Arial" w:cs="Arial"/>
      <w:b/>
      <w:bCs/>
      <w:sz w:val="26"/>
      <w:szCs w:val="26"/>
    </w:rPr>
  </w:style>
  <w:style w:type="character" w:customStyle="1" w:styleId="88">
    <w:name w:val="Heading 5 Char"/>
    <w:qFormat/>
    <w:uiPriority w:val="9"/>
    <w:rPr>
      <w:rFonts w:ascii="Arial" w:hAnsi="Arial" w:eastAsia="Arial" w:cs="Arial"/>
      <w:b/>
      <w:bCs/>
      <w:sz w:val="24"/>
      <w:szCs w:val="24"/>
    </w:rPr>
  </w:style>
  <w:style w:type="character" w:customStyle="1" w:styleId="89">
    <w:name w:val="Heading 6 Char"/>
    <w:qFormat/>
    <w:uiPriority w:val="9"/>
    <w:rPr>
      <w:rFonts w:ascii="Arial" w:hAnsi="Arial" w:eastAsia="Arial" w:cs="Arial"/>
      <w:b/>
      <w:bCs/>
      <w:sz w:val="22"/>
      <w:szCs w:val="22"/>
    </w:rPr>
  </w:style>
  <w:style w:type="character" w:customStyle="1" w:styleId="90">
    <w:name w:val="Heading 7 Char"/>
    <w:qFormat/>
    <w:uiPriority w:val="9"/>
    <w:rPr>
      <w:rFonts w:ascii="Arial" w:hAnsi="Arial" w:eastAsia="Arial" w:cs="Arial"/>
      <w:b/>
      <w:bCs/>
      <w:i/>
      <w:iCs/>
      <w:sz w:val="22"/>
      <w:szCs w:val="22"/>
    </w:rPr>
  </w:style>
  <w:style w:type="character" w:customStyle="1" w:styleId="91">
    <w:name w:val="Heading 8 Char"/>
    <w:qFormat/>
    <w:uiPriority w:val="9"/>
    <w:rPr>
      <w:rFonts w:ascii="Arial" w:hAnsi="Arial" w:eastAsia="Arial" w:cs="Arial"/>
      <w:i/>
      <w:iCs/>
      <w:sz w:val="22"/>
      <w:szCs w:val="22"/>
    </w:rPr>
  </w:style>
  <w:style w:type="character" w:customStyle="1" w:styleId="92">
    <w:name w:val="Heading 9 Char"/>
    <w:qFormat/>
    <w:uiPriority w:val="9"/>
    <w:rPr>
      <w:rFonts w:ascii="Arial" w:hAnsi="Arial" w:eastAsia="Arial" w:cs="Arial"/>
      <w:i/>
      <w:iCs/>
      <w:sz w:val="21"/>
      <w:szCs w:val="21"/>
    </w:rPr>
  </w:style>
  <w:style w:type="paragraph" w:styleId="93">
    <w:name w:val="List Paragraph"/>
    <w:basedOn w:val="1"/>
    <w:link w:val="240"/>
    <w:qFormat/>
    <w:uiPriority w:val="34"/>
    <w:pPr>
      <w:ind w:firstLine="420"/>
    </w:pPr>
    <w:rPr>
      <w:sz w:val="20"/>
      <w:szCs w:val="20"/>
    </w:rPr>
  </w:style>
  <w:style w:type="paragraph" w:styleId="94">
    <w:name w:val="No Spacing"/>
    <w:qFormat/>
    <w:uiPriority w:val="1"/>
    <w:rPr>
      <w:rFonts w:ascii="Times New Roman" w:hAnsi="Times New Roman" w:eastAsia="宋体" w:cs="Times New Roman"/>
      <w:lang w:val="en-US" w:eastAsia="zh-CN" w:bidi="ar-SA"/>
    </w:rPr>
  </w:style>
  <w:style w:type="character" w:customStyle="1" w:styleId="95">
    <w:name w:val="标题 字符"/>
    <w:link w:val="44"/>
    <w:qFormat/>
    <w:uiPriority w:val="10"/>
    <w:rPr>
      <w:sz w:val="48"/>
      <w:szCs w:val="48"/>
    </w:rPr>
  </w:style>
  <w:style w:type="character" w:customStyle="1" w:styleId="96">
    <w:name w:val="副标题 字符"/>
    <w:link w:val="33"/>
    <w:qFormat/>
    <w:uiPriority w:val="11"/>
    <w:rPr>
      <w:sz w:val="24"/>
      <w:szCs w:val="24"/>
    </w:rPr>
  </w:style>
  <w:style w:type="paragraph" w:styleId="97">
    <w:name w:val="Quote"/>
    <w:basedOn w:val="1"/>
    <w:next w:val="1"/>
    <w:link w:val="98"/>
    <w:qFormat/>
    <w:uiPriority w:val="29"/>
    <w:pPr>
      <w:ind w:left="720" w:right="720"/>
    </w:pPr>
    <w:rPr>
      <w:i/>
    </w:rPr>
  </w:style>
  <w:style w:type="character" w:customStyle="1" w:styleId="98">
    <w:name w:val="引用 字符"/>
    <w:link w:val="97"/>
    <w:qFormat/>
    <w:uiPriority w:val="29"/>
    <w:rPr>
      <w:i/>
    </w:rPr>
  </w:style>
  <w:style w:type="paragraph" w:styleId="99">
    <w:name w:val="Intense Quote"/>
    <w:basedOn w:val="1"/>
    <w:next w:val="1"/>
    <w:link w:val="10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00">
    <w:name w:val="明显引用 字符"/>
    <w:link w:val="99"/>
    <w:qFormat/>
    <w:uiPriority w:val="30"/>
    <w:rPr>
      <w:i/>
    </w:rPr>
  </w:style>
  <w:style w:type="character" w:customStyle="1" w:styleId="101">
    <w:name w:val="Header Char"/>
    <w:qFormat/>
    <w:uiPriority w:val="99"/>
  </w:style>
  <w:style w:type="character" w:customStyle="1" w:styleId="102">
    <w:name w:val="Footer Char"/>
    <w:qFormat/>
    <w:uiPriority w:val="99"/>
  </w:style>
  <w:style w:type="character" w:customStyle="1" w:styleId="103">
    <w:name w:val="Caption Char"/>
    <w:qFormat/>
    <w:uiPriority w:val="99"/>
  </w:style>
  <w:style w:type="table" w:customStyle="1" w:styleId="104">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05">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06">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07">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08">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09">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10">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111">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12">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3">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14">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15">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16">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17">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18">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9">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20">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21">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22">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23">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24">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25">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26">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27">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28">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29">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0">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1">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2">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3">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4">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5">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36">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37">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38">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39">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40">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41">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42">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3">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4">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45">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46">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47">
    <w:name w:val="List Table 1 Light - Accent 1"/>
    <w:qFormat/>
    <w:uiPriority w:val="99"/>
    <w:tblPr>
      <w:tblCellMar>
        <w:top w:w="0" w:type="dxa"/>
        <w:left w:w="0" w:type="dxa"/>
        <w:bottom w:w="0" w:type="dxa"/>
        <w:right w:w="0" w:type="dxa"/>
      </w:tblCellMar>
    </w:tblPr>
  </w:style>
  <w:style w:type="table" w:customStyle="1" w:styleId="148">
    <w:name w:val="List Table 1 Light - Accent 2"/>
    <w:qFormat/>
    <w:uiPriority w:val="99"/>
    <w:tblPr>
      <w:tblCellMar>
        <w:top w:w="0" w:type="dxa"/>
        <w:left w:w="0" w:type="dxa"/>
        <w:bottom w:w="0" w:type="dxa"/>
        <w:right w:w="0" w:type="dxa"/>
      </w:tblCellMar>
    </w:tblPr>
  </w:style>
  <w:style w:type="table" w:customStyle="1" w:styleId="149">
    <w:name w:val="List Table 1 Light - Accent 3"/>
    <w:qFormat/>
    <w:uiPriority w:val="99"/>
    <w:tblPr>
      <w:tblCellMar>
        <w:top w:w="0" w:type="dxa"/>
        <w:left w:w="0" w:type="dxa"/>
        <w:bottom w:w="0" w:type="dxa"/>
        <w:right w:w="0" w:type="dxa"/>
      </w:tblCellMar>
    </w:tblPr>
  </w:style>
  <w:style w:type="table" w:customStyle="1" w:styleId="150">
    <w:name w:val="List Table 1 Light - Accent 4"/>
    <w:qFormat/>
    <w:uiPriority w:val="99"/>
    <w:tblPr>
      <w:tblCellMar>
        <w:top w:w="0" w:type="dxa"/>
        <w:left w:w="0" w:type="dxa"/>
        <w:bottom w:w="0" w:type="dxa"/>
        <w:right w:w="0" w:type="dxa"/>
      </w:tblCellMar>
    </w:tblPr>
  </w:style>
  <w:style w:type="table" w:customStyle="1" w:styleId="151">
    <w:name w:val="List Table 1 Light - Accent 5"/>
    <w:qFormat/>
    <w:uiPriority w:val="99"/>
    <w:tblPr>
      <w:tblCellMar>
        <w:top w:w="0" w:type="dxa"/>
        <w:left w:w="0" w:type="dxa"/>
        <w:bottom w:w="0" w:type="dxa"/>
        <w:right w:w="0" w:type="dxa"/>
      </w:tblCellMar>
    </w:tblPr>
  </w:style>
  <w:style w:type="table" w:customStyle="1" w:styleId="152">
    <w:name w:val="List Table 1 Light - Accent 6"/>
    <w:qFormat/>
    <w:uiPriority w:val="99"/>
    <w:tblPr>
      <w:tblCellMar>
        <w:top w:w="0" w:type="dxa"/>
        <w:left w:w="0" w:type="dxa"/>
        <w:bottom w:w="0" w:type="dxa"/>
        <w:right w:w="0" w:type="dxa"/>
      </w:tblCellMar>
    </w:tblPr>
  </w:style>
  <w:style w:type="table" w:customStyle="1" w:styleId="153">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54">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55">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56">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57">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58">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59">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60">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61">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62">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63">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64">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65">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66">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67">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68">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69">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70">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71">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72">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73">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74">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75">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76">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77">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78">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79">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80">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81">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182">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183">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184">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185">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186">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187">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188">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189">
    <w:name w:val="Lined - Accent"/>
    <w:qFormat/>
    <w:uiPriority w:val="99"/>
    <w:rPr>
      <w:color w:val="404040"/>
    </w:rPr>
    <w:tblPr>
      <w:tblCellMar>
        <w:top w:w="0" w:type="dxa"/>
        <w:left w:w="0" w:type="dxa"/>
        <w:bottom w:w="0" w:type="dxa"/>
        <w:right w:w="0" w:type="dxa"/>
      </w:tblCellMar>
    </w:tblPr>
  </w:style>
  <w:style w:type="table" w:customStyle="1" w:styleId="190">
    <w:name w:val="Lined - Accent 1"/>
    <w:qFormat/>
    <w:uiPriority w:val="99"/>
    <w:rPr>
      <w:color w:val="404040"/>
    </w:rPr>
    <w:tblPr>
      <w:tblCellMar>
        <w:top w:w="0" w:type="dxa"/>
        <w:left w:w="0" w:type="dxa"/>
        <w:bottom w:w="0" w:type="dxa"/>
        <w:right w:w="0" w:type="dxa"/>
      </w:tblCellMar>
    </w:tblPr>
  </w:style>
  <w:style w:type="table" w:customStyle="1" w:styleId="191">
    <w:name w:val="Lined - Accent 2"/>
    <w:qFormat/>
    <w:uiPriority w:val="99"/>
    <w:rPr>
      <w:color w:val="404040"/>
    </w:rPr>
    <w:tblPr>
      <w:tblCellMar>
        <w:top w:w="0" w:type="dxa"/>
        <w:left w:w="0" w:type="dxa"/>
        <w:bottom w:w="0" w:type="dxa"/>
        <w:right w:w="0" w:type="dxa"/>
      </w:tblCellMar>
    </w:tblPr>
  </w:style>
  <w:style w:type="table" w:customStyle="1" w:styleId="192">
    <w:name w:val="Lined - Accent 3"/>
    <w:qFormat/>
    <w:uiPriority w:val="99"/>
    <w:rPr>
      <w:color w:val="404040"/>
    </w:rPr>
    <w:tblPr>
      <w:tblCellMar>
        <w:top w:w="0" w:type="dxa"/>
        <w:left w:w="0" w:type="dxa"/>
        <w:bottom w:w="0" w:type="dxa"/>
        <w:right w:w="0" w:type="dxa"/>
      </w:tblCellMar>
    </w:tblPr>
  </w:style>
  <w:style w:type="table" w:customStyle="1" w:styleId="193">
    <w:name w:val="Lined - Accent 4"/>
    <w:qFormat/>
    <w:uiPriority w:val="99"/>
    <w:rPr>
      <w:color w:val="404040"/>
    </w:rPr>
    <w:tblPr>
      <w:tblCellMar>
        <w:top w:w="0" w:type="dxa"/>
        <w:left w:w="0" w:type="dxa"/>
        <w:bottom w:w="0" w:type="dxa"/>
        <w:right w:w="0" w:type="dxa"/>
      </w:tblCellMar>
    </w:tblPr>
  </w:style>
  <w:style w:type="table" w:customStyle="1" w:styleId="194">
    <w:name w:val="Lined - Accent 5"/>
    <w:qFormat/>
    <w:uiPriority w:val="99"/>
    <w:rPr>
      <w:color w:val="404040"/>
    </w:rPr>
    <w:tblPr>
      <w:tblCellMar>
        <w:top w:w="0" w:type="dxa"/>
        <w:left w:w="0" w:type="dxa"/>
        <w:bottom w:w="0" w:type="dxa"/>
        <w:right w:w="0" w:type="dxa"/>
      </w:tblCellMar>
    </w:tblPr>
  </w:style>
  <w:style w:type="table" w:customStyle="1" w:styleId="195">
    <w:name w:val="Lined - Accent 6"/>
    <w:qFormat/>
    <w:uiPriority w:val="99"/>
    <w:rPr>
      <w:color w:val="404040"/>
    </w:rPr>
    <w:tblPr>
      <w:tblCellMar>
        <w:top w:w="0" w:type="dxa"/>
        <w:left w:w="0" w:type="dxa"/>
        <w:bottom w:w="0" w:type="dxa"/>
        <w:right w:w="0" w:type="dxa"/>
      </w:tblCellMar>
    </w:tblPr>
  </w:style>
  <w:style w:type="table" w:customStyle="1" w:styleId="196">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197">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198">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199">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200">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201">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202">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203">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204">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05">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06">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07">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08">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09">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10">
    <w:name w:val="脚注文本 字符"/>
    <w:link w:val="35"/>
    <w:qFormat/>
    <w:uiPriority w:val="99"/>
    <w:rPr>
      <w:sz w:val="18"/>
    </w:rPr>
  </w:style>
  <w:style w:type="character" w:customStyle="1" w:styleId="211">
    <w:name w:val="尾注文本 字符"/>
    <w:link w:val="27"/>
    <w:qFormat/>
    <w:uiPriority w:val="99"/>
    <w:rPr>
      <w:sz w:val="20"/>
    </w:rPr>
  </w:style>
  <w:style w:type="paragraph" w:customStyle="1" w:styleId="212">
    <w:name w:val="TOC 标题11"/>
    <w:unhideWhenUsed/>
    <w:qFormat/>
    <w:uiPriority w:val="39"/>
    <w:rPr>
      <w:rFonts w:ascii="Times New Roman" w:hAnsi="Times New Roman" w:eastAsia="宋体" w:cs="Times New Roman"/>
      <w:lang w:val="en-US" w:eastAsia="zh-CN" w:bidi="ar-SA"/>
    </w:rPr>
  </w:style>
  <w:style w:type="character" w:customStyle="1" w:styleId="213">
    <w:name w:val="标题 1 字符"/>
    <w:link w:val="2"/>
    <w:qFormat/>
    <w:uiPriority w:val="0"/>
    <w:rPr>
      <w:rFonts w:ascii="Times New Roman" w:hAnsi="Times New Roman" w:eastAsia="宋体" w:cs="Times New Roman"/>
      <w:b/>
      <w:bCs/>
      <w:sz w:val="44"/>
      <w:szCs w:val="44"/>
    </w:rPr>
  </w:style>
  <w:style w:type="character" w:customStyle="1" w:styleId="214">
    <w:name w:val="标题 2 字符"/>
    <w:link w:val="3"/>
    <w:qFormat/>
    <w:uiPriority w:val="0"/>
    <w:rPr>
      <w:rFonts w:ascii="Arial" w:hAnsi="Arial" w:eastAsia="黑体" w:cs="Times New Roman"/>
      <w:b/>
      <w:bCs/>
      <w:sz w:val="32"/>
      <w:szCs w:val="32"/>
    </w:rPr>
  </w:style>
  <w:style w:type="character" w:customStyle="1" w:styleId="215">
    <w:name w:val="标题 3 字符"/>
    <w:link w:val="4"/>
    <w:qFormat/>
    <w:uiPriority w:val="0"/>
    <w:rPr>
      <w:rFonts w:ascii="Times New Roman" w:hAnsi="Times New Roman" w:eastAsia="宋体" w:cs="Times New Roman"/>
      <w:b/>
      <w:bCs/>
      <w:sz w:val="32"/>
      <w:szCs w:val="32"/>
    </w:rPr>
  </w:style>
  <w:style w:type="character" w:customStyle="1" w:styleId="216">
    <w:name w:val="标题 4 字符"/>
    <w:link w:val="5"/>
    <w:qFormat/>
    <w:uiPriority w:val="0"/>
    <w:rPr>
      <w:rFonts w:ascii="Times New Roman" w:hAnsi="Times New Roman" w:eastAsia="新宋体" w:cs="Times New Roman"/>
      <w:sz w:val="30"/>
      <w:szCs w:val="21"/>
    </w:rPr>
  </w:style>
  <w:style w:type="character" w:customStyle="1" w:styleId="217">
    <w:name w:val="标题 5 字符"/>
    <w:link w:val="6"/>
    <w:qFormat/>
    <w:uiPriority w:val="0"/>
    <w:rPr>
      <w:rFonts w:ascii="Times New Roman" w:hAnsi="Times New Roman" w:eastAsia="宋体" w:cs="Times New Roman"/>
      <w:b/>
      <w:bCs/>
      <w:sz w:val="28"/>
      <w:szCs w:val="28"/>
    </w:rPr>
  </w:style>
  <w:style w:type="character" w:customStyle="1" w:styleId="218">
    <w:name w:val="标题 6 字符"/>
    <w:link w:val="7"/>
    <w:qFormat/>
    <w:uiPriority w:val="0"/>
    <w:rPr>
      <w:rFonts w:ascii="Times New Roman" w:hAnsi="Times New Roman" w:eastAsia="宋体" w:cs="Times New Roman"/>
      <w:b/>
      <w:sz w:val="44"/>
      <w:szCs w:val="20"/>
    </w:rPr>
  </w:style>
  <w:style w:type="character" w:customStyle="1" w:styleId="219">
    <w:name w:val="正文缩进 字符"/>
    <w:link w:val="8"/>
    <w:qFormat/>
    <w:uiPriority w:val="0"/>
    <w:rPr>
      <w:rFonts w:ascii="Times New Roman" w:hAnsi="Times New Roman" w:eastAsia="宋体" w:cs="Times New Roman"/>
      <w:sz w:val="20"/>
      <w:szCs w:val="20"/>
    </w:rPr>
  </w:style>
  <w:style w:type="character" w:customStyle="1" w:styleId="220">
    <w:name w:val="标题 7 字符"/>
    <w:link w:val="9"/>
    <w:qFormat/>
    <w:uiPriority w:val="0"/>
    <w:rPr>
      <w:rFonts w:ascii="Times New Roman" w:hAnsi="Times New Roman" w:eastAsia="宋体" w:cs="Times New Roman"/>
      <w:b/>
      <w:bCs/>
      <w:sz w:val="24"/>
      <w:szCs w:val="24"/>
    </w:rPr>
  </w:style>
  <w:style w:type="character" w:customStyle="1" w:styleId="221">
    <w:name w:val="标题 8 字符"/>
    <w:link w:val="10"/>
    <w:qFormat/>
    <w:uiPriority w:val="0"/>
    <w:rPr>
      <w:rFonts w:ascii="Arial" w:hAnsi="Arial" w:eastAsia="黑体" w:cs="Times New Roman"/>
      <w:sz w:val="24"/>
      <w:szCs w:val="24"/>
    </w:rPr>
  </w:style>
  <w:style w:type="character" w:customStyle="1" w:styleId="222">
    <w:name w:val="标题 9 字符"/>
    <w:link w:val="11"/>
    <w:qFormat/>
    <w:uiPriority w:val="0"/>
    <w:rPr>
      <w:rFonts w:ascii="Arial" w:hAnsi="Arial" w:eastAsia="黑体" w:cs="Times New Roman"/>
      <w:sz w:val="24"/>
      <w:szCs w:val="21"/>
    </w:rPr>
  </w:style>
  <w:style w:type="character" w:customStyle="1" w:styleId="223">
    <w:name w:val="文档结构图 字符"/>
    <w:link w:val="14"/>
    <w:semiHidden/>
    <w:qFormat/>
    <w:uiPriority w:val="0"/>
    <w:rPr>
      <w:szCs w:val="24"/>
      <w:shd w:val="clear" w:color="auto" w:fill="000080"/>
    </w:rPr>
  </w:style>
  <w:style w:type="character" w:customStyle="1" w:styleId="224">
    <w:name w:val="正文文本 3 字符"/>
    <w:link w:val="16"/>
    <w:qFormat/>
    <w:uiPriority w:val="0"/>
    <w:rPr>
      <w:rFonts w:ascii="Times New Roman" w:hAnsi="Times New Roman" w:eastAsia="宋体" w:cs="Times New Roman"/>
      <w:sz w:val="16"/>
      <w:szCs w:val="16"/>
    </w:rPr>
  </w:style>
  <w:style w:type="character" w:customStyle="1" w:styleId="225">
    <w:name w:val="正文文本 字符"/>
    <w:link w:val="17"/>
    <w:qFormat/>
    <w:uiPriority w:val="0"/>
    <w:rPr>
      <w:rFonts w:ascii="仿宋_GB2312" w:hAnsi="Times New Roman" w:eastAsia="仿宋_GB2312" w:cs="Times New Roman"/>
      <w:sz w:val="24"/>
      <w:szCs w:val="20"/>
    </w:rPr>
  </w:style>
  <w:style w:type="character" w:customStyle="1" w:styleId="226">
    <w:name w:val="正文文本缩进 字符"/>
    <w:link w:val="18"/>
    <w:qFormat/>
    <w:uiPriority w:val="0"/>
    <w:rPr>
      <w:rFonts w:ascii="仿宋_GB2312" w:hAnsi="Times New Roman" w:eastAsia="仿宋_GB2312" w:cs="Times New Roman"/>
      <w:sz w:val="28"/>
      <w:szCs w:val="20"/>
    </w:rPr>
  </w:style>
  <w:style w:type="character" w:customStyle="1" w:styleId="227">
    <w:name w:val="纯文本 字符"/>
    <w:link w:val="23"/>
    <w:qFormat/>
    <w:uiPriority w:val="0"/>
    <w:rPr>
      <w:rFonts w:ascii="宋体" w:hAnsi="Courier New" w:eastAsia="宋体" w:cs="Courier New"/>
      <w:szCs w:val="21"/>
    </w:rPr>
  </w:style>
  <w:style w:type="character" w:customStyle="1" w:styleId="228">
    <w:name w:val="日期 字符"/>
    <w:link w:val="25"/>
    <w:qFormat/>
    <w:uiPriority w:val="0"/>
    <w:rPr>
      <w:rFonts w:ascii="Times New Roman" w:hAnsi="Times New Roman" w:eastAsia="宋体" w:cs="Times New Roman"/>
      <w:sz w:val="24"/>
      <w:szCs w:val="20"/>
    </w:rPr>
  </w:style>
  <w:style w:type="character" w:customStyle="1" w:styleId="229">
    <w:name w:val="正文文本缩进 2 字符"/>
    <w:link w:val="26"/>
    <w:qFormat/>
    <w:uiPriority w:val="0"/>
    <w:rPr>
      <w:rFonts w:ascii="Times New Roman" w:hAnsi="Times New Roman" w:eastAsia="仿宋_GB2312" w:cs="Times New Roman"/>
      <w:sz w:val="28"/>
      <w:szCs w:val="20"/>
    </w:rPr>
  </w:style>
  <w:style w:type="character" w:customStyle="1" w:styleId="230">
    <w:name w:val="批注框文本 字符"/>
    <w:link w:val="28"/>
    <w:semiHidden/>
    <w:qFormat/>
    <w:uiPriority w:val="0"/>
    <w:rPr>
      <w:sz w:val="18"/>
      <w:szCs w:val="18"/>
    </w:rPr>
  </w:style>
  <w:style w:type="character" w:customStyle="1" w:styleId="231">
    <w:name w:val="页脚 字符"/>
    <w:link w:val="29"/>
    <w:qFormat/>
    <w:uiPriority w:val="99"/>
    <w:rPr>
      <w:rFonts w:ascii="Times New Roman" w:hAnsi="Times New Roman" w:eastAsia="宋体" w:cs="Times New Roman"/>
      <w:sz w:val="18"/>
      <w:szCs w:val="20"/>
    </w:rPr>
  </w:style>
  <w:style w:type="character" w:customStyle="1" w:styleId="232">
    <w:name w:val="页眉 字符"/>
    <w:link w:val="30"/>
    <w:qFormat/>
    <w:uiPriority w:val="0"/>
    <w:rPr>
      <w:rFonts w:ascii="Times New Roman" w:hAnsi="Times New Roman" w:eastAsia="宋体" w:cs="Times New Roman"/>
      <w:sz w:val="18"/>
      <w:szCs w:val="18"/>
    </w:rPr>
  </w:style>
  <w:style w:type="paragraph" w:customStyle="1" w:styleId="233">
    <w:name w:val="目录 11"/>
    <w:basedOn w:val="1"/>
    <w:next w:val="1"/>
    <w:semiHidden/>
    <w:qFormat/>
    <w:uiPriority w:val="0"/>
    <w:rPr>
      <w:sz w:val="24"/>
    </w:rPr>
  </w:style>
  <w:style w:type="character" w:customStyle="1" w:styleId="234">
    <w:name w:val="正文文本缩进 3 字符"/>
    <w:link w:val="37"/>
    <w:qFormat/>
    <w:uiPriority w:val="0"/>
    <w:rPr>
      <w:rFonts w:ascii="Times New Roman" w:hAnsi="Times New Roman" w:eastAsia="宋体" w:cs="Times New Roman"/>
      <w:sz w:val="16"/>
      <w:szCs w:val="16"/>
    </w:rPr>
  </w:style>
  <w:style w:type="character" w:customStyle="1" w:styleId="235">
    <w:name w:val="正文文本 2 字符"/>
    <w:link w:val="41"/>
    <w:qFormat/>
    <w:uiPriority w:val="0"/>
    <w:rPr>
      <w:rFonts w:ascii="Times New Roman" w:hAnsi="Times New Roman" w:eastAsia="宋体" w:cs="Times New Roman"/>
      <w:b/>
      <w:bCs/>
      <w:sz w:val="18"/>
      <w:szCs w:val="24"/>
    </w:rPr>
  </w:style>
  <w:style w:type="character" w:customStyle="1" w:styleId="236">
    <w:name w:val="HTML 预设格式 字符"/>
    <w:link w:val="42"/>
    <w:qFormat/>
    <w:uiPriority w:val="0"/>
    <w:rPr>
      <w:rFonts w:ascii="等线 Light" w:hAnsi="等线 Light" w:eastAsia="幼圆" w:cs="等线 Light"/>
      <w:sz w:val="24"/>
      <w:szCs w:val="22"/>
    </w:rPr>
  </w:style>
  <w:style w:type="paragraph" w:customStyle="1" w:styleId="237">
    <w:name w:val="正文首行缩进1"/>
    <w:basedOn w:val="17"/>
    <w:link w:val="238"/>
    <w:qFormat/>
    <w:uiPriority w:val="0"/>
    <w:pPr>
      <w:spacing w:after="120"/>
      <w:ind w:firstLine="420"/>
    </w:pPr>
    <w:rPr>
      <w:rFonts w:ascii="Times New Roman" w:eastAsia="宋体"/>
      <w:szCs w:val="24"/>
    </w:rPr>
  </w:style>
  <w:style w:type="character" w:customStyle="1" w:styleId="238">
    <w:name w:val="正文文本首行缩进 字符"/>
    <w:link w:val="237"/>
    <w:qFormat/>
    <w:uiPriority w:val="0"/>
    <w:rPr>
      <w:rFonts w:ascii="Times New Roman" w:hAnsi="Times New Roman" w:eastAsia="宋体" w:cs="Times New Roman"/>
      <w:sz w:val="24"/>
      <w:szCs w:val="24"/>
    </w:rPr>
  </w:style>
  <w:style w:type="character" w:customStyle="1" w:styleId="239">
    <w:name w:val="已访问的超链接1"/>
    <w:qFormat/>
    <w:uiPriority w:val="0"/>
    <w:rPr>
      <w:color w:val="800080"/>
      <w:u w:val="single"/>
    </w:rPr>
  </w:style>
  <w:style w:type="character" w:customStyle="1" w:styleId="240">
    <w:name w:val="列表段落 字符1"/>
    <w:link w:val="93"/>
    <w:qFormat/>
    <w:uiPriority w:val="99"/>
  </w:style>
  <w:style w:type="character" w:customStyle="1" w:styleId="241">
    <w:name w:val="文档结构图 Char1"/>
    <w:semiHidden/>
    <w:qFormat/>
    <w:uiPriority w:val="99"/>
    <w:rPr>
      <w:rFonts w:ascii="宋体" w:hAnsi="Times New Roman" w:eastAsia="宋体" w:cs="Times New Roman"/>
      <w:sz w:val="18"/>
      <w:szCs w:val="18"/>
    </w:rPr>
  </w:style>
  <w:style w:type="character" w:customStyle="1" w:styleId="242">
    <w:name w:val="普通正文 Char"/>
    <w:link w:val="243"/>
    <w:qFormat/>
    <w:uiPriority w:val="0"/>
    <w:rPr>
      <w:rFonts w:ascii="Arial" w:hAnsi="Arial"/>
      <w:sz w:val="24"/>
      <w:szCs w:val="24"/>
    </w:rPr>
  </w:style>
  <w:style w:type="paragraph" w:customStyle="1" w:styleId="243">
    <w:name w:val="普通正文"/>
    <w:basedOn w:val="1"/>
    <w:link w:val="242"/>
    <w:qFormat/>
    <w:uiPriority w:val="0"/>
    <w:pPr>
      <w:spacing w:before="120" w:after="120" w:line="360" w:lineRule="auto"/>
      <w:ind w:left="-2" w:right="120" w:firstLine="480"/>
      <w:jc w:val="center"/>
    </w:pPr>
    <w:rPr>
      <w:rFonts w:ascii="Arial" w:hAnsi="Arial"/>
      <w:sz w:val="24"/>
    </w:rPr>
  </w:style>
  <w:style w:type="character" w:customStyle="1" w:styleId="244">
    <w:name w:val="FA正文 Char"/>
    <w:link w:val="245"/>
    <w:qFormat/>
    <w:uiPriority w:val="0"/>
    <w:rPr>
      <w:rFonts w:ascii="宋体" w:hAnsi="宋体" w:eastAsia="宋体" w:cs="Times New Roman"/>
      <w:sz w:val="28"/>
      <w:szCs w:val="28"/>
    </w:rPr>
  </w:style>
  <w:style w:type="paragraph" w:customStyle="1" w:styleId="245">
    <w:name w:val="FA正文"/>
    <w:basedOn w:val="1"/>
    <w:link w:val="244"/>
    <w:qFormat/>
    <w:uiPriority w:val="0"/>
    <w:pPr>
      <w:tabs>
        <w:tab w:val="left" w:pos="3375"/>
      </w:tabs>
      <w:spacing w:line="440" w:lineRule="atLeast"/>
      <w:ind w:firstLine="538"/>
    </w:pPr>
    <w:rPr>
      <w:rFonts w:ascii="宋体" w:hAnsi="宋体"/>
      <w:sz w:val="28"/>
      <w:szCs w:val="28"/>
    </w:rPr>
  </w:style>
  <w:style w:type="character" w:customStyle="1" w:styleId="246">
    <w:name w:val="正文缩进2格 Char"/>
    <w:link w:val="247"/>
    <w:qFormat/>
    <w:uiPriority w:val="0"/>
    <w:rPr>
      <w:rFonts w:ascii="仿宋_GB2312" w:hAnsi="宋体" w:eastAsia="仿宋_GB2312" w:cs="Times New Roman"/>
      <w:sz w:val="31"/>
      <w:szCs w:val="28"/>
    </w:rPr>
  </w:style>
  <w:style w:type="paragraph" w:customStyle="1" w:styleId="247">
    <w:name w:val="正文缩进2格"/>
    <w:basedOn w:val="1"/>
    <w:link w:val="246"/>
    <w:qFormat/>
    <w:uiPriority w:val="0"/>
    <w:pPr>
      <w:spacing w:line="600" w:lineRule="exact"/>
      <w:ind w:firstLine="639"/>
    </w:pPr>
    <w:rPr>
      <w:rFonts w:ascii="仿宋_GB2312" w:hAnsi="宋体" w:eastAsia="仿宋_GB2312"/>
      <w:sz w:val="31"/>
      <w:szCs w:val="28"/>
    </w:rPr>
  </w:style>
  <w:style w:type="character" w:customStyle="1" w:styleId="248">
    <w:name w:val="cn_text1"/>
    <w:qFormat/>
    <w:uiPriority w:val="0"/>
    <w:rPr>
      <w:rFonts w:ascii="ˎ̥" w:hAnsi="ˎ̥"/>
      <w:color w:val="003399"/>
      <w:spacing w:val="15"/>
      <w:sz w:val="18"/>
      <w:szCs w:val="18"/>
    </w:rPr>
  </w:style>
  <w:style w:type="character" w:customStyle="1" w:styleId="249">
    <w:name w:val="ssss Char"/>
    <w:qFormat/>
    <w:uiPriority w:val="0"/>
    <w:rPr>
      <w:rFonts w:eastAsia="宋体"/>
      <w:sz w:val="24"/>
      <w:szCs w:val="24"/>
      <w:lang w:val="en-US" w:eastAsia="zh-CN" w:bidi="ar-SA"/>
    </w:rPr>
  </w:style>
  <w:style w:type="character" w:customStyle="1" w:styleId="250">
    <w:name w:val="ssss Char1"/>
    <w:link w:val="251"/>
    <w:qFormat/>
    <w:uiPriority w:val="0"/>
    <w:rPr>
      <w:rFonts w:ascii="Times New Roman" w:hAnsi="Times New Roman" w:eastAsia="宋体" w:cs="Times New Roman"/>
      <w:sz w:val="24"/>
      <w:szCs w:val="24"/>
    </w:rPr>
  </w:style>
  <w:style w:type="paragraph" w:customStyle="1" w:styleId="251">
    <w:name w:val="ssss"/>
    <w:basedOn w:val="1"/>
    <w:link w:val="250"/>
    <w:qFormat/>
    <w:uiPriority w:val="0"/>
    <w:pPr>
      <w:spacing w:line="360" w:lineRule="auto"/>
      <w:ind w:firstLine="480"/>
    </w:pPr>
    <w:rPr>
      <w:sz w:val="24"/>
    </w:rPr>
  </w:style>
  <w:style w:type="character" w:customStyle="1" w:styleId="252">
    <w:name w:val="标题 4 Char1"/>
    <w:qFormat/>
    <w:uiPriority w:val="0"/>
    <w:rPr>
      <w:rFonts w:ascii="Arial" w:hAnsi="Arial" w:eastAsia="黑体"/>
      <w:b/>
      <w:bCs/>
      <w:sz w:val="28"/>
      <w:szCs w:val="28"/>
      <w:lang w:val="en-US" w:eastAsia="zh-CN" w:bidi="ar-SA"/>
    </w:rPr>
  </w:style>
  <w:style w:type="character" w:customStyle="1" w:styleId="253">
    <w:name w:val="列表段落 字符"/>
    <w:qFormat/>
    <w:uiPriority w:val="34"/>
    <w:rPr>
      <w:rFonts w:ascii="Calibri" w:hAnsi="Calibri"/>
      <w:sz w:val="21"/>
      <w:szCs w:val="22"/>
    </w:rPr>
  </w:style>
  <w:style w:type="character" w:customStyle="1" w:styleId="254">
    <w:name w:val="批注框文本 Char1"/>
    <w:semiHidden/>
    <w:qFormat/>
    <w:uiPriority w:val="99"/>
    <w:rPr>
      <w:rFonts w:ascii="Times New Roman" w:hAnsi="Times New Roman" w:eastAsia="宋体" w:cs="Times New Roman"/>
      <w:sz w:val="18"/>
      <w:szCs w:val="18"/>
    </w:rPr>
  </w:style>
  <w:style w:type="character" w:customStyle="1" w:styleId="255">
    <w:name w:val="样式 ssss + 宋体 五号1 Char"/>
    <w:link w:val="256"/>
    <w:qFormat/>
    <w:uiPriority w:val="0"/>
    <w:rPr>
      <w:rFonts w:ascii="宋体" w:hAnsi="宋体" w:eastAsia="宋体" w:cs="Times New Roman"/>
      <w:sz w:val="24"/>
      <w:szCs w:val="24"/>
    </w:rPr>
  </w:style>
  <w:style w:type="paragraph" w:customStyle="1" w:styleId="256">
    <w:name w:val="样式 ssss + 宋体 五号1"/>
    <w:basedOn w:val="251"/>
    <w:link w:val="255"/>
    <w:qFormat/>
    <w:uiPriority w:val="0"/>
    <w:rPr>
      <w:rFonts w:ascii="宋体" w:hAnsi="宋体"/>
    </w:rPr>
  </w:style>
  <w:style w:type="character" w:customStyle="1" w:styleId="257">
    <w:name w:val="point_normal1"/>
    <w:qFormat/>
    <w:uiPriority w:val="0"/>
    <w:rPr>
      <w:rFonts w:ascii="Arial" w:hAnsi="Arial" w:cs="Arial"/>
      <w:sz w:val="16"/>
      <w:szCs w:val="16"/>
    </w:rPr>
  </w:style>
  <w:style w:type="paragraph" w:customStyle="1" w:styleId="258">
    <w:name w:val="样式 正文文本缩进 3 + 四号"/>
    <w:basedOn w:val="37"/>
    <w:qFormat/>
    <w:uiPriority w:val="0"/>
    <w:pPr>
      <w:spacing w:after="0" w:line="360" w:lineRule="auto"/>
      <w:ind w:left="0" w:firstLine="437"/>
    </w:pPr>
    <w:rPr>
      <w:sz w:val="24"/>
      <w:szCs w:val="21"/>
    </w:rPr>
  </w:style>
  <w:style w:type="paragraph" w:customStyle="1" w:styleId="259">
    <w:name w:val="2cxsplast"/>
    <w:basedOn w:val="1"/>
    <w:qFormat/>
    <w:uiPriority w:val="0"/>
    <w:pPr>
      <w:widowControl/>
      <w:spacing w:before="100" w:beforeAutospacing="1" w:after="100" w:afterAutospacing="1"/>
      <w:jc w:val="left"/>
    </w:pPr>
    <w:rPr>
      <w:rFonts w:ascii="宋体" w:hAnsi="宋体" w:cs="宋体"/>
      <w:sz w:val="24"/>
    </w:rPr>
  </w:style>
  <w:style w:type="paragraph" w:customStyle="1" w:styleId="260">
    <w:name w:val="ec_msonormal"/>
    <w:basedOn w:val="1"/>
    <w:qFormat/>
    <w:uiPriority w:val="0"/>
    <w:pPr>
      <w:widowControl/>
      <w:spacing w:before="100" w:beforeAutospacing="1" w:after="100" w:afterAutospacing="1"/>
      <w:jc w:val="left"/>
    </w:pPr>
    <w:rPr>
      <w:rFonts w:ascii="宋体" w:hAnsi="宋体"/>
      <w:sz w:val="24"/>
    </w:rPr>
  </w:style>
  <w:style w:type="paragraph" w:customStyle="1" w:styleId="261">
    <w:name w:val="Char Char Char Char"/>
    <w:basedOn w:val="1"/>
    <w:qFormat/>
    <w:uiPriority w:val="0"/>
    <w:rPr>
      <w:rFonts w:ascii="Tahoma" w:hAnsi="Tahoma"/>
      <w:sz w:val="24"/>
      <w:szCs w:val="20"/>
    </w:rPr>
  </w:style>
  <w:style w:type="paragraph" w:customStyle="1" w:styleId="262">
    <w:name w:val="Char Char Char Char Char Char Char Char Char Char Char Char Char"/>
    <w:basedOn w:val="1"/>
    <w:qFormat/>
    <w:uiPriority w:val="0"/>
  </w:style>
  <w:style w:type="paragraph" w:customStyle="1" w:styleId="263">
    <w:name w:val="表格正文"/>
    <w:basedOn w:val="1"/>
    <w:qFormat/>
    <w:uiPriority w:val="0"/>
    <w:pPr>
      <w:spacing w:line="360" w:lineRule="auto"/>
      <w:jc w:val="left"/>
    </w:pPr>
    <w:rPr>
      <w:rFonts w:ascii="Calibri" w:hAnsi="Calibri"/>
      <w:color w:val="000000"/>
      <w:szCs w:val="28"/>
    </w:rPr>
  </w:style>
  <w:style w:type="paragraph" w:customStyle="1" w:styleId="264">
    <w:name w:val="Normal1"/>
    <w:qFormat/>
    <w:uiPriority w:val="0"/>
    <w:pPr>
      <w:widowControl w:val="0"/>
      <w:spacing w:line="315" w:lineRule="atLeast"/>
      <w:jc w:val="both"/>
    </w:pPr>
    <w:rPr>
      <w:rFonts w:ascii="宋体" w:hAnsi="Times New Roman" w:eastAsia="宋体" w:cs="Times New Roman"/>
      <w:sz w:val="24"/>
      <w:lang w:val="en-US" w:eastAsia="zh-CN" w:bidi="ar-SA"/>
    </w:rPr>
  </w:style>
  <w:style w:type="paragraph" w:customStyle="1" w:styleId="265">
    <w:name w:val="Char Char Char Char1"/>
    <w:basedOn w:val="1"/>
    <w:qFormat/>
    <w:uiPriority w:val="0"/>
    <w:rPr>
      <w:rFonts w:ascii="Tahoma" w:hAnsi="Tahoma"/>
      <w:sz w:val="24"/>
      <w:szCs w:val="20"/>
    </w:rPr>
  </w:style>
  <w:style w:type="paragraph" w:customStyle="1" w:styleId="266">
    <w:name w:val="Char Char Char"/>
    <w:basedOn w:val="1"/>
    <w:qFormat/>
    <w:uiPriority w:val="0"/>
    <w:rPr>
      <w:rFonts w:ascii="Tahoma" w:hAnsi="Tahoma"/>
      <w:sz w:val="24"/>
      <w:szCs w:val="20"/>
    </w:rPr>
  </w:style>
  <w:style w:type="paragraph" w:customStyle="1" w:styleId="267">
    <w:name w:val="标题-----3"/>
    <w:basedOn w:val="4"/>
    <w:qFormat/>
    <w:uiPriority w:val="0"/>
    <w:pPr>
      <w:spacing w:before="0" w:after="0" w:line="240" w:lineRule="auto"/>
      <w:outlineLvl w:val="0"/>
    </w:pPr>
    <w:rPr>
      <w:rFonts w:ascii="宋体" w:hAnsi="宋体"/>
      <w:b w:val="0"/>
      <w:bCs w:val="0"/>
      <w:sz w:val="28"/>
      <w:szCs w:val="28"/>
    </w:rPr>
  </w:style>
  <w:style w:type="paragraph" w:customStyle="1" w:styleId="268">
    <w:name w:val="样式 ssss + 居中"/>
    <w:basedOn w:val="251"/>
    <w:qFormat/>
    <w:uiPriority w:val="0"/>
    <w:pPr>
      <w:jc w:val="center"/>
    </w:pPr>
    <w:rPr>
      <w:rFonts w:cs="宋体"/>
      <w:szCs w:val="20"/>
    </w:rPr>
  </w:style>
  <w:style w:type="paragraph" w:customStyle="1" w:styleId="269">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270">
    <w:name w:val="样式 样式 ssss + 宋体 五号 + 首行缩进:  2 字符"/>
    <w:basedOn w:val="271"/>
    <w:qFormat/>
    <w:uiPriority w:val="0"/>
    <w:pPr>
      <w:ind w:firstLine="480"/>
    </w:pPr>
  </w:style>
  <w:style w:type="paragraph" w:customStyle="1" w:styleId="271">
    <w:name w:val="样式 ssss + 宋体 五号"/>
    <w:basedOn w:val="251"/>
    <w:qFormat/>
    <w:uiPriority w:val="0"/>
    <w:pPr>
      <w:ind w:firstLine="420"/>
    </w:pPr>
    <w:rPr>
      <w:rFonts w:ascii="宋体" w:hAnsi="宋体" w:cs="宋体"/>
      <w:szCs w:val="20"/>
    </w:rPr>
  </w:style>
  <w:style w:type="paragraph" w:customStyle="1" w:styleId="272">
    <w:name w:val="msonormalcxsplast"/>
    <w:basedOn w:val="1"/>
    <w:qFormat/>
    <w:uiPriority w:val="0"/>
    <w:pPr>
      <w:widowControl/>
      <w:spacing w:before="100" w:beforeAutospacing="1" w:after="100" w:afterAutospacing="1"/>
      <w:jc w:val="left"/>
    </w:pPr>
    <w:rPr>
      <w:rFonts w:ascii="宋体" w:hAnsi="宋体" w:cs="宋体"/>
      <w:sz w:val="24"/>
    </w:rPr>
  </w:style>
  <w:style w:type="paragraph" w:customStyle="1" w:styleId="273">
    <w:name w:val="Char"/>
    <w:basedOn w:val="1"/>
    <w:qFormat/>
    <w:uiPriority w:val="0"/>
    <w:rPr>
      <w:rFonts w:ascii="Tahoma" w:hAnsi="Tahoma"/>
      <w:sz w:val="24"/>
      <w:szCs w:val="20"/>
    </w:rPr>
  </w:style>
  <w:style w:type="paragraph" w:customStyle="1" w:styleId="274">
    <w:name w:val="xl25"/>
    <w:basedOn w:val="1"/>
    <w:qFormat/>
    <w:uiPriority w:val="0"/>
    <w:pPr>
      <w:widowControl/>
      <w:pBdr>
        <w:bottom w:val="single" w:color="000000" w:sz="4" w:space="0"/>
        <w:right w:val="single" w:color="000000" w:sz="4" w:space="0"/>
      </w:pBdr>
      <w:spacing w:before="100" w:beforeAutospacing="1" w:after="100" w:afterAutospacing="1"/>
    </w:pPr>
    <w:rPr>
      <w:rFonts w:hint="eastAsia" w:ascii="华文细黑" w:hAnsi="华文细黑" w:eastAsia="华文细黑"/>
      <w:sz w:val="18"/>
      <w:szCs w:val="18"/>
    </w:rPr>
  </w:style>
  <w:style w:type="paragraph" w:customStyle="1" w:styleId="275">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276">
    <w:name w:val="msonormalcxspmiddle"/>
    <w:basedOn w:val="1"/>
    <w:qFormat/>
    <w:uiPriority w:val="0"/>
    <w:pPr>
      <w:widowControl/>
      <w:spacing w:before="100" w:beforeAutospacing="1" w:after="100" w:afterAutospacing="1"/>
      <w:jc w:val="left"/>
    </w:pPr>
    <w:rPr>
      <w:rFonts w:ascii="宋体" w:hAnsi="宋体" w:cs="宋体"/>
      <w:sz w:val="24"/>
    </w:rPr>
  </w:style>
  <w:style w:type="paragraph" w:customStyle="1" w:styleId="277">
    <w:name w:val="Char Char Char Char Char Char Char Char Char Char Char Char Char1"/>
    <w:basedOn w:val="1"/>
    <w:qFormat/>
    <w:uiPriority w:val="0"/>
    <w:rPr>
      <w:sz w:val="24"/>
    </w:rPr>
  </w:style>
  <w:style w:type="paragraph" w:customStyle="1" w:styleId="278">
    <w:name w:val="表格"/>
    <w:basedOn w:val="1"/>
    <w:qFormat/>
    <w:uiPriority w:val="0"/>
    <w:rPr>
      <w:rFonts w:ascii="Arial" w:hAnsi="Arial"/>
      <w:sz w:val="24"/>
    </w:rPr>
  </w:style>
  <w:style w:type="paragraph" w:customStyle="1" w:styleId="279">
    <w:name w:val="正文样式1"/>
    <w:basedOn w:val="1"/>
    <w:qFormat/>
    <w:uiPriority w:val="0"/>
    <w:pPr>
      <w:spacing w:before="120" w:after="120" w:line="360" w:lineRule="auto"/>
      <w:ind w:firstLine="480"/>
    </w:pPr>
    <w:rPr>
      <w:sz w:val="24"/>
      <w:szCs w:val="20"/>
    </w:rPr>
  </w:style>
  <w:style w:type="paragraph" w:customStyle="1" w:styleId="280">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281">
    <w:name w:val="Char Char Char Char Char Char Char Char Char Char"/>
    <w:basedOn w:val="1"/>
    <w:qFormat/>
    <w:uiPriority w:val="0"/>
    <w:rPr>
      <w:rFonts w:ascii="Tahoma" w:hAnsi="Tahoma"/>
      <w:sz w:val="24"/>
      <w:szCs w:val="20"/>
    </w:rPr>
  </w:style>
  <w:style w:type="paragraph" w:customStyle="1" w:styleId="282">
    <w:name w:val="Char1"/>
    <w:basedOn w:val="1"/>
    <w:qFormat/>
    <w:uiPriority w:val="0"/>
    <w:pPr>
      <w:tabs>
        <w:tab w:val="left" w:pos="360"/>
      </w:tabs>
    </w:pPr>
    <w:rPr>
      <w:sz w:val="24"/>
    </w:rPr>
  </w:style>
  <w:style w:type="paragraph" w:customStyle="1" w:styleId="283">
    <w:name w:val="标题1"/>
    <w:basedOn w:val="1"/>
    <w:next w:val="1"/>
    <w:qFormat/>
    <w:uiPriority w:val="0"/>
    <w:pPr>
      <w:tabs>
        <w:tab w:val="left" w:pos="9193"/>
        <w:tab w:val="left" w:pos="9827"/>
      </w:tabs>
      <w:spacing w:line="700" w:lineRule="atLeast"/>
      <w:jc w:val="center"/>
    </w:pPr>
    <w:rPr>
      <w:rFonts w:ascii="方正小标宋_GBK" w:eastAsia="方正小标宋_GBK"/>
      <w:sz w:val="44"/>
      <w:szCs w:val="20"/>
    </w:rPr>
  </w:style>
  <w:style w:type="paragraph" w:customStyle="1" w:styleId="284">
    <w:name w:val="Header2"/>
    <w:basedOn w:val="1"/>
    <w:qFormat/>
    <w:uiPriority w:val="0"/>
    <w:pPr>
      <w:numPr>
        <w:ilvl w:val="0"/>
        <w:numId w:val="1"/>
      </w:numPr>
    </w:pPr>
  </w:style>
  <w:style w:type="paragraph" w:customStyle="1" w:styleId="285">
    <w:name w:val="Char Char 字元 字元 字元 Char Char Char Char"/>
    <w:basedOn w:val="1"/>
    <w:qFormat/>
    <w:uiPriority w:val="0"/>
    <w:pPr>
      <w:spacing w:line="360" w:lineRule="auto"/>
    </w:pPr>
    <w:rPr>
      <w:sz w:val="24"/>
      <w:szCs w:val="20"/>
    </w:rPr>
  </w:style>
  <w:style w:type="paragraph" w:customStyle="1" w:styleId="286">
    <w:name w:val="2cxspmiddle"/>
    <w:basedOn w:val="1"/>
    <w:qFormat/>
    <w:uiPriority w:val="0"/>
    <w:pPr>
      <w:widowControl/>
      <w:spacing w:before="100" w:beforeAutospacing="1" w:after="100" w:afterAutospacing="1"/>
      <w:jc w:val="left"/>
    </w:pPr>
    <w:rPr>
      <w:rFonts w:ascii="宋体" w:hAnsi="宋体" w:cs="宋体"/>
      <w:sz w:val="24"/>
    </w:rPr>
  </w:style>
  <w:style w:type="paragraph" w:customStyle="1" w:styleId="287">
    <w:name w:val="正文_0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88">
    <w:name w:val="正文_1_0"/>
    <w:qFormat/>
    <w:uiPriority w:val="0"/>
    <w:pPr>
      <w:widowControl w:val="0"/>
      <w:jc w:val="both"/>
    </w:pPr>
    <w:rPr>
      <w:rFonts w:ascii="Times New Roman" w:hAnsi="Times New Roman" w:eastAsia="宋体" w:cs="Times New Roman"/>
      <w:sz w:val="21"/>
      <w:szCs w:val="24"/>
      <w:lang w:val="en-US" w:eastAsia="zh-CN" w:bidi="ar-SA"/>
    </w:rPr>
  </w:style>
  <w:style w:type="table" w:customStyle="1" w:styleId="289">
    <w:name w:val="网格型1"/>
    <w:basedOn w:val="47"/>
    <w:qFormat/>
    <w:uiPriority w:val="39"/>
    <w:rPr>
      <w:rFonts w:ascii="等线" w:hAnsi="等线" w:eastAsia="等线"/>
      <w:sz w:val="21"/>
      <w:szCs w:val="22"/>
    </w:rPr>
  </w:style>
  <w:style w:type="paragraph" w:customStyle="1" w:styleId="290">
    <w:name w:val="正文_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91">
    <w:name w:val="修订1"/>
    <w:unhideWhenUsed/>
    <w:qFormat/>
    <w:uiPriority w:val="99"/>
    <w:rPr>
      <w:rFonts w:ascii="Times New Roman" w:hAnsi="Times New Roman" w:eastAsia="宋体" w:cs="Times New Roman"/>
      <w:sz w:val="21"/>
      <w:szCs w:val="24"/>
      <w:lang w:val="en-US" w:eastAsia="zh-CN" w:bidi="ar-SA"/>
    </w:rPr>
  </w:style>
  <w:style w:type="paragraph" w:customStyle="1" w:styleId="292">
    <w:name w:val="列出段落1"/>
    <w:basedOn w:val="1"/>
    <w:qFormat/>
    <w:uiPriority w:val="0"/>
    <w:pPr>
      <w:ind w:firstLine="200"/>
    </w:pPr>
    <w:rPr>
      <w:rFonts w:ascii="Wingdings" w:hAnsi="Wingdings" w:eastAsia="幼圆" w:cs="Helvetica-Light"/>
      <w:szCs w:val="22"/>
    </w:rPr>
  </w:style>
  <w:style w:type="paragraph" w:customStyle="1" w:styleId="293">
    <w:name w:val="Char1 Char Char Char"/>
    <w:basedOn w:val="1"/>
    <w:qFormat/>
    <w:uiPriority w:val="0"/>
    <w:pPr>
      <w:widowControl/>
      <w:spacing w:after="160" w:line="240" w:lineRule="exact"/>
      <w:jc w:val="left"/>
    </w:pPr>
    <w:rPr>
      <w:szCs w:val="20"/>
    </w:rPr>
  </w:style>
  <w:style w:type="paragraph" w:customStyle="1" w:styleId="294">
    <w:name w:val="正文_2"/>
    <w:qFormat/>
    <w:uiPriority w:val="0"/>
    <w:pPr>
      <w:widowControl w:val="0"/>
      <w:jc w:val="both"/>
    </w:pPr>
    <w:rPr>
      <w:rFonts w:ascii="等线" w:hAnsi="等线" w:eastAsia="等线" w:cs="等线"/>
      <w:sz w:val="21"/>
      <w:lang w:val="en-US" w:eastAsia="zh-CN" w:bidi="ar-SA"/>
    </w:rPr>
  </w:style>
  <w:style w:type="paragraph" w:customStyle="1" w:styleId="295">
    <w:name w:val="列表段落4"/>
    <w:basedOn w:val="1"/>
    <w:qFormat/>
    <w:uiPriority w:val="34"/>
    <w:pPr>
      <w:ind w:firstLine="420"/>
    </w:pPr>
    <w:rPr>
      <w:szCs w:val="22"/>
    </w:rPr>
  </w:style>
  <w:style w:type="character" w:customStyle="1" w:styleId="296">
    <w:name w:val="font51"/>
    <w:basedOn w:val="49"/>
    <w:qFormat/>
    <w:uiPriority w:val="0"/>
    <w:rPr>
      <w:rFonts w:hint="eastAsia" w:ascii="宋体" w:hAnsi="宋体" w:eastAsia="宋体" w:cs="宋体"/>
      <w:color w:val="000000"/>
      <w:sz w:val="24"/>
      <w:szCs w:val="24"/>
      <w:u w:val="none"/>
    </w:rPr>
  </w:style>
  <w:style w:type="character" w:customStyle="1" w:styleId="297">
    <w:name w:val="font71"/>
    <w:basedOn w:val="49"/>
    <w:qFormat/>
    <w:uiPriority w:val="0"/>
    <w:rPr>
      <w:rFonts w:hint="eastAsia" w:ascii="宋体" w:hAnsi="宋体" w:eastAsia="宋体" w:cs="宋体"/>
      <w:color w:val="000000"/>
      <w:sz w:val="24"/>
      <w:szCs w:val="24"/>
      <w:u w:val="none"/>
    </w:rPr>
  </w:style>
  <w:style w:type="character" w:customStyle="1" w:styleId="298">
    <w:name w:val="font61"/>
    <w:basedOn w:val="49"/>
    <w:qFormat/>
    <w:uiPriority w:val="0"/>
    <w:rPr>
      <w:rFonts w:hint="eastAsia" w:ascii="宋体" w:hAnsi="宋体" w:eastAsia="宋体" w:cs="宋体"/>
      <w:color w:val="000000"/>
      <w:sz w:val="24"/>
      <w:szCs w:val="24"/>
      <w:u w:val="none"/>
    </w:rPr>
  </w:style>
  <w:style w:type="character" w:customStyle="1" w:styleId="299">
    <w:name w:val="font81"/>
    <w:basedOn w:val="49"/>
    <w:qFormat/>
    <w:uiPriority w:val="0"/>
    <w:rPr>
      <w:rFonts w:hint="eastAsia" w:ascii="宋体" w:hAnsi="宋体" w:eastAsia="宋体" w:cs="宋体"/>
      <w:color w:val="000000"/>
      <w:sz w:val="24"/>
      <w:szCs w:val="24"/>
      <w:u w:val="none"/>
    </w:rPr>
  </w:style>
  <w:style w:type="character" w:customStyle="1" w:styleId="300">
    <w:name w:val="NormalCharacter"/>
    <w:qFormat/>
    <w:uiPriority w:val="0"/>
  </w:style>
  <w:style w:type="paragraph" w:customStyle="1" w:styleId="301">
    <w:name w:val="BodyText1I2"/>
    <w:basedOn w:val="302"/>
    <w:qFormat/>
    <w:uiPriority w:val="0"/>
    <w:pPr>
      <w:ind w:firstLine="420"/>
    </w:pPr>
  </w:style>
  <w:style w:type="paragraph" w:customStyle="1" w:styleId="302">
    <w:name w:val="BodyTextIndent"/>
    <w:basedOn w:val="1"/>
    <w:next w:val="303"/>
    <w:qFormat/>
    <w:uiPriority w:val="0"/>
    <w:pPr>
      <w:spacing w:line="520" w:lineRule="exact"/>
      <w:ind w:left="570"/>
    </w:pPr>
    <w:rPr>
      <w:rFonts w:ascii="方正仿宋简体" w:hAnsi="创艺简仿宋" w:eastAsia="方正仿宋简体"/>
      <w:sz w:val="24"/>
    </w:rPr>
  </w:style>
  <w:style w:type="paragraph" w:customStyle="1" w:styleId="303">
    <w:name w:val="EnvelopeReturn"/>
    <w:basedOn w:val="1"/>
    <w:qFormat/>
    <w:uiPriority w:val="0"/>
    <w:rPr>
      <w:rFonts w:ascii="Arial" w:hAnsi="Arial"/>
    </w:rPr>
  </w:style>
  <w:style w:type="paragraph" w:customStyle="1" w:styleId="304">
    <w:name w:val="Table Paragraph"/>
    <w:basedOn w:val="1"/>
    <w:qFormat/>
    <w:uiPriority w:val="1"/>
    <w:pPr>
      <w:spacing w:before="31"/>
      <w:ind w:left="107"/>
    </w:pPr>
    <w:rPr>
      <w:rFonts w:ascii="微软雅黑" w:hAnsi="微软雅黑" w:eastAsia="微软雅黑" w:cs="微软雅黑"/>
    </w:rPr>
  </w:style>
  <w:style w:type="paragraph" w:customStyle="1" w:styleId="305">
    <w:name w:val="正文文本1"/>
    <w:basedOn w:val="1"/>
    <w:next w:val="1"/>
    <w:qFormat/>
    <w:uiPriority w:val="0"/>
    <w:rPr>
      <w:rFonts w:ascii="仿宋_GB2312" w:eastAsia="仿宋_GB2312"/>
      <w:sz w:val="24"/>
      <w:szCs w:val="20"/>
    </w:rPr>
  </w:style>
  <w:style w:type="paragraph" w:customStyle="1" w:styleId="30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customStyle="1" w:styleId="307">
    <w:name w:val="Body text|1"/>
    <w:basedOn w:val="1"/>
    <w:qFormat/>
    <w:uiPriority w:val="0"/>
    <w:pPr>
      <w:spacing w:line="384" w:lineRule="auto"/>
      <w:ind w:firstLine="400"/>
    </w:pPr>
    <w:rPr>
      <w:rFonts w:ascii="宋体" w:hAnsi="宋体" w:cs="宋体"/>
      <w:sz w:val="26"/>
      <w:szCs w:val="26"/>
      <w:lang w:val="zh-TW" w:eastAsia="zh-TW" w:bidi="zh-TW"/>
    </w:rPr>
  </w:style>
  <w:style w:type="paragraph" w:customStyle="1" w:styleId="308">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48</Pages>
  <Words>11602</Words>
  <Characters>12235</Characters>
  <Lines>193</Lines>
  <Paragraphs>54</Paragraphs>
  <TotalTime>3</TotalTime>
  <ScaleCrop>false</ScaleCrop>
  <LinksUpToDate>false</LinksUpToDate>
  <CharactersWithSpaces>12426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2024-06-03T06:42:00Z</dcterms:created>
  <dc:creator>US</dc:creator>
  <cp:lastModifiedBy>WPS_1542117345</cp:lastModifiedBy>
  <dcterms:modified xsi:type="dcterms:W3CDTF">2025-12-29T03:10:23Z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DA694FA7475E4CF3864E0995D529A923</vt:lpwstr>
  </property>
  <property fmtid="{D5CDD505-2E9C-101B-9397-08002B2CF9AE}" pid="4" name="KSOTemplateDocerSaveRecord">
    <vt:lpwstr>eyJoZGlkIjoiZmMxNTFmN2NlZTk0MGQ1OTkxM2M1ZDNhNDkyN2Q1NDciLCJ1c2VySWQiOiI0Mjc4NTY2NzMifQ==</vt:lpwstr>
  </property>
</Properties>
</file>