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A1EA46D">
      <w:pPr>
        <w:tabs>
          <w:tab w:val="left" w:pos="6300"/>
        </w:tabs>
        <w:snapToGrid w:val="0"/>
        <w:spacing w:line="300" w:lineRule="auto"/>
        <w:jc w:val="center"/>
        <w:rPr>
          <w:rFonts w:hint="eastAsia" w:ascii="宋体" w:hAnsi="宋体" w:eastAsia="宋体" w:cs="宋体"/>
          <w:w w:val="80"/>
          <w:sz w:val="44"/>
          <w:szCs w:val="44"/>
        </w:rPr>
      </w:pPr>
    </w:p>
    <w:p w14:paraId="2496A2C5">
      <w:pPr>
        <w:shd w:val="clear" w:color="auto" w:fill="FFFFFF"/>
        <w:spacing w:line="560" w:lineRule="exact"/>
        <w:ind w:right="-197" w:rightChars="-94"/>
        <w:jc w:val="center"/>
        <w:rPr>
          <w:rFonts w:hint="eastAsia" w:ascii="宋体" w:hAnsi="宋体" w:eastAsia="宋体" w:cs="宋体"/>
          <w:b/>
          <w:bCs/>
          <w:kern w:val="2"/>
          <w:sz w:val="40"/>
          <w:szCs w:val="40"/>
        </w:rPr>
      </w:pPr>
    </w:p>
    <w:p w14:paraId="41EF29BF">
      <w:pPr>
        <w:shd w:val="clear" w:color="auto" w:fill="FFFFFF"/>
        <w:spacing w:line="560" w:lineRule="exact"/>
        <w:ind w:right="-197" w:rightChars="-94"/>
        <w:jc w:val="center"/>
        <w:rPr>
          <w:rFonts w:hint="eastAsia" w:ascii="宋体" w:hAnsi="宋体" w:eastAsia="宋体" w:cs="宋体"/>
          <w:b/>
          <w:bCs/>
          <w:kern w:val="2"/>
          <w:sz w:val="40"/>
          <w:szCs w:val="40"/>
        </w:rPr>
      </w:pPr>
    </w:p>
    <w:p w14:paraId="360D64E5">
      <w:pPr>
        <w:tabs>
          <w:tab w:val="left" w:pos="6300"/>
        </w:tabs>
        <w:snapToGrid w:val="0"/>
        <w:spacing w:line="300" w:lineRule="auto"/>
        <w:jc w:val="center"/>
        <w:rPr>
          <w:rFonts w:hint="eastAsia" w:ascii="宋体" w:hAnsi="宋体" w:eastAsia="宋体" w:cs="宋体"/>
          <w:b/>
          <w:bCs/>
          <w:kern w:val="2"/>
          <w:sz w:val="40"/>
          <w:szCs w:val="40"/>
        </w:rPr>
      </w:pPr>
      <w:bookmarkStart w:id="0" w:name="OLE_LINK12"/>
      <w:r>
        <w:rPr>
          <w:rFonts w:hint="eastAsia" w:ascii="宋体" w:hAnsi="宋体" w:eastAsia="宋体" w:cs="宋体"/>
          <w:b/>
          <w:bCs/>
          <w:kern w:val="2"/>
          <w:sz w:val="40"/>
          <w:szCs w:val="40"/>
        </w:rPr>
        <w:t>南通市交通运输综合行政执法支队</w:t>
      </w:r>
      <w:bookmarkStart w:id="1" w:name="OLE_LINK4"/>
      <w:r>
        <w:rPr>
          <w:rFonts w:hint="eastAsia" w:ascii="宋体" w:hAnsi="宋体" w:eastAsia="宋体" w:cs="宋体"/>
          <w:b/>
          <w:bCs/>
          <w:kern w:val="2"/>
          <w:sz w:val="40"/>
          <w:szCs w:val="40"/>
        </w:rPr>
        <w:t>制服采购项目</w:t>
      </w:r>
      <w:bookmarkEnd w:id="1"/>
    </w:p>
    <w:p w14:paraId="0F21577C">
      <w:pPr>
        <w:tabs>
          <w:tab w:val="left" w:pos="6300"/>
        </w:tabs>
        <w:snapToGrid w:val="0"/>
        <w:spacing w:line="300" w:lineRule="auto"/>
        <w:jc w:val="center"/>
        <w:rPr>
          <w:rFonts w:hint="eastAsia" w:ascii="宋体" w:hAnsi="宋体" w:eastAsia="宋体" w:cs="宋体"/>
          <w:b/>
          <w:w w:val="80"/>
          <w:sz w:val="56"/>
          <w:szCs w:val="56"/>
        </w:rPr>
      </w:pPr>
      <w:r>
        <w:rPr>
          <w:rFonts w:hint="eastAsia" w:ascii="宋体" w:hAnsi="宋体" w:eastAsia="宋体" w:cs="宋体"/>
          <w:b/>
          <w:bCs/>
          <w:kern w:val="2"/>
          <w:sz w:val="40"/>
          <w:szCs w:val="40"/>
        </w:rPr>
        <w:t>（重新采购）</w:t>
      </w:r>
    </w:p>
    <w:bookmarkEnd w:id="0"/>
    <w:p w14:paraId="0D25F463">
      <w:pPr>
        <w:tabs>
          <w:tab w:val="left" w:pos="6300"/>
        </w:tabs>
        <w:snapToGrid w:val="0"/>
        <w:spacing w:line="300" w:lineRule="auto"/>
        <w:jc w:val="center"/>
        <w:rPr>
          <w:rFonts w:hint="eastAsia" w:ascii="宋体" w:hAnsi="宋体" w:eastAsia="宋体" w:cs="宋体"/>
          <w:w w:val="80"/>
          <w:sz w:val="84"/>
        </w:rPr>
      </w:pPr>
    </w:p>
    <w:p w14:paraId="041D2042"/>
    <w:p w14:paraId="6C6B307B">
      <w:pPr>
        <w:tabs>
          <w:tab w:val="left" w:pos="1050"/>
          <w:tab w:val="right" w:leader="dot" w:pos="9402"/>
        </w:tabs>
        <w:spacing w:line="1000" w:lineRule="exact"/>
        <w:jc w:val="center"/>
        <w:rPr>
          <w:rFonts w:hint="eastAsia" w:ascii="宋体" w:hAnsi="宋体" w:eastAsia="宋体" w:cs="宋体"/>
          <w:sz w:val="72"/>
          <w:szCs w:val="72"/>
        </w:rPr>
      </w:pPr>
      <w:r>
        <w:rPr>
          <w:rFonts w:hint="eastAsia" w:ascii="宋体" w:hAnsi="宋体" w:eastAsia="宋体" w:cs="宋体"/>
          <w:b/>
          <w:w w:val="80"/>
          <w:sz w:val="72"/>
          <w:szCs w:val="72"/>
        </w:rPr>
        <w:t>竞争性磋商文件</w:t>
      </w:r>
    </w:p>
    <w:p w14:paraId="672FDAD6">
      <w:pPr>
        <w:spacing w:line="312" w:lineRule="auto"/>
        <w:jc w:val="center"/>
        <w:rPr>
          <w:rFonts w:hint="eastAsia" w:ascii="宋体" w:hAnsi="宋体" w:cs="宋体"/>
          <w:b/>
          <w:bCs/>
          <w:sz w:val="44"/>
          <w:szCs w:val="44"/>
          <w:highlight w:val="yellow"/>
        </w:rPr>
      </w:pPr>
    </w:p>
    <w:p w14:paraId="31EB4332">
      <w:pPr>
        <w:spacing w:line="312" w:lineRule="auto"/>
        <w:jc w:val="center"/>
        <w:rPr>
          <w:rFonts w:hint="eastAsia" w:ascii="宋体" w:hAnsi="宋体" w:eastAsia="宋体" w:cs="宋体"/>
          <w:b/>
          <w:snapToGrid w:val="0"/>
          <w:color w:val="000000"/>
          <w:sz w:val="36"/>
          <w:szCs w:val="44"/>
        </w:rPr>
      </w:pPr>
      <w:r>
        <w:rPr>
          <w:rFonts w:ascii="宋体" w:hAnsi="宋体" w:eastAsia="宋体" w:cs="宋体"/>
          <w:b/>
          <w:snapToGrid w:val="0"/>
          <w:color w:val="000000"/>
          <w:sz w:val="36"/>
          <w:szCs w:val="44"/>
        </w:rPr>
        <w:t>项目编号：</w:t>
      </w:r>
      <w:r>
        <w:rPr>
          <w:rFonts w:hint="eastAsia" w:ascii="宋体" w:hAnsi="宋体" w:eastAsia="宋体" w:cs="宋体"/>
          <w:b/>
          <w:snapToGrid w:val="0"/>
          <w:color w:val="000000"/>
          <w:sz w:val="36"/>
          <w:szCs w:val="44"/>
        </w:rPr>
        <w:t xml:space="preserve">JSXDF2025071101   </w:t>
      </w:r>
      <w:r>
        <w:rPr>
          <w:rFonts w:ascii="宋体" w:hAnsi="宋体" w:eastAsia="宋体" w:cs="宋体"/>
          <w:b/>
          <w:snapToGrid w:val="0"/>
          <w:color w:val="000000"/>
          <w:sz w:val="36"/>
          <w:szCs w:val="44"/>
        </w:rPr>
        <w:t xml:space="preserve">          </w:t>
      </w:r>
    </w:p>
    <w:p w14:paraId="297DADE2">
      <w:pPr>
        <w:spacing w:line="312" w:lineRule="auto"/>
        <w:rPr>
          <w:rFonts w:hint="eastAsia" w:ascii="宋体" w:hAnsi="宋体" w:eastAsia="宋体" w:cs="宋体"/>
          <w:sz w:val="30"/>
        </w:rPr>
      </w:pPr>
    </w:p>
    <w:p w14:paraId="55846CF9">
      <w:pPr>
        <w:spacing w:line="312" w:lineRule="auto"/>
        <w:jc w:val="center"/>
        <w:rPr>
          <w:rFonts w:hint="eastAsia" w:ascii="宋体" w:hAnsi="宋体" w:eastAsia="宋体" w:cs="宋体"/>
          <w:sz w:val="30"/>
        </w:rPr>
      </w:pPr>
    </w:p>
    <w:p w14:paraId="54557D4C">
      <w:pPr>
        <w:spacing w:line="312" w:lineRule="auto"/>
        <w:jc w:val="center"/>
        <w:rPr>
          <w:rFonts w:hint="eastAsia" w:ascii="宋体" w:hAnsi="宋体" w:eastAsia="宋体" w:cs="宋体"/>
          <w:sz w:val="30"/>
        </w:rPr>
      </w:pPr>
    </w:p>
    <w:p w14:paraId="6EB4BB93">
      <w:pPr>
        <w:spacing w:line="312" w:lineRule="auto"/>
        <w:jc w:val="center"/>
        <w:rPr>
          <w:rFonts w:hint="eastAsia" w:ascii="宋体" w:hAnsi="宋体" w:eastAsia="宋体" w:cs="宋体"/>
          <w:sz w:val="30"/>
        </w:rPr>
      </w:pPr>
    </w:p>
    <w:p w14:paraId="268CF6FB"/>
    <w:p w14:paraId="08EBC956"/>
    <w:p w14:paraId="5897AD06"/>
    <w:p w14:paraId="4DD5B5A4">
      <w:pPr>
        <w:spacing w:line="312" w:lineRule="auto"/>
        <w:jc w:val="center"/>
        <w:rPr>
          <w:rFonts w:hint="eastAsia" w:ascii="宋体" w:hAnsi="宋体" w:eastAsia="宋体" w:cs="宋体"/>
          <w:sz w:val="30"/>
        </w:rPr>
      </w:pPr>
    </w:p>
    <w:p w14:paraId="1AA63517"/>
    <w:p w14:paraId="754F6508">
      <w:pPr>
        <w:spacing w:line="312" w:lineRule="auto"/>
        <w:jc w:val="center"/>
        <w:rPr>
          <w:rFonts w:hint="eastAsia" w:ascii="宋体" w:hAnsi="宋体" w:eastAsia="宋体" w:cs="宋体"/>
          <w:snapToGrid w:val="0"/>
          <w:sz w:val="28"/>
        </w:rPr>
      </w:pPr>
    </w:p>
    <w:p w14:paraId="01E3CE29">
      <w:pPr>
        <w:spacing w:line="480" w:lineRule="auto"/>
        <w:ind w:firstLine="2520" w:firstLineChars="900"/>
        <w:rPr>
          <w:rFonts w:hint="eastAsia" w:ascii="宋体" w:hAnsi="宋体" w:eastAsia="宋体" w:cs="宋体"/>
          <w:sz w:val="28"/>
        </w:rPr>
      </w:pPr>
      <w:r>
        <w:rPr>
          <w:rFonts w:hint="eastAsia" w:ascii="宋体" w:hAnsi="宋体" w:eastAsia="宋体" w:cs="宋体"/>
          <w:sz w:val="28"/>
        </w:rPr>
        <w:t>采购单位：</w:t>
      </w:r>
      <w:bookmarkStart w:id="2" w:name="OLE_LINK3"/>
      <w:r>
        <w:rPr>
          <w:rFonts w:hint="eastAsia" w:ascii="宋体" w:hAnsi="宋体" w:eastAsia="宋体" w:cs="宋体"/>
          <w:sz w:val="28"/>
        </w:rPr>
        <w:t>南通市交通运输综合行政执法支队</w:t>
      </w:r>
      <w:bookmarkEnd w:id="2"/>
    </w:p>
    <w:p w14:paraId="1B689DE3">
      <w:pPr>
        <w:tabs>
          <w:tab w:val="left" w:pos="1050"/>
          <w:tab w:val="right" w:leader="dot" w:pos="9402"/>
        </w:tabs>
        <w:spacing w:line="480" w:lineRule="auto"/>
        <w:ind w:firstLine="2520" w:firstLineChars="900"/>
        <w:rPr>
          <w:rFonts w:hint="eastAsia" w:ascii="宋体" w:hAnsi="宋体" w:eastAsia="宋体" w:cs="宋体"/>
          <w:sz w:val="28"/>
        </w:rPr>
      </w:pPr>
      <w:r>
        <w:rPr>
          <w:rFonts w:hint="eastAsia" w:ascii="宋体" w:hAnsi="宋体" w:eastAsia="宋体" w:cs="宋体"/>
          <w:sz w:val="28"/>
        </w:rPr>
        <w:t>代理机构：江苏新东方工程管理咨询有限公司</w:t>
      </w:r>
    </w:p>
    <w:p w14:paraId="177DE0A4">
      <w:pPr>
        <w:tabs>
          <w:tab w:val="left" w:pos="1050"/>
          <w:tab w:val="right" w:leader="dot" w:pos="9402"/>
        </w:tabs>
        <w:spacing w:line="480" w:lineRule="auto"/>
        <w:ind w:firstLine="2520" w:firstLineChars="900"/>
        <w:rPr>
          <w:rFonts w:hint="eastAsia" w:ascii="宋体" w:hAnsi="宋体" w:eastAsia="宋体" w:cs="宋体"/>
          <w:sz w:val="28"/>
        </w:rPr>
      </w:pPr>
      <w:r>
        <w:rPr>
          <w:rFonts w:ascii="宋体" w:hAnsi="宋体" w:eastAsia="宋体" w:cs="宋体"/>
          <w:sz w:val="28"/>
        </w:rPr>
        <w:t>日    期：二0</w:t>
      </w:r>
      <w:r>
        <w:rPr>
          <w:rFonts w:hint="eastAsia" w:ascii="宋体" w:hAnsi="宋体" w:eastAsia="宋体" w:cs="宋体"/>
          <w:sz w:val="28"/>
        </w:rPr>
        <w:t>二五</w:t>
      </w:r>
      <w:r>
        <w:rPr>
          <w:rFonts w:ascii="宋体" w:hAnsi="宋体" w:eastAsia="宋体" w:cs="宋体"/>
          <w:sz w:val="28"/>
        </w:rPr>
        <w:t>年</w:t>
      </w:r>
      <w:r>
        <w:rPr>
          <w:rFonts w:hint="eastAsia" w:ascii="宋体" w:hAnsi="宋体" w:eastAsia="宋体" w:cs="宋体"/>
          <w:sz w:val="28"/>
        </w:rPr>
        <w:t>六</w:t>
      </w:r>
      <w:r>
        <w:rPr>
          <w:rFonts w:ascii="宋体" w:hAnsi="宋体" w:eastAsia="宋体" w:cs="宋体"/>
          <w:sz w:val="28"/>
        </w:rPr>
        <w:t>月</w:t>
      </w:r>
    </w:p>
    <w:p w14:paraId="531FAF85">
      <w:pPr>
        <w:spacing w:line="360" w:lineRule="auto"/>
        <w:jc w:val="center"/>
        <w:rPr>
          <w:rFonts w:hint="eastAsia" w:ascii="宋体" w:hAnsi="宋体" w:eastAsia="宋体" w:cs="宋体"/>
          <w:b/>
          <w:bCs/>
          <w:sz w:val="44"/>
        </w:rPr>
      </w:pPr>
    </w:p>
    <w:p w14:paraId="019D6726">
      <w:pPr>
        <w:spacing w:line="360" w:lineRule="auto"/>
        <w:jc w:val="center"/>
        <w:rPr>
          <w:rFonts w:hint="eastAsia" w:ascii="宋体" w:hAnsi="宋体" w:eastAsia="宋体" w:cs="宋体"/>
          <w:b/>
          <w:bCs/>
          <w:sz w:val="32"/>
          <w:szCs w:val="32"/>
        </w:rPr>
      </w:pPr>
    </w:p>
    <w:p w14:paraId="0E8ACA84">
      <w:pPr>
        <w:spacing w:line="360" w:lineRule="auto"/>
        <w:jc w:val="center"/>
        <w:rPr>
          <w:rFonts w:hint="eastAsia" w:ascii="宋体" w:hAnsi="宋体" w:eastAsia="宋体" w:cs="宋体"/>
          <w:b/>
          <w:bCs/>
          <w:sz w:val="32"/>
          <w:szCs w:val="32"/>
        </w:rPr>
      </w:pPr>
      <w:r>
        <w:rPr>
          <w:rFonts w:hint="eastAsia" w:ascii="宋体" w:hAnsi="宋体" w:eastAsia="宋体" w:cs="宋体"/>
          <w:b/>
          <w:bCs/>
          <w:sz w:val="40"/>
          <w:szCs w:val="40"/>
        </w:rPr>
        <w:t>目   录</w:t>
      </w:r>
    </w:p>
    <w:p w14:paraId="7D87D5C9">
      <w:pPr>
        <w:spacing w:line="360" w:lineRule="auto"/>
        <w:rPr>
          <w:rFonts w:hint="eastAsia" w:ascii="宋体" w:hAnsi="宋体" w:eastAsia="宋体" w:cs="宋体"/>
          <w:sz w:val="28"/>
        </w:rPr>
      </w:pPr>
    </w:p>
    <w:p w14:paraId="5F216F53">
      <w:pPr>
        <w:spacing w:line="1000" w:lineRule="exact"/>
        <w:rPr>
          <w:rFonts w:hint="eastAsia" w:ascii="宋体" w:hAnsi="宋体" w:eastAsia="宋体" w:cs="宋体"/>
          <w:sz w:val="32"/>
          <w:szCs w:val="32"/>
        </w:rPr>
      </w:pPr>
      <w:r>
        <w:rPr>
          <w:rFonts w:hint="eastAsia" w:ascii="宋体" w:hAnsi="宋体" w:eastAsia="宋体" w:cs="宋体"/>
          <w:bCs/>
          <w:kern w:val="2"/>
          <w:sz w:val="32"/>
          <w:szCs w:val="32"/>
        </w:rPr>
        <w:t>第一部分  采购邀请</w:t>
      </w:r>
    </w:p>
    <w:p w14:paraId="20B8A995">
      <w:pPr>
        <w:spacing w:line="1000" w:lineRule="exact"/>
        <w:rPr>
          <w:rFonts w:hint="eastAsia" w:ascii="宋体" w:hAnsi="宋体" w:eastAsia="宋体" w:cs="宋体"/>
          <w:sz w:val="32"/>
          <w:szCs w:val="32"/>
        </w:rPr>
      </w:pPr>
      <w:r>
        <w:rPr>
          <w:rFonts w:hint="eastAsia" w:ascii="宋体" w:hAnsi="宋体" w:eastAsia="宋体" w:cs="宋体"/>
          <w:bCs/>
          <w:kern w:val="2"/>
          <w:sz w:val="32"/>
          <w:szCs w:val="32"/>
        </w:rPr>
        <w:t xml:space="preserve">第二部分  </w:t>
      </w:r>
      <w:r>
        <w:rPr>
          <w:rFonts w:hint="eastAsia" w:ascii="宋体" w:hAnsi="宋体" w:eastAsia="宋体" w:cs="宋体"/>
          <w:kern w:val="2"/>
          <w:sz w:val="32"/>
          <w:szCs w:val="32"/>
        </w:rPr>
        <w:t>磋商须知</w:t>
      </w:r>
    </w:p>
    <w:p w14:paraId="674E7837">
      <w:pPr>
        <w:spacing w:line="1000" w:lineRule="exact"/>
        <w:rPr>
          <w:rFonts w:hint="eastAsia" w:ascii="宋体" w:hAnsi="宋体" w:eastAsia="宋体" w:cs="宋体"/>
          <w:sz w:val="32"/>
          <w:szCs w:val="32"/>
        </w:rPr>
      </w:pPr>
      <w:r>
        <w:rPr>
          <w:rFonts w:hint="eastAsia" w:ascii="宋体" w:hAnsi="宋体" w:eastAsia="宋体" w:cs="宋体"/>
          <w:bCs/>
          <w:kern w:val="2"/>
          <w:sz w:val="32"/>
          <w:szCs w:val="32"/>
        </w:rPr>
        <w:t>第三部分</w:t>
      </w:r>
      <w:r>
        <w:rPr>
          <w:rFonts w:hint="eastAsia" w:ascii="宋体" w:hAnsi="宋体" w:eastAsia="宋体" w:cs="宋体"/>
          <w:kern w:val="2"/>
          <w:sz w:val="32"/>
          <w:szCs w:val="32"/>
        </w:rPr>
        <w:t xml:space="preserve">  项目需求</w:t>
      </w:r>
    </w:p>
    <w:p w14:paraId="4866D3EF">
      <w:pPr>
        <w:spacing w:line="1000" w:lineRule="exact"/>
        <w:rPr>
          <w:rFonts w:hint="eastAsia" w:ascii="宋体" w:hAnsi="宋体" w:eastAsia="宋体" w:cs="宋体"/>
          <w:sz w:val="32"/>
          <w:szCs w:val="32"/>
        </w:rPr>
      </w:pPr>
      <w:r>
        <w:rPr>
          <w:rFonts w:hint="eastAsia" w:ascii="宋体" w:hAnsi="宋体" w:eastAsia="宋体" w:cs="宋体"/>
          <w:bCs/>
          <w:kern w:val="2"/>
          <w:sz w:val="32"/>
          <w:szCs w:val="32"/>
        </w:rPr>
        <w:t>第四部分</w:t>
      </w:r>
      <w:r>
        <w:rPr>
          <w:rFonts w:hint="eastAsia" w:ascii="宋体" w:hAnsi="宋体" w:eastAsia="宋体" w:cs="宋体"/>
          <w:kern w:val="2"/>
          <w:sz w:val="32"/>
          <w:szCs w:val="32"/>
        </w:rPr>
        <w:t xml:space="preserve">  评审方法和评审标准</w:t>
      </w:r>
    </w:p>
    <w:p w14:paraId="2BDD5EA1">
      <w:pPr>
        <w:spacing w:line="1000" w:lineRule="exact"/>
        <w:rPr>
          <w:rFonts w:hint="eastAsia" w:ascii="宋体" w:hAnsi="宋体" w:eastAsia="宋体" w:cs="宋体"/>
          <w:kern w:val="2"/>
          <w:sz w:val="32"/>
          <w:szCs w:val="32"/>
        </w:rPr>
      </w:pPr>
      <w:r>
        <w:rPr>
          <w:rFonts w:hint="eastAsia" w:ascii="宋体" w:hAnsi="宋体" w:eastAsia="宋体" w:cs="宋体"/>
          <w:kern w:val="2"/>
          <w:sz w:val="32"/>
          <w:szCs w:val="32"/>
        </w:rPr>
        <w:t>第五</w:t>
      </w:r>
      <w:r>
        <w:rPr>
          <w:rFonts w:hint="eastAsia" w:ascii="宋体" w:hAnsi="宋体" w:eastAsia="宋体" w:cs="宋体"/>
          <w:bCs/>
          <w:kern w:val="2"/>
          <w:sz w:val="32"/>
          <w:szCs w:val="32"/>
        </w:rPr>
        <w:t>部分</w:t>
      </w:r>
      <w:r>
        <w:rPr>
          <w:rFonts w:hint="eastAsia" w:ascii="宋体" w:hAnsi="宋体" w:eastAsia="宋体" w:cs="宋体"/>
          <w:kern w:val="2"/>
          <w:sz w:val="32"/>
          <w:szCs w:val="32"/>
        </w:rPr>
        <w:t xml:space="preserve">  合同条款</w:t>
      </w:r>
    </w:p>
    <w:p w14:paraId="6684020E">
      <w:pPr>
        <w:spacing w:line="1000" w:lineRule="exact"/>
        <w:rPr>
          <w:rFonts w:hint="eastAsia" w:ascii="宋体" w:hAnsi="宋体" w:eastAsia="宋体" w:cs="宋体"/>
          <w:kern w:val="2"/>
          <w:sz w:val="32"/>
          <w:szCs w:val="32"/>
          <w:lang w:val="zh-CN"/>
        </w:rPr>
      </w:pPr>
      <w:r>
        <w:rPr>
          <w:rFonts w:hint="eastAsia" w:ascii="宋体" w:hAnsi="宋体" w:eastAsia="宋体" w:cs="宋体"/>
          <w:kern w:val="2"/>
          <w:sz w:val="32"/>
          <w:szCs w:val="32"/>
        </w:rPr>
        <w:t>第六</w:t>
      </w:r>
      <w:r>
        <w:rPr>
          <w:rFonts w:hint="eastAsia" w:ascii="宋体" w:hAnsi="宋体" w:eastAsia="宋体" w:cs="宋体"/>
          <w:bCs/>
          <w:kern w:val="2"/>
          <w:sz w:val="32"/>
          <w:szCs w:val="32"/>
        </w:rPr>
        <w:t xml:space="preserve">部分  </w:t>
      </w:r>
      <w:r>
        <w:rPr>
          <w:rFonts w:hint="eastAsia" w:ascii="宋体" w:hAnsi="宋体" w:eastAsia="宋体" w:cs="宋体"/>
          <w:kern w:val="2"/>
          <w:sz w:val="32"/>
          <w:szCs w:val="32"/>
          <w:lang w:val="zh-CN"/>
        </w:rPr>
        <w:t>响应文件组成</w:t>
      </w:r>
    </w:p>
    <w:p w14:paraId="7F024BC8">
      <w:pPr>
        <w:rPr>
          <w:sz w:val="18"/>
          <w:szCs w:val="18"/>
          <w:lang w:val="zh-CN"/>
        </w:rPr>
        <w:sectPr>
          <w:footerReference r:id="rId4" w:type="first"/>
          <w:footerReference r:id="rId3" w:type="default"/>
          <w:pgSz w:w="11906" w:h="16838"/>
          <w:pgMar w:top="1020" w:right="1134" w:bottom="1020" w:left="1134" w:header="851" w:footer="992" w:gutter="0"/>
          <w:pgNumType w:fmt="numberInDash"/>
          <w:cols w:space="0" w:num="1"/>
          <w:docGrid w:linePitch="312" w:charSpace="0"/>
        </w:sectPr>
      </w:pPr>
    </w:p>
    <w:p w14:paraId="1AFCD700">
      <w:pPr>
        <w:spacing w:before="120" w:beforeLines="50" w:after="120" w:afterLines="50" w:line="360" w:lineRule="auto"/>
        <w:jc w:val="center"/>
        <w:rPr>
          <w:rFonts w:hint="eastAsia" w:ascii="宋体" w:hAnsi="宋体" w:eastAsia="宋体" w:cs="宋体"/>
          <w:b/>
          <w:bCs/>
          <w:w w:val="80"/>
          <w:kern w:val="2"/>
          <w:sz w:val="44"/>
          <w:szCs w:val="44"/>
        </w:rPr>
      </w:pPr>
      <w:bookmarkStart w:id="3" w:name="_Toc363573853"/>
      <w:r>
        <w:rPr>
          <w:rFonts w:hint="eastAsia" w:ascii="宋体" w:hAnsi="宋体" w:eastAsia="宋体" w:cs="宋体"/>
          <w:b/>
          <w:bCs/>
          <w:w w:val="80"/>
          <w:kern w:val="2"/>
          <w:sz w:val="44"/>
          <w:szCs w:val="44"/>
        </w:rPr>
        <w:t>第一部分</w:t>
      </w:r>
      <w:bookmarkEnd w:id="3"/>
      <w:r>
        <w:rPr>
          <w:rFonts w:hint="eastAsia" w:ascii="宋体" w:hAnsi="宋体" w:eastAsia="宋体" w:cs="宋体"/>
          <w:b/>
          <w:bCs/>
          <w:w w:val="80"/>
          <w:kern w:val="2"/>
          <w:sz w:val="44"/>
          <w:szCs w:val="44"/>
        </w:rPr>
        <w:t xml:space="preserve">  采购邀请</w:t>
      </w:r>
    </w:p>
    <w:p w14:paraId="70D0EB65">
      <w:pPr>
        <w:snapToGrid w:val="0"/>
        <w:spacing w:line="360" w:lineRule="auto"/>
        <w:ind w:firstLine="480"/>
      </w:pPr>
      <w:r>
        <w:rPr>
          <w:rFonts w:hint="eastAsia" w:ascii="宋体" w:hAnsi="宋体" w:cs="宋体"/>
          <w:sz w:val="24"/>
        </w:rPr>
        <w:t>受[南通市交通运输综合行政执法支队]的委托，江苏新东方工程管理咨询有限公司就[南通市交通运输综合行政执法支队制服采购项目（重新采购）]（项目编号：JSXDF2025071101）进行竞争性磋商采购，欢迎符合条件的供应商参加磋商。</w:t>
      </w:r>
    </w:p>
    <w:tbl>
      <w:tblPr>
        <w:tblStyle w:val="12"/>
        <w:tblW w:w="9575"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5"/>
      </w:tblGrid>
      <w:tr w14:paraId="0B2F8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8" w:hRule="atLeast"/>
        </w:trPr>
        <w:tc>
          <w:tcPr>
            <w:tcW w:w="9575" w:type="dxa"/>
          </w:tcPr>
          <w:p w14:paraId="19E37E13">
            <w:pPr>
              <w:snapToGrid w:val="0"/>
              <w:spacing w:line="360" w:lineRule="auto"/>
              <w:rPr>
                <w:rFonts w:hint="eastAsia" w:ascii="宋体" w:hAnsi="宋体" w:eastAsia="宋体" w:cs="宋体"/>
                <w:b/>
                <w:bCs/>
                <w:kern w:val="2"/>
                <w:sz w:val="24"/>
              </w:rPr>
            </w:pPr>
            <w:r>
              <w:rPr>
                <w:rFonts w:hint="eastAsia" w:ascii="宋体" w:hAnsi="宋体" w:eastAsia="宋体" w:cs="宋体"/>
                <w:b/>
                <w:bCs/>
                <w:kern w:val="2"/>
                <w:sz w:val="24"/>
              </w:rPr>
              <w:t>项目概况</w:t>
            </w:r>
          </w:p>
          <w:p w14:paraId="47686675">
            <w:pPr>
              <w:snapToGrid w:val="0"/>
              <w:spacing w:line="360" w:lineRule="auto"/>
              <w:ind w:firstLine="480" w:firstLineChars="200"/>
            </w:pPr>
            <w:r>
              <w:rPr>
                <w:rFonts w:hint="eastAsia" w:ascii="宋体" w:hAnsi="宋体" w:eastAsia="宋体" w:cs="宋体"/>
                <w:sz w:val="24"/>
              </w:rPr>
              <w:t>南通市交通运输综合行政执法支队制服采购项目（重新采购）的潜在供应商应在“南通市交通运输局网站→法定主动公开内容→政府采购”栏获取采购文件，并于2025年07月11日14时30分（北京时间）前提交响应文件。</w:t>
            </w:r>
          </w:p>
        </w:tc>
      </w:tr>
    </w:tbl>
    <w:p w14:paraId="38A4B2BC"/>
    <w:p w14:paraId="216995D7">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一、项目基本情况</w:t>
      </w:r>
    </w:p>
    <w:p w14:paraId="6AA60DC7">
      <w:pPr>
        <w:adjustRightInd w:val="0"/>
        <w:snapToGri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 xml:space="preserve">1、项目编号：JSXDF2025071101                      </w:t>
      </w:r>
    </w:p>
    <w:p w14:paraId="7F6B7FBA">
      <w:pPr>
        <w:adjustRightInd w:val="0"/>
        <w:snapToGri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2、项目名称：南通市交通运输综合行政执法支队制服采购项目（重新采购）</w:t>
      </w:r>
    </w:p>
    <w:p w14:paraId="5A100D1D">
      <w:pPr>
        <w:adjustRightInd w:val="0"/>
        <w:snapToGri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 xml:space="preserve">3、项目类型：货物 </w:t>
      </w:r>
    </w:p>
    <w:p w14:paraId="34D3E5D5">
      <w:pPr>
        <w:snapToGrid w:val="0"/>
        <w:spacing w:line="360" w:lineRule="auto"/>
        <w:ind w:firstLine="480"/>
        <w:rPr>
          <w:color w:val="000000" w:themeColor="text1"/>
          <w14:textFill>
            <w14:solidFill>
              <w14:schemeClr w14:val="tx1"/>
            </w14:solidFill>
          </w14:textFill>
        </w:rPr>
      </w:pPr>
      <w:r>
        <w:rPr>
          <w:rFonts w:hint="eastAsia" w:ascii="宋体" w:hAnsi="宋体" w:cs="宋体"/>
          <w:sz w:val="24"/>
        </w:rPr>
        <w:t>4、所属行业：</w:t>
      </w:r>
      <w:r>
        <w:rPr>
          <w:rFonts w:hint="eastAsia" w:ascii="宋体" w:hAnsi="宋体" w:cs="宋体"/>
          <w:color w:val="000000" w:themeColor="text1"/>
          <w:sz w:val="24"/>
          <w14:textFill>
            <w14:solidFill>
              <w14:schemeClr w14:val="tx1"/>
            </w14:solidFill>
          </w14:textFill>
        </w:rPr>
        <w:t>工业</w:t>
      </w:r>
    </w:p>
    <w:p w14:paraId="4024DD1E">
      <w:pPr>
        <w:adjustRightInd w:val="0"/>
        <w:snapToGrid w:val="0"/>
        <w:spacing w:line="360" w:lineRule="auto"/>
        <w:ind w:firstLine="480" w:firstLineChars="200"/>
        <w:textAlignment w:val="baseline"/>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5、预算金额：人民币24.29万元（其中南通市交通运输综合行政执法支队2</w:t>
      </w:r>
      <w:r>
        <w:rPr>
          <w:rFonts w:ascii="宋体" w:hAnsi="宋体" w:eastAsia="宋体" w:cs="宋体"/>
          <w:color w:val="000000" w:themeColor="text1"/>
          <w:sz w:val="24"/>
          <w14:textFill>
            <w14:solidFill>
              <w14:schemeClr w14:val="tx1"/>
            </w14:solidFill>
          </w14:textFill>
        </w:rPr>
        <w:t>1.1</w:t>
      </w:r>
      <w:r>
        <w:rPr>
          <w:rFonts w:hint="eastAsia" w:ascii="宋体" w:hAnsi="宋体" w:eastAsia="宋体" w:cs="宋体"/>
          <w:color w:val="000000" w:themeColor="text1"/>
          <w:sz w:val="24"/>
          <w14:textFill>
            <w14:solidFill>
              <w14:schemeClr w14:val="tx1"/>
            </w14:solidFill>
          </w14:textFill>
        </w:rPr>
        <w:t>万元，南通市通州区交通运输综合执法大队3</w:t>
      </w:r>
      <w:r>
        <w:rPr>
          <w:rFonts w:ascii="宋体" w:hAnsi="宋体" w:eastAsia="宋体" w:cs="宋体"/>
          <w:color w:val="000000" w:themeColor="text1"/>
          <w:sz w:val="24"/>
          <w14:textFill>
            <w14:solidFill>
              <w14:schemeClr w14:val="tx1"/>
            </w14:solidFill>
          </w14:textFill>
        </w:rPr>
        <w:t>.19</w:t>
      </w:r>
      <w:r>
        <w:rPr>
          <w:rFonts w:hint="eastAsia" w:ascii="宋体" w:hAnsi="宋体" w:eastAsia="宋体" w:cs="宋体"/>
          <w:color w:val="000000" w:themeColor="text1"/>
          <w:sz w:val="24"/>
          <w14:textFill>
            <w14:solidFill>
              <w14:schemeClr w14:val="tx1"/>
            </w14:solidFill>
          </w14:textFill>
        </w:rPr>
        <w:t>万元）</w:t>
      </w:r>
    </w:p>
    <w:p w14:paraId="61439F57">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6、最高限价：人民币24.29万元，</w:t>
      </w:r>
      <w:r>
        <w:rPr>
          <w:rFonts w:hint="eastAsia" w:ascii="宋体" w:hAnsi="宋体" w:eastAsia="宋体" w:cs="宋体"/>
          <w:color w:val="000000" w:themeColor="text1"/>
          <w:sz w:val="24"/>
          <w:szCs w:val="24"/>
          <w14:textFill>
            <w14:solidFill>
              <w14:schemeClr w14:val="tx1"/>
            </w14:solidFill>
          </w14:textFill>
        </w:rPr>
        <w:t>采购清单如下：</w:t>
      </w:r>
    </w:p>
    <w:tbl>
      <w:tblPr>
        <w:tblStyle w:val="12"/>
        <w:tblW w:w="8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7"/>
        <w:gridCol w:w="4939"/>
        <w:gridCol w:w="737"/>
        <w:gridCol w:w="1261"/>
      </w:tblGrid>
      <w:tr w14:paraId="60B38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107" w:type="dxa"/>
            <w:tcBorders>
              <w:top w:val="single" w:color="auto" w:sz="4" w:space="0"/>
              <w:left w:val="single" w:color="auto" w:sz="4" w:space="0"/>
              <w:bottom w:val="single" w:color="auto" w:sz="4" w:space="0"/>
              <w:right w:val="single" w:color="auto" w:sz="4" w:space="0"/>
            </w:tcBorders>
            <w:vAlign w:val="center"/>
          </w:tcPr>
          <w:p w14:paraId="7A44A578">
            <w:pPr>
              <w:spacing w:line="360" w:lineRule="exact"/>
              <w:jc w:val="center"/>
              <w:rPr>
                <w:rFonts w:hint="eastAsia" w:ascii="宋体" w:hAnsi="宋体" w:eastAsia="宋体" w:cs="宋体"/>
                <w:b/>
                <w:color w:val="000000" w:themeColor="text1"/>
                <w:sz w:val="24"/>
                <w:szCs w:val="24"/>
                <w14:textFill>
                  <w14:solidFill>
                    <w14:schemeClr w14:val="tx1"/>
                  </w14:solidFill>
                </w14:textFill>
              </w:rPr>
            </w:pPr>
            <w:bookmarkStart w:id="4" w:name="OLE_LINK5"/>
            <w:r>
              <w:rPr>
                <w:rFonts w:hint="eastAsia" w:ascii="宋体" w:hAnsi="宋体" w:eastAsia="宋体" w:cs="宋体"/>
                <w:b/>
                <w:color w:val="000000" w:themeColor="text1"/>
                <w:sz w:val="24"/>
                <w:szCs w:val="24"/>
                <w14:textFill>
                  <w14:solidFill>
                    <w14:schemeClr w14:val="tx1"/>
                  </w14:solidFill>
                </w14:textFill>
              </w:rPr>
              <w:t>序号</w:t>
            </w:r>
          </w:p>
        </w:tc>
        <w:tc>
          <w:tcPr>
            <w:tcW w:w="4939" w:type="dxa"/>
            <w:tcBorders>
              <w:top w:val="single" w:color="auto" w:sz="4" w:space="0"/>
              <w:left w:val="single" w:color="auto" w:sz="4" w:space="0"/>
              <w:bottom w:val="single" w:color="auto" w:sz="4" w:space="0"/>
              <w:right w:val="single" w:color="auto" w:sz="4" w:space="0"/>
            </w:tcBorders>
            <w:vAlign w:val="center"/>
          </w:tcPr>
          <w:p w14:paraId="368CD6C5">
            <w:pPr>
              <w:spacing w:line="360" w:lineRule="exact"/>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品名</w:t>
            </w:r>
          </w:p>
        </w:tc>
        <w:tc>
          <w:tcPr>
            <w:tcW w:w="737" w:type="dxa"/>
            <w:tcBorders>
              <w:top w:val="single" w:color="auto" w:sz="4" w:space="0"/>
              <w:left w:val="single" w:color="auto" w:sz="4" w:space="0"/>
              <w:bottom w:val="single" w:color="auto" w:sz="4" w:space="0"/>
              <w:right w:val="single" w:color="auto" w:sz="4" w:space="0"/>
            </w:tcBorders>
            <w:vAlign w:val="center"/>
          </w:tcPr>
          <w:p w14:paraId="541805E1">
            <w:pPr>
              <w:spacing w:line="360" w:lineRule="exact"/>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单位</w:t>
            </w:r>
          </w:p>
        </w:tc>
        <w:tc>
          <w:tcPr>
            <w:tcW w:w="1261" w:type="dxa"/>
            <w:tcBorders>
              <w:top w:val="single" w:color="auto" w:sz="4" w:space="0"/>
              <w:left w:val="single" w:color="auto" w:sz="4" w:space="0"/>
              <w:bottom w:val="single" w:color="auto" w:sz="4" w:space="0"/>
              <w:right w:val="single" w:color="auto" w:sz="4" w:space="0"/>
            </w:tcBorders>
            <w:vAlign w:val="center"/>
          </w:tcPr>
          <w:p w14:paraId="38A65910">
            <w:pPr>
              <w:spacing w:line="360" w:lineRule="exact"/>
              <w:jc w:val="center"/>
              <w:rPr>
                <w:color w:val="000000" w:themeColor="text1"/>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数量</w:t>
            </w:r>
          </w:p>
        </w:tc>
      </w:tr>
      <w:tr w14:paraId="7BC39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7" w:type="dxa"/>
            <w:tcBorders>
              <w:top w:val="single" w:color="auto" w:sz="4" w:space="0"/>
              <w:left w:val="single" w:color="auto" w:sz="4" w:space="0"/>
              <w:bottom w:val="single" w:color="auto" w:sz="4" w:space="0"/>
              <w:right w:val="single" w:color="auto" w:sz="4" w:space="0"/>
            </w:tcBorders>
            <w:vAlign w:val="center"/>
          </w:tcPr>
          <w:p w14:paraId="62BCAEF6">
            <w:pPr>
              <w:widowControl/>
              <w:jc w:val="center"/>
              <w:rPr>
                <w:rFonts w:hint="eastAsia" w:ascii="新宋体" w:hAnsi="新宋体" w:eastAsia="新宋体" w:cs="新宋体"/>
                <w:color w:val="000000" w:themeColor="text1"/>
                <w:sz w:val="24"/>
                <w:szCs w:val="21"/>
                <w14:textFill>
                  <w14:solidFill>
                    <w14:schemeClr w14:val="tx1"/>
                  </w14:solidFill>
                </w14:textFill>
              </w:rPr>
            </w:pPr>
            <w:r>
              <w:rPr>
                <w:rFonts w:hint="eastAsia" w:ascii="新宋体" w:hAnsi="新宋体" w:eastAsia="新宋体" w:cs="新宋体"/>
                <w:color w:val="000000" w:themeColor="text1"/>
                <w:szCs w:val="21"/>
                <w14:textFill>
                  <w14:solidFill>
                    <w14:schemeClr w14:val="tx1"/>
                  </w14:solidFill>
                </w14:textFill>
              </w:rPr>
              <w:t>1</w:t>
            </w:r>
          </w:p>
        </w:tc>
        <w:tc>
          <w:tcPr>
            <w:tcW w:w="4939" w:type="dxa"/>
            <w:tcBorders>
              <w:top w:val="single" w:color="auto" w:sz="4" w:space="0"/>
              <w:left w:val="single" w:color="auto" w:sz="4" w:space="0"/>
              <w:bottom w:val="single" w:color="auto" w:sz="4" w:space="0"/>
              <w:right w:val="single" w:color="auto" w:sz="4" w:space="0"/>
            </w:tcBorders>
            <w:shd w:val="clear" w:color="auto" w:fill="auto"/>
            <w:vAlign w:val="center"/>
          </w:tcPr>
          <w:p w14:paraId="7B90FEBC">
            <w:pPr>
              <w:widowControl/>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常服配套衬衫</w:t>
            </w:r>
          </w:p>
        </w:tc>
        <w:tc>
          <w:tcPr>
            <w:tcW w:w="737" w:type="dxa"/>
            <w:tcBorders>
              <w:top w:val="single" w:color="auto" w:sz="4" w:space="0"/>
              <w:left w:val="single" w:color="auto" w:sz="4" w:space="0"/>
              <w:bottom w:val="single" w:color="auto" w:sz="4" w:space="0"/>
              <w:right w:val="single" w:color="auto" w:sz="4" w:space="0"/>
            </w:tcBorders>
          </w:tcPr>
          <w:p w14:paraId="04897DAB">
            <w:pPr>
              <w:widowControl/>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件</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29A6B6E7">
            <w:pPr>
              <w:widowControl/>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1051</w:t>
            </w:r>
          </w:p>
        </w:tc>
      </w:tr>
      <w:tr w14:paraId="16F80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7" w:type="dxa"/>
            <w:tcBorders>
              <w:top w:val="single" w:color="auto" w:sz="4" w:space="0"/>
              <w:left w:val="single" w:color="auto" w:sz="4" w:space="0"/>
              <w:bottom w:val="single" w:color="auto" w:sz="4" w:space="0"/>
              <w:right w:val="single" w:color="auto" w:sz="4" w:space="0"/>
            </w:tcBorders>
            <w:vAlign w:val="center"/>
          </w:tcPr>
          <w:p w14:paraId="193B2651">
            <w:pPr>
              <w:widowControl/>
              <w:jc w:val="center"/>
              <w:rPr>
                <w:rFonts w:hint="eastAsia" w:ascii="新宋体" w:hAnsi="新宋体" w:eastAsia="新宋体" w:cs="新宋体"/>
                <w:color w:val="000000" w:themeColor="text1"/>
                <w:sz w:val="24"/>
                <w:szCs w:val="21"/>
                <w14:textFill>
                  <w14:solidFill>
                    <w14:schemeClr w14:val="tx1"/>
                  </w14:solidFill>
                </w14:textFill>
              </w:rPr>
            </w:pPr>
            <w:r>
              <w:rPr>
                <w:rFonts w:hint="eastAsia" w:ascii="新宋体" w:hAnsi="新宋体" w:eastAsia="新宋体" w:cs="新宋体"/>
                <w:color w:val="000000" w:themeColor="text1"/>
                <w:szCs w:val="21"/>
                <w14:textFill>
                  <w14:solidFill>
                    <w14:schemeClr w14:val="tx1"/>
                  </w14:solidFill>
                </w14:textFill>
              </w:rPr>
              <w:t>2</w:t>
            </w:r>
          </w:p>
        </w:tc>
        <w:tc>
          <w:tcPr>
            <w:tcW w:w="4939" w:type="dxa"/>
            <w:tcBorders>
              <w:top w:val="single" w:color="auto" w:sz="4" w:space="0"/>
              <w:left w:val="single" w:color="auto" w:sz="4" w:space="0"/>
              <w:bottom w:val="single" w:color="auto" w:sz="4" w:space="0"/>
              <w:right w:val="single" w:color="auto" w:sz="4" w:space="0"/>
            </w:tcBorders>
            <w:shd w:val="clear" w:color="auto" w:fill="auto"/>
            <w:vAlign w:val="center"/>
          </w:tcPr>
          <w:p w14:paraId="0D39A342">
            <w:pPr>
              <w:widowControl/>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长袖制式衬衫</w:t>
            </w:r>
            <w:bookmarkStart w:id="5" w:name="OLE_LINK7"/>
            <w:bookmarkStart w:id="6" w:name="OLE_LINK6"/>
            <w:r>
              <w:rPr>
                <w:rFonts w:hint="eastAsia" w:ascii="宋体" w:hAnsi="宋体" w:eastAsia="宋体" w:cs="宋体"/>
                <w:color w:val="000000" w:themeColor="text1"/>
                <w:sz w:val="24"/>
                <w:szCs w:val="24"/>
                <w14:textFill>
                  <w14:solidFill>
                    <w14:schemeClr w14:val="tx1"/>
                  </w14:solidFill>
                </w14:textFill>
              </w:rPr>
              <w:t>（其中通州局大队136件）</w:t>
            </w:r>
            <w:bookmarkEnd w:id="5"/>
            <w:bookmarkEnd w:id="6"/>
          </w:p>
        </w:tc>
        <w:tc>
          <w:tcPr>
            <w:tcW w:w="737" w:type="dxa"/>
            <w:tcBorders>
              <w:top w:val="single" w:color="auto" w:sz="4" w:space="0"/>
              <w:left w:val="single" w:color="auto" w:sz="4" w:space="0"/>
              <w:bottom w:val="single" w:color="auto" w:sz="4" w:space="0"/>
              <w:right w:val="single" w:color="auto" w:sz="4" w:space="0"/>
            </w:tcBorders>
          </w:tcPr>
          <w:p w14:paraId="7738C66F">
            <w:pPr>
              <w:widowControl/>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件</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582177A6">
            <w:pPr>
              <w:widowControl/>
              <w:jc w:val="center"/>
              <w:rPr>
                <w:rFonts w:hint="eastAsia"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523</w:t>
            </w:r>
          </w:p>
        </w:tc>
      </w:tr>
      <w:tr w14:paraId="6027E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7" w:type="dxa"/>
            <w:tcBorders>
              <w:top w:val="single" w:color="auto" w:sz="4" w:space="0"/>
              <w:left w:val="single" w:color="auto" w:sz="4" w:space="0"/>
              <w:bottom w:val="single" w:color="auto" w:sz="4" w:space="0"/>
              <w:right w:val="single" w:color="auto" w:sz="4" w:space="0"/>
            </w:tcBorders>
            <w:vAlign w:val="center"/>
          </w:tcPr>
          <w:p w14:paraId="444D3E0A">
            <w:pPr>
              <w:widowControl/>
              <w:jc w:val="center"/>
              <w:rPr>
                <w:rFonts w:hint="eastAsia" w:ascii="新宋体" w:hAnsi="新宋体" w:eastAsia="新宋体" w:cs="新宋体"/>
                <w:color w:val="000000" w:themeColor="text1"/>
                <w:sz w:val="24"/>
                <w:szCs w:val="21"/>
                <w14:textFill>
                  <w14:solidFill>
                    <w14:schemeClr w14:val="tx1"/>
                  </w14:solidFill>
                </w14:textFill>
              </w:rPr>
            </w:pPr>
            <w:r>
              <w:rPr>
                <w:rFonts w:hint="eastAsia" w:ascii="新宋体" w:hAnsi="新宋体" w:eastAsia="新宋体" w:cs="新宋体"/>
                <w:color w:val="000000" w:themeColor="text1"/>
                <w:szCs w:val="21"/>
                <w14:textFill>
                  <w14:solidFill>
                    <w14:schemeClr w14:val="tx1"/>
                  </w14:solidFill>
                </w14:textFill>
              </w:rPr>
              <w:t>3</w:t>
            </w:r>
          </w:p>
        </w:tc>
        <w:tc>
          <w:tcPr>
            <w:tcW w:w="4939" w:type="dxa"/>
            <w:tcBorders>
              <w:top w:val="single" w:color="auto" w:sz="4" w:space="0"/>
              <w:left w:val="single" w:color="auto" w:sz="4" w:space="0"/>
              <w:bottom w:val="single" w:color="auto" w:sz="4" w:space="0"/>
              <w:right w:val="single" w:color="auto" w:sz="4" w:space="0"/>
            </w:tcBorders>
            <w:shd w:val="clear" w:color="auto" w:fill="auto"/>
            <w:vAlign w:val="center"/>
          </w:tcPr>
          <w:p w14:paraId="6251ECCF">
            <w:pPr>
              <w:widowControl/>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短袖制式衬衫（其中通州局大队204件）</w:t>
            </w:r>
          </w:p>
        </w:tc>
        <w:tc>
          <w:tcPr>
            <w:tcW w:w="737" w:type="dxa"/>
            <w:tcBorders>
              <w:top w:val="single" w:color="auto" w:sz="4" w:space="0"/>
              <w:left w:val="single" w:color="auto" w:sz="4" w:space="0"/>
              <w:bottom w:val="single" w:color="auto" w:sz="4" w:space="0"/>
              <w:right w:val="single" w:color="auto" w:sz="4" w:space="0"/>
            </w:tcBorders>
          </w:tcPr>
          <w:p w14:paraId="7BF69F9B">
            <w:pPr>
              <w:widowControl/>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件</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3F55F86B">
            <w:pPr>
              <w:widowControl/>
              <w:jc w:val="center"/>
              <w:rPr>
                <w:rFonts w:hint="eastAsia"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1001</w:t>
            </w:r>
          </w:p>
        </w:tc>
      </w:tr>
      <w:tr w14:paraId="576BD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7" w:type="dxa"/>
            <w:tcBorders>
              <w:top w:val="single" w:color="auto" w:sz="4" w:space="0"/>
              <w:left w:val="single" w:color="auto" w:sz="4" w:space="0"/>
              <w:bottom w:val="single" w:color="auto" w:sz="4" w:space="0"/>
              <w:right w:val="single" w:color="auto" w:sz="4" w:space="0"/>
            </w:tcBorders>
            <w:vAlign w:val="center"/>
          </w:tcPr>
          <w:p w14:paraId="758E0F08">
            <w:pPr>
              <w:widowControl/>
              <w:jc w:val="center"/>
              <w:rPr>
                <w:rFonts w:hint="eastAsia" w:ascii="新宋体" w:hAnsi="新宋体" w:eastAsia="新宋体" w:cs="新宋体"/>
                <w:color w:val="000000" w:themeColor="text1"/>
                <w:sz w:val="24"/>
                <w:szCs w:val="21"/>
                <w14:textFill>
                  <w14:solidFill>
                    <w14:schemeClr w14:val="tx1"/>
                  </w14:solidFill>
                </w14:textFill>
              </w:rPr>
            </w:pPr>
            <w:r>
              <w:rPr>
                <w:rFonts w:hint="eastAsia" w:ascii="新宋体" w:hAnsi="新宋体" w:eastAsia="新宋体" w:cs="新宋体"/>
                <w:color w:val="000000" w:themeColor="text1"/>
                <w:szCs w:val="21"/>
                <w14:textFill>
                  <w14:solidFill>
                    <w14:schemeClr w14:val="tx1"/>
                  </w14:solidFill>
                </w14:textFill>
              </w:rPr>
              <w:t>4</w:t>
            </w:r>
          </w:p>
        </w:tc>
        <w:tc>
          <w:tcPr>
            <w:tcW w:w="4939" w:type="dxa"/>
            <w:tcBorders>
              <w:top w:val="single" w:color="auto" w:sz="4" w:space="0"/>
              <w:left w:val="single" w:color="auto" w:sz="4" w:space="0"/>
              <w:bottom w:val="single" w:color="auto" w:sz="4" w:space="0"/>
              <w:right w:val="single" w:color="auto" w:sz="4" w:space="0"/>
            </w:tcBorders>
            <w:shd w:val="clear" w:color="auto" w:fill="auto"/>
            <w:vAlign w:val="center"/>
          </w:tcPr>
          <w:p w14:paraId="65E3A342">
            <w:pPr>
              <w:widowControl/>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腰带（其中通州局大队68条）</w:t>
            </w:r>
          </w:p>
        </w:tc>
        <w:tc>
          <w:tcPr>
            <w:tcW w:w="737" w:type="dxa"/>
            <w:tcBorders>
              <w:top w:val="single" w:color="auto" w:sz="4" w:space="0"/>
              <w:left w:val="single" w:color="auto" w:sz="4" w:space="0"/>
              <w:bottom w:val="single" w:color="auto" w:sz="4" w:space="0"/>
              <w:right w:val="single" w:color="auto" w:sz="4" w:space="0"/>
            </w:tcBorders>
          </w:tcPr>
          <w:p w14:paraId="68FB16D5">
            <w:pPr>
              <w:widowControl/>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条</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03A7CCE3">
            <w:pPr>
              <w:widowControl/>
              <w:jc w:val="center"/>
              <w:rPr>
                <w:rFonts w:hint="eastAsia"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516</w:t>
            </w:r>
          </w:p>
        </w:tc>
      </w:tr>
      <w:tr w14:paraId="675F6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7" w:type="dxa"/>
            <w:tcBorders>
              <w:top w:val="single" w:color="auto" w:sz="4" w:space="0"/>
              <w:left w:val="single" w:color="auto" w:sz="4" w:space="0"/>
              <w:bottom w:val="single" w:color="auto" w:sz="4" w:space="0"/>
              <w:right w:val="single" w:color="auto" w:sz="4" w:space="0"/>
            </w:tcBorders>
            <w:vAlign w:val="center"/>
          </w:tcPr>
          <w:p w14:paraId="5FF087BD">
            <w:pPr>
              <w:widowControl/>
              <w:jc w:val="center"/>
              <w:rPr>
                <w:rFonts w:hint="eastAsia" w:ascii="新宋体" w:hAnsi="新宋体" w:eastAsia="新宋体" w:cs="新宋体"/>
                <w:sz w:val="24"/>
                <w:szCs w:val="21"/>
              </w:rPr>
            </w:pPr>
            <w:r>
              <w:rPr>
                <w:rFonts w:hint="eastAsia" w:ascii="新宋体" w:hAnsi="新宋体" w:eastAsia="新宋体" w:cs="新宋体"/>
                <w:szCs w:val="21"/>
              </w:rPr>
              <w:t>5</w:t>
            </w:r>
          </w:p>
        </w:tc>
        <w:tc>
          <w:tcPr>
            <w:tcW w:w="4939" w:type="dxa"/>
            <w:tcBorders>
              <w:top w:val="single" w:color="auto" w:sz="4" w:space="0"/>
              <w:left w:val="single" w:color="auto" w:sz="4" w:space="0"/>
              <w:bottom w:val="single" w:color="auto" w:sz="4" w:space="0"/>
              <w:right w:val="single" w:color="auto" w:sz="4" w:space="0"/>
            </w:tcBorders>
            <w:shd w:val="clear" w:color="auto" w:fill="auto"/>
            <w:vAlign w:val="center"/>
          </w:tcPr>
          <w:p w14:paraId="299435DA">
            <w:pPr>
              <w:widowControl/>
              <w:jc w:val="center"/>
              <w:rPr>
                <w:rFonts w:hint="eastAsia" w:ascii="宋体" w:hAnsi="宋体" w:eastAsia="宋体" w:cs="宋体"/>
                <w:sz w:val="24"/>
                <w:szCs w:val="24"/>
              </w:rPr>
            </w:pPr>
            <w:r>
              <w:rPr>
                <w:rFonts w:hint="eastAsia" w:ascii="宋体" w:hAnsi="宋体" w:eastAsia="宋体" w:cs="宋体"/>
                <w:sz w:val="24"/>
                <w:szCs w:val="24"/>
              </w:rPr>
              <w:t>软肩章</w:t>
            </w:r>
          </w:p>
        </w:tc>
        <w:tc>
          <w:tcPr>
            <w:tcW w:w="737" w:type="dxa"/>
            <w:tcBorders>
              <w:top w:val="single" w:color="auto" w:sz="4" w:space="0"/>
              <w:left w:val="single" w:color="auto" w:sz="4" w:space="0"/>
              <w:bottom w:val="single" w:color="auto" w:sz="4" w:space="0"/>
              <w:right w:val="single" w:color="auto" w:sz="4" w:space="0"/>
            </w:tcBorders>
          </w:tcPr>
          <w:p w14:paraId="35E2BE05">
            <w:pPr>
              <w:widowControl/>
              <w:jc w:val="center"/>
              <w:rPr>
                <w:rFonts w:hint="eastAsia" w:ascii="宋体" w:hAnsi="宋体" w:eastAsia="宋体" w:cs="宋体"/>
                <w:sz w:val="24"/>
                <w:szCs w:val="24"/>
              </w:rPr>
            </w:pPr>
            <w:r>
              <w:rPr>
                <w:rFonts w:hint="eastAsia" w:ascii="宋体" w:hAnsi="宋体" w:eastAsia="宋体" w:cs="宋体"/>
                <w:sz w:val="24"/>
                <w:szCs w:val="24"/>
              </w:rPr>
              <w:t>副</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56A086C7">
            <w:pPr>
              <w:widowControl/>
              <w:jc w:val="center"/>
              <w:rPr>
                <w:rFonts w:hint="eastAsia" w:ascii="宋体" w:hAnsi="宋体" w:eastAsia="宋体" w:cs="宋体"/>
                <w:sz w:val="24"/>
                <w:szCs w:val="24"/>
              </w:rPr>
            </w:pPr>
            <w:r>
              <w:rPr>
                <w:rFonts w:hint="eastAsia" w:ascii="宋体" w:hAnsi="宋体" w:eastAsia="宋体" w:cs="宋体"/>
                <w:sz w:val="24"/>
                <w:szCs w:val="24"/>
              </w:rPr>
              <w:t>448</w:t>
            </w:r>
          </w:p>
        </w:tc>
      </w:tr>
      <w:tr w14:paraId="5699E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7" w:type="dxa"/>
            <w:tcBorders>
              <w:top w:val="single" w:color="auto" w:sz="4" w:space="0"/>
              <w:left w:val="single" w:color="auto" w:sz="4" w:space="0"/>
              <w:bottom w:val="single" w:color="auto" w:sz="4" w:space="0"/>
              <w:right w:val="single" w:color="auto" w:sz="4" w:space="0"/>
            </w:tcBorders>
            <w:vAlign w:val="center"/>
          </w:tcPr>
          <w:p w14:paraId="52D79C14">
            <w:pPr>
              <w:widowControl/>
              <w:jc w:val="center"/>
              <w:rPr>
                <w:rFonts w:hint="eastAsia" w:ascii="新宋体" w:hAnsi="新宋体" w:eastAsia="新宋体" w:cs="新宋体"/>
                <w:sz w:val="24"/>
                <w:szCs w:val="21"/>
              </w:rPr>
            </w:pPr>
            <w:r>
              <w:rPr>
                <w:rFonts w:hint="eastAsia" w:ascii="新宋体" w:hAnsi="新宋体" w:eastAsia="新宋体" w:cs="新宋体"/>
                <w:szCs w:val="21"/>
              </w:rPr>
              <w:t>6</w:t>
            </w:r>
          </w:p>
        </w:tc>
        <w:tc>
          <w:tcPr>
            <w:tcW w:w="4939" w:type="dxa"/>
            <w:tcBorders>
              <w:top w:val="single" w:color="auto" w:sz="4" w:space="0"/>
              <w:left w:val="single" w:color="auto" w:sz="4" w:space="0"/>
              <w:bottom w:val="single" w:color="auto" w:sz="4" w:space="0"/>
              <w:right w:val="single" w:color="auto" w:sz="4" w:space="0"/>
            </w:tcBorders>
            <w:shd w:val="clear" w:color="auto" w:fill="auto"/>
            <w:vAlign w:val="center"/>
          </w:tcPr>
          <w:p w14:paraId="348B9690">
            <w:pPr>
              <w:widowControl/>
              <w:jc w:val="center"/>
              <w:rPr>
                <w:rFonts w:hint="eastAsia" w:ascii="宋体" w:hAnsi="宋体" w:eastAsia="宋体" w:cs="宋体"/>
                <w:sz w:val="24"/>
                <w:szCs w:val="24"/>
              </w:rPr>
            </w:pPr>
            <w:r>
              <w:rPr>
                <w:rFonts w:hint="eastAsia" w:ascii="宋体" w:hAnsi="宋体" w:eastAsia="宋体" w:cs="宋体"/>
                <w:sz w:val="24"/>
                <w:szCs w:val="24"/>
              </w:rPr>
              <w:t>套式肩章</w:t>
            </w:r>
          </w:p>
        </w:tc>
        <w:tc>
          <w:tcPr>
            <w:tcW w:w="737" w:type="dxa"/>
            <w:tcBorders>
              <w:top w:val="single" w:color="auto" w:sz="4" w:space="0"/>
              <w:left w:val="single" w:color="auto" w:sz="4" w:space="0"/>
              <w:bottom w:val="single" w:color="auto" w:sz="4" w:space="0"/>
              <w:right w:val="single" w:color="auto" w:sz="4" w:space="0"/>
            </w:tcBorders>
          </w:tcPr>
          <w:p w14:paraId="6A1BF058">
            <w:pPr>
              <w:widowControl/>
              <w:jc w:val="center"/>
              <w:rPr>
                <w:rFonts w:hint="eastAsia" w:ascii="宋体" w:hAnsi="宋体" w:eastAsia="宋体" w:cs="宋体"/>
                <w:sz w:val="24"/>
                <w:szCs w:val="24"/>
              </w:rPr>
            </w:pPr>
            <w:r>
              <w:rPr>
                <w:rFonts w:hint="eastAsia" w:ascii="宋体" w:hAnsi="宋体" w:eastAsia="宋体" w:cs="宋体"/>
                <w:sz w:val="24"/>
                <w:szCs w:val="24"/>
              </w:rPr>
              <w:t>副</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4CE05E99">
            <w:pPr>
              <w:widowControl/>
              <w:jc w:val="center"/>
              <w:rPr>
                <w:rFonts w:hint="eastAsia" w:ascii="宋体" w:hAnsi="宋体" w:eastAsia="宋体" w:cs="宋体"/>
                <w:sz w:val="24"/>
                <w:szCs w:val="24"/>
              </w:rPr>
            </w:pPr>
            <w:r>
              <w:rPr>
                <w:rFonts w:hint="eastAsia" w:ascii="宋体" w:hAnsi="宋体" w:eastAsia="宋体" w:cs="宋体"/>
                <w:sz w:val="24"/>
                <w:szCs w:val="24"/>
              </w:rPr>
              <w:t>448</w:t>
            </w:r>
          </w:p>
        </w:tc>
      </w:tr>
      <w:tr w14:paraId="6A086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7" w:type="dxa"/>
            <w:tcBorders>
              <w:top w:val="single" w:color="auto" w:sz="4" w:space="0"/>
              <w:left w:val="single" w:color="auto" w:sz="4" w:space="0"/>
              <w:bottom w:val="single" w:color="auto" w:sz="4" w:space="0"/>
              <w:right w:val="single" w:color="auto" w:sz="4" w:space="0"/>
            </w:tcBorders>
            <w:vAlign w:val="center"/>
          </w:tcPr>
          <w:p w14:paraId="6A0DDBB7">
            <w:pPr>
              <w:widowControl/>
              <w:jc w:val="center"/>
              <w:rPr>
                <w:rFonts w:hint="eastAsia" w:ascii="新宋体" w:hAnsi="新宋体" w:eastAsia="新宋体" w:cs="新宋体"/>
                <w:sz w:val="24"/>
                <w:szCs w:val="21"/>
              </w:rPr>
            </w:pPr>
            <w:bookmarkStart w:id="7" w:name="OLE_LINK31"/>
            <w:r>
              <w:rPr>
                <w:rFonts w:hint="eastAsia" w:ascii="新宋体" w:hAnsi="新宋体" w:eastAsia="新宋体" w:cs="新宋体"/>
                <w:szCs w:val="21"/>
              </w:rPr>
              <w:t>7</w:t>
            </w:r>
          </w:p>
        </w:tc>
        <w:tc>
          <w:tcPr>
            <w:tcW w:w="4939" w:type="dxa"/>
            <w:tcBorders>
              <w:top w:val="single" w:color="auto" w:sz="4" w:space="0"/>
              <w:left w:val="single" w:color="auto" w:sz="4" w:space="0"/>
              <w:bottom w:val="single" w:color="auto" w:sz="4" w:space="0"/>
              <w:right w:val="single" w:color="auto" w:sz="4" w:space="0"/>
            </w:tcBorders>
            <w:shd w:val="clear" w:color="auto" w:fill="auto"/>
            <w:vAlign w:val="center"/>
          </w:tcPr>
          <w:p w14:paraId="30B2E834">
            <w:pPr>
              <w:widowControl/>
              <w:jc w:val="center"/>
              <w:rPr>
                <w:rFonts w:hint="eastAsia" w:ascii="宋体" w:hAnsi="宋体" w:eastAsia="宋体" w:cs="宋体"/>
                <w:sz w:val="24"/>
                <w:szCs w:val="24"/>
              </w:rPr>
            </w:pPr>
            <w:r>
              <w:rPr>
                <w:rFonts w:hint="eastAsia" w:ascii="宋体" w:hAnsi="宋体" w:eastAsia="宋体" w:cs="宋体"/>
                <w:sz w:val="24"/>
                <w:szCs w:val="24"/>
              </w:rPr>
              <w:t>软胸徽</w:t>
            </w:r>
          </w:p>
        </w:tc>
        <w:tc>
          <w:tcPr>
            <w:tcW w:w="737" w:type="dxa"/>
            <w:tcBorders>
              <w:top w:val="single" w:color="auto" w:sz="4" w:space="0"/>
              <w:left w:val="single" w:color="auto" w:sz="4" w:space="0"/>
              <w:bottom w:val="single" w:color="auto" w:sz="4" w:space="0"/>
              <w:right w:val="single" w:color="auto" w:sz="4" w:space="0"/>
            </w:tcBorders>
          </w:tcPr>
          <w:p w14:paraId="5A82DBDF">
            <w:pPr>
              <w:widowControl/>
              <w:jc w:val="center"/>
              <w:rPr>
                <w:rFonts w:hint="eastAsia" w:ascii="宋体" w:hAnsi="宋体" w:eastAsia="宋体" w:cs="宋体"/>
                <w:sz w:val="24"/>
                <w:szCs w:val="24"/>
              </w:rPr>
            </w:pPr>
            <w:r>
              <w:rPr>
                <w:rFonts w:hint="eastAsia" w:ascii="宋体" w:hAnsi="宋体" w:eastAsia="宋体" w:cs="宋体"/>
                <w:sz w:val="24"/>
                <w:szCs w:val="24"/>
              </w:rPr>
              <w:t>枚</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6939D0B4">
            <w:pPr>
              <w:widowControl/>
              <w:jc w:val="center"/>
              <w:rPr>
                <w:rFonts w:hint="eastAsia" w:ascii="宋体" w:hAnsi="宋体" w:eastAsia="宋体" w:cs="宋体"/>
                <w:sz w:val="24"/>
                <w:szCs w:val="24"/>
              </w:rPr>
            </w:pPr>
            <w:r>
              <w:rPr>
                <w:rFonts w:hint="eastAsia" w:ascii="宋体" w:hAnsi="宋体" w:eastAsia="宋体" w:cs="宋体"/>
                <w:sz w:val="24"/>
                <w:szCs w:val="24"/>
              </w:rPr>
              <w:t>448</w:t>
            </w:r>
          </w:p>
        </w:tc>
      </w:tr>
      <w:bookmarkEnd w:id="7"/>
      <w:tr w14:paraId="05745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7" w:type="dxa"/>
            <w:tcBorders>
              <w:top w:val="single" w:color="auto" w:sz="4" w:space="0"/>
              <w:left w:val="single" w:color="auto" w:sz="4" w:space="0"/>
              <w:bottom w:val="single" w:color="auto" w:sz="4" w:space="0"/>
              <w:right w:val="single" w:color="auto" w:sz="4" w:space="0"/>
            </w:tcBorders>
            <w:vAlign w:val="center"/>
          </w:tcPr>
          <w:p w14:paraId="5FBC75A1">
            <w:pPr>
              <w:widowControl/>
              <w:jc w:val="center"/>
              <w:rPr>
                <w:rFonts w:hint="eastAsia" w:ascii="新宋体" w:hAnsi="新宋体" w:eastAsia="新宋体" w:cs="新宋体"/>
                <w:sz w:val="24"/>
                <w:szCs w:val="21"/>
              </w:rPr>
            </w:pPr>
            <w:r>
              <w:rPr>
                <w:rFonts w:hint="eastAsia" w:ascii="新宋体" w:hAnsi="新宋体" w:eastAsia="新宋体" w:cs="新宋体"/>
                <w:szCs w:val="21"/>
              </w:rPr>
              <w:t>8</w:t>
            </w:r>
          </w:p>
        </w:tc>
        <w:tc>
          <w:tcPr>
            <w:tcW w:w="4939" w:type="dxa"/>
            <w:tcBorders>
              <w:top w:val="single" w:color="auto" w:sz="4" w:space="0"/>
              <w:left w:val="single" w:color="auto" w:sz="4" w:space="0"/>
              <w:bottom w:val="single" w:color="auto" w:sz="4" w:space="0"/>
              <w:right w:val="single" w:color="auto" w:sz="4" w:space="0"/>
            </w:tcBorders>
            <w:shd w:val="clear" w:color="auto" w:fill="auto"/>
            <w:vAlign w:val="center"/>
          </w:tcPr>
          <w:p w14:paraId="5BF98657">
            <w:pPr>
              <w:widowControl/>
              <w:jc w:val="center"/>
              <w:rPr>
                <w:rFonts w:hint="eastAsia" w:ascii="宋体" w:hAnsi="宋体" w:eastAsia="宋体" w:cs="宋体"/>
                <w:sz w:val="24"/>
                <w:szCs w:val="24"/>
              </w:rPr>
            </w:pPr>
            <w:r>
              <w:rPr>
                <w:rFonts w:hint="eastAsia" w:ascii="宋体" w:hAnsi="宋体" w:eastAsia="宋体" w:cs="宋体"/>
                <w:sz w:val="24"/>
                <w:szCs w:val="24"/>
              </w:rPr>
              <w:t>软胸号</w:t>
            </w:r>
          </w:p>
        </w:tc>
        <w:tc>
          <w:tcPr>
            <w:tcW w:w="737" w:type="dxa"/>
            <w:tcBorders>
              <w:top w:val="single" w:color="auto" w:sz="4" w:space="0"/>
              <w:left w:val="single" w:color="auto" w:sz="4" w:space="0"/>
              <w:bottom w:val="single" w:color="auto" w:sz="4" w:space="0"/>
              <w:right w:val="single" w:color="auto" w:sz="4" w:space="0"/>
            </w:tcBorders>
          </w:tcPr>
          <w:p w14:paraId="0EA3A42E">
            <w:pPr>
              <w:widowControl/>
              <w:jc w:val="center"/>
              <w:rPr>
                <w:rFonts w:hint="eastAsia" w:ascii="宋体" w:hAnsi="宋体" w:eastAsia="宋体" w:cs="宋体"/>
                <w:sz w:val="24"/>
                <w:szCs w:val="24"/>
              </w:rPr>
            </w:pPr>
            <w:r>
              <w:rPr>
                <w:rFonts w:hint="eastAsia" w:ascii="宋体" w:hAnsi="宋体" w:eastAsia="宋体" w:cs="宋体"/>
                <w:sz w:val="24"/>
                <w:szCs w:val="24"/>
              </w:rPr>
              <w:t>枚</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36DE33C1">
            <w:pPr>
              <w:widowControl/>
              <w:jc w:val="center"/>
              <w:rPr>
                <w:rFonts w:hint="eastAsia" w:ascii="宋体" w:hAnsi="宋体" w:eastAsia="宋体" w:cs="宋体"/>
                <w:sz w:val="24"/>
                <w:szCs w:val="24"/>
              </w:rPr>
            </w:pPr>
            <w:r>
              <w:rPr>
                <w:rFonts w:hint="eastAsia" w:ascii="宋体" w:hAnsi="宋体" w:eastAsia="宋体" w:cs="宋体"/>
                <w:sz w:val="24"/>
                <w:szCs w:val="24"/>
              </w:rPr>
              <w:t>448</w:t>
            </w:r>
          </w:p>
        </w:tc>
      </w:tr>
      <w:bookmarkEnd w:id="4"/>
    </w:tbl>
    <w:p w14:paraId="5A7C7584">
      <w:pPr>
        <w:adjustRightInd w:val="0"/>
        <w:snapToGri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7、采购需求：具体详见《第三部分 项目需求》。</w:t>
      </w:r>
    </w:p>
    <w:p w14:paraId="73B53D04">
      <w:pPr>
        <w:adjustRightInd w:val="0"/>
        <w:snapToGri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8、合同履行期限：成交供应商按采购单位要求的供货时间、需求数量供货，具体以采购单位通知为准。成交供应商接到采购单位货物需求通知后30日内交货至采购单位指定地点，且通过采购单位验收。</w:t>
      </w:r>
    </w:p>
    <w:p w14:paraId="0AF2AA28">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9、本项目是否接受联合体投标：否。</w:t>
      </w:r>
    </w:p>
    <w:p w14:paraId="1A7682FF">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10、本项目不接受分包。</w:t>
      </w:r>
    </w:p>
    <w:p w14:paraId="4F8C2888">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二、供应商的资格要求：</w:t>
      </w:r>
    </w:p>
    <w:p w14:paraId="4EFBD694">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法律、行政法规规定的其他条件。</w:t>
      </w:r>
    </w:p>
    <w:p w14:paraId="2E63B832">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2、本项目的特定资格要求：无</w:t>
      </w:r>
      <w:r>
        <w:rPr>
          <w:rFonts w:hint="eastAsia" w:ascii="宋体" w:hAnsi="宋体" w:eastAsia="宋体" w:cs="宋体"/>
          <w:color w:val="000000"/>
          <w:sz w:val="24"/>
        </w:rPr>
        <w:t>。</w:t>
      </w:r>
    </w:p>
    <w:p w14:paraId="429E1421">
      <w:pPr>
        <w:shd w:val="clear" w:color="auto" w:fill="FFFFFF"/>
        <w:snapToGrid w:val="0"/>
        <w:spacing w:line="348" w:lineRule="auto"/>
        <w:ind w:firstLine="480" w:firstLineChars="200"/>
        <w:jc w:val="left"/>
        <w:textAlignment w:val="baseline"/>
        <w:rPr>
          <w:rFonts w:hint="eastAsia" w:ascii="宋体" w:hAnsi="宋体" w:eastAsia="宋体" w:cs="宋体"/>
          <w:b/>
          <w:bCs/>
          <w:color w:val="333333"/>
          <w:sz w:val="24"/>
        </w:rPr>
      </w:pPr>
      <w:r>
        <w:rPr>
          <w:rFonts w:hint="eastAsia" w:ascii="宋体" w:hAnsi="宋体" w:eastAsia="宋体" w:cs="宋体"/>
          <w:color w:val="333333"/>
          <w:sz w:val="24"/>
        </w:rPr>
        <w:t>3、落实政府采购政策需满足的资格要求：</w:t>
      </w:r>
      <w:r>
        <w:rPr>
          <w:rFonts w:hint="eastAsia" w:ascii="宋体" w:hAnsi="宋体" w:eastAsia="宋体" w:cs="宋体"/>
          <w:b/>
          <w:color w:val="333333"/>
          <w:sz w:val="24"/>
          <w:u w:val="single"/>
        </w:rPr>
        <w:t>本项目属于专门面向中小企业（含残疾人福利性单位、监狱企业）采购的项目，全部货物产品的制造商应为中小微企业、监狱企业、残疾人福利性单位。</w:t>
      </w:r>
    </w:p>
    <w:p w14:paraId="45771825">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三、获取采购文件</w:t>
      </w:r>
    </w:p>
    <w:p w14:paraId="04E61B56">
      <w:pPr>
        <w:adjustRightInd w:val="0"/>
        <w:snapToGri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时  间：</w:t>
      </w:r>
      <w:r>
        <w:rPr>
          <w:rFonts w:hint="eastAsia" w:ascii="宋体" w:hAnsi="宋体" w:eastAsia="宋体" w:cs="宋体"/>
          <w:sz w:val="24"/>
          <w:u w:val="single" w:color="000000"/>
        </w:rPr>
        <w:t>自本公告发布之日起</w:t>
      </w:r>
      <w:r>
        <w:rPr>
          <w:rFonts w:hint="eastAsia" w:ascii="宋体" w:hAnsi="宋体" w:eastAsia="宋体" w:cs="宋体"/>
          <w:sz w:val="24"/>
        </w:rPr>
        <w:t>至</w:t>
      </w:r>
      <w:r>
        <w:rPr>
          <w:rFonts w:hint="eastAsia" w:ascii="宋体" w:hAnsi="宋体" w:eastAsia="宋体" w:cs="宋体"/>
          <w:sz w:val="24"/>
          <w:u w:val="single" w:color="000000"/>
        </w:rPr>
        <w:t>2025年07月11日</w:t>
      </w:r>
    </w:p>
    <w:p w14:paraId="0AB36832">
      <w:pPr>
        <w:adjustRightInd w:val="0"/>
        <w:snapToGrid w:val="0"/>
        <w:spacing w:line="360" w:lineRule="auto"/>
        <w:ind w:firstLine="480" w:firstLineChars="200"/>
        <w:rPr>
          <w:rFonts w:hint="eastAsia" w:ascii="宋体" w:hAnsi="宋体" w:eastAsia="宋体" w:cs="宋体"/>
          <w:kern w:val="2"/>
          <w:sz w:val="24"/>
          <w:u w:val="single"/>
        </w:rPr>
      </w:pPr>
      <w:r>
        <w:rPr>
          <w:rFonts w:hint="eastAsia" w:ascii="宋体" w:hAnsi="宋体" w:eastAsia="宋体" w:cs="宋体"/>
          <w:kern w:val="2"/>
          <w:sz w:val="24"/>
        </w:rPr>
        <w:t>地  点：南通市就交通运输局官网。</w:t>
      </w:r>
    </w:p>
    <w:p w14:paraId="1FB0F140">
      <w:pPr>
        <w:adjustRightInd w:val="0"/>
        <w:snapToGrid w:val="0"/>
        <w:spacing w:line="360" w:lineRule="auto"/>
        <w:ind w:firstLine="480" w:firstLineChars="200"/>
        <w:rPr>
          <w:rFonts w:hint="eastAsia" w:ascii="宋体" w:hAnsi="宋体" w:eastAsia="宋体" w:cs="宋体"/>
          <w:kern w:val="2"/>
          <w:sz w:val="24"/>
        </w:rPr>
      </w:pPr>
      <w:r>
        <w:rPr>
          <w:rFonts w:hint="eastAsia" w:ascii="宋体" w:hAnsi="宋体" w:eastAsia="宋体" w:cs="宋体"/>
          <w:kern w:val="2"/>
          <w:sz w:val="24"/>
        </w:rPr>
        <w:t>方  式：自行下载。</w:t>
      </w:r>
    </w:p>
    <w:p w14:paraId="6223E8BC">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四、提交响应文件截止时间、磋商时间和地点</w:t>
      </w:r>
    </w:p>
    <w:p w14:paraId="16A44EE3">
      <w:pPr>
        <w:snapToGrid w:val="0"/>
        <w:spacing w:line="360" w:lineRule="auto"/>
        <w:ind w:firstLine="480" w:firstLineChars="200"/>
        <w:textAlignment w:val="baseline"/>
        <w:rPr>
          <w:rFonts w:hint="eastAsia" w:ascii="宋体" w:hAnsi="宋体" w:eastAsia="宋体" w:cs="宋体"/>
          <w:bCs/>
          <w:sz w:val="24"/>
          <w:u w:val="single"/>
        </w:rPr>
      </w:pPr>
      <w:r>
        <w:rPr>
          <w:rFonts w:hint="eastAsia" w:ascii="宋体" w:hAnsi="宋体" w:eastAsia="宋体" w:cs="宋体"/>
          <w:sz w:val="24"/>
        </w:rPr>
        <w:t xml:space="preserve">时  间： </w:t>
      </w:r>
      <w:r>
        <w:rPr>
          <w:rFonts w:hint="eastAsia" w:ascii="宋体" w:hAnsi="宋体" w:eastAsia="宋体" w:cs="宋体"/>
          <w:sz w:val="24"/>
          <w:u w:val="single" w:color="000000"/>
        </w:rPr>
        <w:t>2025年07月11日14</w:t>
      </w:r>
      <w:r>
        <w:rPr>
          <w:rFonts w:hint="eastAsia" w:ascii="宋体" w:hAnsi="宋体" w:eastAsia="宋体" w:cs="宋体"/>
          <w:bCs/>
          <w:sz w:val="24"/>
          <w:u w:val="single"/>
        </w:rPr>
        <w:t>时30分</w:t>
      </w:r>
      <w:r>
        <w:rPr>
          <w:rFonts w:hint="eastAsia" w:ascii="宋体" w:hAnsi="宋体" w:eastAsia="宋体" w:cs="宋体"/>
          <w:bCs/>
          <w:sz w:val="24"/>
        </w:rPr>
        <w:t>（北京时间），逾时，采购单位将拒绝接受其响应文件。</w:t>
      </w:r>
    </w:p>
    <w:p w14:paraId="38732518">
      <w:pPr>
        <w:snapToGri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地  点：</w:t>
      </w:r>
      <w:r>
        <w:rPr>
          <w:rFonts w:hint="eastAsia" w:ascii="宋体" w:hAnsi="宋体" w:eastAsia="宋体" w:cs="宋体"/>
          <w:kern w:val="2"/>
          <w:sz w:val="24"/>
          <w:u w:val="single"/>
        </w:rPr>
        <w:t>南通市崇川区外环东路12号2楼南侧，如有变动另行通知。</w:t>
      </w:r>
    </w:p>
    <w:p w14:paraId="3462E043">
      <w:pPr>
        <w:snapToGrid w:val="0"/>
        <w:spacing w:line="360" w:lineRule="auto"/>
        <w:ind w:firstLine="480" w:firstLineChars="200"/>
        <w:rPr>
          <w:rFonts w:eastAsia="宋体" w:cs="宋体"/>
          <w:sz w:val="24"/>
          <w:szCs w:val="24"/>
        </w:rPr>
      </w:pPr>
      <w:r>
        <w:rPr>
          <w:rFonts w:hint="eastAsia" w:eastAsia="宋体" w:cs="宋体"/>
          <w:sz w:val="24"/>
          <w:szCs w:val="24"/>
        </w:rPr>
        <w:t>五、响应文件的开启</w:t>
      </w:r>
    </w:p>
    <w:p w14:paraId="50423C50">
      <w:pPr>
        <w:snapToGrid w:val="0"/>
        <w:spacing w:line="360" w:lineRule="auto"/>
        <w:ind w:firstLine="480" w:firstLineChars="200"/>
        <w:textAlignment w:val="baseline"/>
        <w:rPr>
          <w:rFonts w:hint="eastAsia" w:ascii="宋体" w:hAnsi="宋体" w:eastAsia="宋体" w:cs="宋体"/>
          <w:bCs/>
          <w:sz w:val="24"/>
          <w:u w:val="single"/>
        </w:rPr>
      </w:pPr>
      <w:r>
        <w:rPr>
          <w:rFonts w:hint="eastAsia" w:ascii="宋体" w:hAnsi="宋体" w:eastAsia="宋体" w:cs="宋体"/>
          <w:sz w:val="24"/>
        </w:rPr>
        <w:t xml:space="preserve">时  间： </w:t>
      </w:r>
      <w:r>
        <w:rPr>
          <w:rFonts w:hint="eastAsia" w:ascii="宋体" w:hAnsi="宋体" w:eastAsia="宋体" w:cs="宋体"/>
          <w:sz w:val="24"/>
          <w:u w:val="single" w:color="000000"/>
        </w:rPr>
        <w:t>2025年07月11日14</w:t>
      </w:r>
      <w:r>
        <w:rPr>
          <w:rFonts w:hint="eastAsia" w:ascii="宋体" w:hAnsi="宋体" w:eastAsia="宋体" w:cs="宋体"/>
          <w:bCs/>
          <w:sz w:val="24"/>
          <w:u w:val="single"/>
        </w:rPr>
        <w:t>时30分</w:t>
      </w:r>
      <w:r>
        <w:rPr>
          <w:rFonts w:hint="eastAsia" w:ascii="宋体" w:hAnsi="宋体" w:eastAsia="宋体" w:cs="宋体"/>
          <w:bCs/>
          <w:sz w:val="24"/>
        </w:rPr>
        <w:t>（北京时间）</w:t>
      </w:r>
    </w:p>
    <w:p w14:paraId="181097F7">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地  点：</w:t>
      </w:r>
      <w:r>
        <w:rPr>
          <w:rFonts w:hint="eastAsia" w:ascii="宋体" w:hAnsi="宋体" w:eastAsia="宋体" w:cs="宋体"/>
          <w:sz w:val="24"/>
          <w:szCs w:val="24"/>
          <w:u w:val="single"/>
        </w:rPr>
        <w:t>南通市崇川区外环东路12号2楼南侧</w:t>
      </w:r>
      <w:r>
        <w:rPr>
          <w:rFonts w:hint="eastAsia" w:ascii="宋体" w:hAnsi="宋体" w:eastAsia="宋体" w:cs="宋体"/>
          <w:snapToGrid w:val="0"/>
          <w:sz w:val="24"/>
          <w:szCs w:val="24"/>
          <w:u w:val="single"/>
        </w:rPr>
        <w:t>，如有变动另行通知。</w:t>
      </w:r>
    </w:p>
    <w:p w14:paraId="4FA29C79">
      <w:pPr>
        <w:adjustRightInd w:val="0"/>
        <w:snapToGrid w:val="0"/>
        <w:spacing w:line="360" w:lineRule="auto"/>
        <w:ind w:left="482"/>
        <w:rPr>
          <w:rFonts w:hint="eastAsia" w:ascii="宋体" w:hAnsi="宋体" w:eastAsia="宋体" w:cs="宋体"/>
          <w:sz w:val="24"/>
          <w:szCs w:val="24"/>
        </w:rPr>
      </w:pPr>
      <w:r>
        <w:rPr>
          <w:rFonts w:hint="eastAsia" w:ascii="宋体" w:hAnsi="宋体" w:eastAsia="宋体" w:cs="宋体"/>
          <w:sz w:val="24"/>
          <w:szCs w:val="24"/>
        </w:rPr>
        <w:t>六、公告期限</w:t>
      </w:r>
    </w:p>
    <w:p w14:paraId="2C599B36">
      <w:pPr>
        <w:adjustRightInd w:val="0"/>
        <w:snapToGri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自本公告发布之日起3个工作日。</w:t>
      </w:r>
    </w:p>
    <w:p w14:paraId="04A42483">
      <w:pPr>
        <w:adjustRightInd w:val="0"/>
        <w:snapToGrid w:val="0"/>
        <w:spacing w:line="360" w:lineRule="auto"/>
        <w:ind w:firstLine="482" w:firstLineChars="200"/>
        <w:textAlignment w:val="baseline"/>
        <w:rPr>
          <w:rFonts w:hint="eastAsia" w:ascii="宋体" w:hAnsi="宋体" w:eastAsia="宋体" w:cs="宋体"/>
          <w:b/>
          <w:sz w:val="24"/>
        </w:rPr>
      </w:pPr>
      <w:r>
        <w:rPr>
          <w:rFonts w:hint="eastAsia" w:ascii="宋体" w:hAnsi="宋体" w:eastAsia="宋体" w:cs="宋体"/>
          <w:b/>
          <w:sz w:val="24"/>
        </w:rPr>
        <w:t>七、其他补充事宜：</w:t>
      </w:r>
    </w:p>
    <w:p w14:paraId="28196A6B">
      <w:pPr>
        <w:numPr>
          <w:ilvl w:val="0"/>
          <w:numId w:val="1"/>
        </w:numPr>
        <w:adjustRightInd w:val="0"/>
        <w:snapToGri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磋商保证金：免收。</w:t>
      </w:r>
    </w:p>
    <w:p w14:paraId="72144084">
      <w:pPr>
        <w:numPr>
          <w:ilvl w:val="0"/>
          <w:numId w:val="1"/>
        </w:numPr>
        <w:adjustRightInd w:val="0"/>
        <w:snapToGrid w:val="0"/>
        <w:spacing w:line="360" w:lineRule="auto"/>
        <w:ind w:firstLine="480"/>
        <w:textAlignment w:val="baseline"/>
        <w:rPr>
          <w:rFonts w:hint="eastAsia" w:ascii="宋体" w:hAnsi="宋体" w:eastAsia="宋体" w:cs="宋体"/>
          <w:sz w:val="24"/>
        </w:rPr>
      </w:pPr>
      <w:r>
        <w:rPr>
          <w:rFonts w:hint="eastAsia" w:ascii="宋体" w:hAnsi="宋体" w:eastAsia="宋体" w:cs="宋体"/>
          <w:sz w:val="24"/>
        </w:rPr>
        <w:t>项目磋商活动模式：现场磋商模式，供应商须参加现场磋商活动。</w:t>
      </w:r>
    </w:p>
    <w:p w14:paraId="0DFC0A42">
      <w:pPr>
        <w:numPr>
          <w:ilvl w:val="0"/>
          <w:numId w:val="1"/>
        </w:numPr>
        <w:adjustRightInd w:val="0"/>
        <w:snapToGrid w:val="0"/>
        <w:spacing w:line="360" w:lineRule="auto"/>
        <w:ind w:firstLine="480"/>
        <w:textAlignment w:val="baseline"/>
        <w:rPr>
          <w:rFonts w:hint="eastAsia" w:ascii="宋体" w:hAnsi="宋体" w:eastAsia="宋体" w:cs="宋体"/>
          <w:sz w:val="24"/>
        </w:rPr>
      </w:pPr>
      <w:r>
        <w:rPr>
          <w:rFonts w:hint="eastAsia" w:ascii="宋体" w:hAnsi="宋体" w:eastAsia="宋体" w:cs="宋体"/>
          <w:sz w:val="24"/>
        </w:rPr>
        <w:t>项目演示、样品、答辩等：本项目须提供样品，样品要求详见《第三部分 项目需求》。</w:t>
      </w:r>
    </w:p>
    <w:p w14:paraId="192234A9">
      <w:pPr>
        <w:numPr>
          <w:ilvl w:val="0"/>
          <w:numId w:val="1"/>
        </w:numPr>
        <w:adjustRightInd w:val="0"/>
        <w:snapToGrid w:val="0"/>
        <w:spacing w:line="360" w:lineRule="auto"/>
        <w:ind w:firstLine="480"/>
        <w:rPr>
          <w:rFonts w:hint="eastAsia" w:ascii="宋体" w:hAnsi="宋体" w:eastAsia="宋体" w:cs="宋体"/>
          <w:sz w:val="24"/>
        </w:rPr>
      </w:pPr>
      <w:r>
        <w:rPr>
          <w:rFonts w:hint="eastAsia" w:ascii="宋体" w:hAnsi="宋体" w:eastAsia="宋体" w:cs="宋体"/>
          <w:sz w:val="24"/>
        </w:rPr>
        <w:t>对项目需求部分（供应商资格要求、项目需求、商务技术评分标准）的询问、质疑请向采购单位提出，由采购单位负责答复；对项目磋商文件其它部分的询问请向磋商代理机构提出。</w:t>
      </w:r>
    </w:p>
    <w:p w14:paraId="504AF117">
      <w:pPr>
        <w:numPr>
          <w:ilvl w:val="0"/>
          <w:numId w:val="1"/>
        </w:numPr>
        <w:adjustRightInd w:val="0"/>
        <w:snapToGrid w:val="0"/>
        <w:spacing w:line="360" w:lineRule="auto"/>
        <w:ind w:firstLine="480"/>
        <w:rPr>
          <w:rFonts w:hint="eastAsia" w:ascii="宋体" w:hAnsi="宋体" w:eastAsia="宋体" w:cs="宋体"/>
          <w:sz w:val="24"/>
        </w:rPr>
      </w:pPr>
      <w:r>
        <w:rPr>
          <w:rFonts w:hint="eastAsia" w:ascii="宋体" w:hAnsi="宋体" w:eastAsia="宋体" w:cs="宋体"/>
          <w:sz w:val="24"/>
        </w:rPr>
        <w:t>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14:paraId="660FD3F3">
      <w:pPr>
        <w:adjustRightInd w:val="0"/>
        <w:snapToGrid w:val="0"/>
        <w:spacing w:line="360" w:lineRule="auto"/>
        <w:ind w:left="482"/>
        <w:textAlignment w:val="baseline"/>
        <w:rPr>
          <w:rFonts w:hint="eastAsia" w:ascii="宋体" w:hAnsi="宋体" w:eastAsia="宋体" w:cs="宋体"/>
          <w:b/>
          <w:bCs/>
          <w:sz w:val="24"/>
        </w:rPr>
      </w:pPr>
      <w:r>
        <w:rPr>
          <w:rFonts w:hint="eastAsia" w:ascii="宋体" w:hAnsi="宋体" w:eastAsia="宋体" w:cs="宋体"/>
          <w:b/>
          <w:bCs/>
          <w:sz w:val="24"/>
        </w:rPr>
        <w:t>八、凡对本次采购提出询问，请按以下方式联系。</w:t>
      </w:r>
    </w:p>
    <w:p w14:paraId="0842EDE4">
      <w:pPr>
        <w:widowControl/>
        <w:adjustRightInd w:val="0"/>
        <w:snapToGrid w:val="0"/>
        <w:spacing w:line="360" w:lineRule="auto"/>
        <w:ind w:firstLine="480" w:firstLineChars="200"/>
        <w:jc w:val="left"/>
        <w:rPr>
          <w:rFonts w:hint="eastAsia" w:ascii="宋体" w:hAnsi="宋体" w:eastAsia="宋体" w:cs="宋体"/>
          <w:color w:val="333333"/>
          <w:sz w:val="24"/>
        </w:rPr>
      </w:pPr>
      <w:r>
        <w:rPr>
          <w:rFonts w:hint="eastAsia" w:ascii="宋体" w:hAnsi="宋体" w:eastAsia="宋体" w:cs="宋体"/>
          <w:color w:val="333333"/>
          <w:sz w:val="24"/>
        </w:rPr>
        <w:t>1、采购单位信息</w:t>
      </w:r>
    </w:p>
    <w:p w14:paraId="0AAD0ACA">
      <w:pPr>
        <w:widowControl/>
        <w:adjustRightInd w:val="0"/>
        <w:snapToGrid w:val="0"/>
        <w:spacing w:line="360" w:lineRule="auto"/>
        <w:ind w:firstLine="480" w:firstLineChars="200"/>
        <w:jc w:val="left"/>
        <w:rPr>
          <w:rFonts w:hint="eastAsia" w:ascii="宋体" w:hAnsi="宋体" w:eastAsia="宋体" w:cs="宋体"/>
          <w:color w:val="333333"/>
          <w:sz w:val="24"/>
        </w:rPr>
      </w:pPr>
      <w:r>
        <w:rPr>
          <w:rFonts w:hint="eastAsia" w:ascii="宋体" w:hAnsi="宋体" w:eastAsia="宋体" w:cs="宋体"/>
          <w:color w:val="333333"/>
          <w:sz w:val="24"/>
        </w:rPr>
        <w:t>名    称：南通市交通运输综合行政执法支队</w:t>
      </w:r>
    </w:p>
    <w:p w14:paraId="2B839B62">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333333"/>
          <w:sz w:val="24"/>
        </w:rPr>
        <w:t>联系方式：</w:t>
      </w:r>
      <w:r>
        <w:rPr>
          <w:rFonts w:hint="eastAsia" w:ascii="宋体" w:hAnsi="宋体" w:eastAsia="宋体" w:cs="宋体"/>
          <w:sz w:val="24"/>
          <w:szCs w:val="24"/>
        </w:rPr>
        <w:t>程先生，</w:t>
      </w:r>
      <w:r>
        <w:rPr>
          <w:rFonts w:ascii="宋体" w:hAnsi="宋体" w:eastAsia="宋体" w:cs="宋体"/>
          <w:sz w:val="24"/>
          <w:szCs w:val="24"/>
        </w:rPr>
        <w:t>0513-83511802</w:t>
      </w:r>
    </w:p>
    <w:p w14:paraId="72ECDAB0">
      <w:pPr>
        <w:widowControl/>
        <w:adjustRightInd w:val="0"/>
        <w:snapToGrid w:val="0"/>
        <w:spacing w:line="360" w:lineRule="auto"/>
        <w:ind w:firstLine="480" w:firstLineChars="200"/>
        <w:jc w:val="left"/>
        <w:rPr>
          <w:rFonts w:hint="eastAsia" w:ascii="宋体" w:hAnsi="宋体" w:eastAsia="宋体" w:cs="宋体"/>
          <w:color w:val="333333"/>
          <w:sz w:val="24"/>
        </w:rPr>
      </w:pPr>
      <w:r>
        <w:rPr>
          <w:rFonts w:hint="eastAsia" w:ascii="宋体" w:hAnsi="宋体" w:eastAsia="宋体" w:cs="宋体"/>
          <w:color w:val="333333"/>
          <w:sz w:val="24"/>
        </w:rPr>
        <w:t>2、采购代理机构信息</w:t>
      </w:r>
    </w:p>
    <w:p w14:paraId="038E74D9">
      <w:pPr>
        <w:widowControl/>
        <w:adjustRightInd w:val="0"/>
        <w:snapToGrid w:val="0"/>
        <w:spacing w:line="360" w:lineRule="auto"/>
        <w:ind w:firstLine="480" w:firstLineChars="200"/>
        <w:jc w:val="left"/>
        <w:rPr>
          <w:rFonts w:hint="eastAsia" w:ascii="宋体" w:hAnsi="宋体" w:eastAsia="宋体" w:cs="宋体"/>
          <w:color w:val="333333"/>
          <w:sz w:val="24"/>
        </w:rPr>
      </w:pPr>
      <w:r>
        <w:rPr>
          <w:rFonts w:hint="eastAsia" w:ascii="宋体" w:hAnsi="宋体" w:eastAsia="宋体" w:cs="宋体"/>
          <w:color w:val="333333"/>
          <w:sz w:val="24"/>
        </w:rPr>
        <w:t>名    称：江苏新东方工程管理咨询有限公司</w:t>
      </w:r>
    </w:p>
    <w:p w14:paraId="0B255352">
      <w:pPr>
        <w:widowControl/>
        <w:adjustRightInd w:val="0"/>
        <w:snapToGrid w:val="0"/>
        <w:spacing w:line="360" w:lineRule="auto"/>
        <w:ind w:firstLine="480" w:firstLineChars="200"/>
        <w:jc w:val="left"/>
        <w:rPr>
          <w:rFonts w:hint="eastAsia" w:ascii="宋体" w:hAnsi="宋体" w:eastAsia="宋体" w:cs="宋体"/>
          <w:color w:val="333333"/>
          <w:sz w:val="24"/>
        </w:rPr>
      </w:pPr>
      <w:r>
        <w:rPr>
          <w:rFonts w:hint="eastAsia" w:ascii="宋体" w:hAnsi="宋体" w:eastAsia="宋体" w:cs="宋体"/>
          <w:color w:val="333333"/>
          <w:sz w:val="24"/>
        </w:rPr>
        <w:t>地    址：南通市崇川区外环东路12号2楼</w:t>
      </w:r>
    </w:p>
    <w:p w14:paraId="31FA23E4">
      <w:pPr>
        <w:widowControl/>
        <w:adjustRightInd w:val="0"/>
        <w:snapToGrid w:val="0"/>
        <w:spacing w:line="360" w:lineRule="auto"/>
        <w:ind w:firstLine="480" w:firstLineChars="200"/>
        <w:jc w:val="left"/>
        <w:rPr>
          <w:rFonts w:hint="eastAsia" w:ascii="宋体" w:hAnsi="宋体" w:eastAsia="宋体" w:cs="宋体"/>
          <w:color w:val="333333"/>
          <w:sz w:val="24"/>
        </w:rPr>
      </w:pPr>
      <w:r>
        <w:rPr>
          <w:rFonts w:hint="eastAsia" w:ascii="宋体" w:hAnsi="宋体" w:eastAsia="宋体" w:cs="宋体"/>
          <w:color w:val="333333"/>
          <w:sz w:val="24"/>
        </w:rPr>
        <w:t>联系人：孙女士、吴先生   联系电话：15906295903、13372097052</w:t>
      </w:r>
    </w:p>
    <w:p w14:paraId="643FB705">
      <w:pPr>
        <w:adjustRightInd w:val="0"/>
        <w:snapToGrid w:val="0"/>
        <w:spacing w:line="360" w:lineRule="auto"/>
        <w:ind w:firstLine="480" w:firstLineChars="200"/>
        <w:jc w:val="center"/>
        <w:rPr>
          <w:rFonts w:hint="eastAsia" w:ascii="宋体" w:hAnsi="宋体" w:eastAsia="宋体" w:cs="宋体"/>
          <w:b/>
          <w:bCs/>
          <w:w w:val="80"/>
          <w:kern w:val="2"/>
          <w:sz w:val="44"/>
          <w:szCs w:val="44"/>
        </w:rPr>
      </w:pPr>
      <w:r>
        <w:rPr>
          <w:rFonts w:hint="eastAsia" w:ascii="宋体" w:hAnsi="宋体" w:eastAsia="宋体" w:cs="宋体"/>
          <w:sz w:val="24"/>
        </w:rPr>
        <w:br w:type="page"/>
      </w:r>
      <w:r>
        <w:rPr>
          <w:rFonts w:hint="eastAsia" w:ascii="宋体" w:hAnsi="宋体" w:eastAsia="宋体" w:cs="宋体"/>
          <w:b/>
          <w:bCs/>
          <w:w w:val="80"/>
          <w:kern w:val="2"/>
          <w:sz w:val="44"/>
          <w:szCs w:val="44"/>
        </w:rPr>
        <w:t>第二部分 磋商须知</w:t>
      </w:r>
    </w:p>
    <w:p w14:paraId="7B5D28CF">
      <w:pPr>
        <w:adjustRightInd w:val="0"/>
        <w:snapToGrid w:val="0"/>
        <w:spacing w:line="360" w:lineRule="auto"/>
        <w:ind w:firstLine="482" w:firstLineChars="200"/>
        <w:outlineLvl w:val="2"/>
        <w:rPr>
          <w:rFonts w:hint="eastAsia" w:ascii="宋体" w:hAnsi="宋体" w:eastAsia="宋体" w:cs="宋体"/>
          <w:b/>
          <w:bCs/>
          <w:sz w:val="24"/>
        </w:rPr>
      </w:pPr>
      <w:bookmarkStart w:id="8" w:name="_Toc521201598"/>
      <w:bookmarkStart w:id="9" w:name="_Toc363573855"/>
      <w:bookmarkStart w:id="10" w:name="_Toc8895740"/>
      <w:bookmarkStart w:id="11" w:name="_Toc94544745"/>
      <w:bookmarkStart w:id="12" w:name="_Toc521203419"/>
      <w:bookmarkStart w:id="13" w:name="_Toc11554640"/>
      <w:bookmarkStart w:id="14" w:name="_Toc11499585"/>
      <w:bookmarkStart w:id="15" w:name="_Toc12670504"/>
      <w:bookmarkStart w:id="16" w:name="_Toc94544871"/>
      <w:bookmarkStart w:id="17" w:name="_Toc94585341"/>
      <w:bookmarkStart w:id="18" w:name="_Toc11500281"/>
      <w:r>
        <w:rPr>
          <w:rFonts w:hint="eastAsia" w:ascii="宋体" w:hAnsi="宋体" w:eastAsia="宋体" w:cs="宋体"/>
          <w:b/>
          <w:bCs/>
          <w:sz w:val="24"/>
        </w:rPr>
        <w:t>一、总则</w:t>
      </w:r>
    </w:p>
    <w:p w14:paraId="3FF37FEA">
      <w:pPr>
        <w:adjustRightInd w:val="0"/>
        <w:snapToGrid w:val="0"/>
        <w:spacing w:line="360" w:lineRule="auto"/>
        <w:ind w:firstLine="480" w:firstLineChars="200"/>
        <w:outlineLvl w:val="3"/>
        <w:rPr>
          <w:rFonts w:hint="eastAsia" w:ascii="宋体" w:hAnsi="宋体" w:eastAsia="宋体" w:cs="宋体"/>
          <w:b/>
          <w:bCs/>
          <w:sz w:val="24"/>
        </w:rPr>
      </w:pPr>
      <w:bookmarkStart w:id="19" w:name="_Hlt16619475"/>
      <w:bookmarkEnd w:id="19"/>
      <w:bookmarkStart w:id="20" w:name="_Toc458694821"/>
      <w:bookmarkStart w:id="21" w:name="_Toc513029204"/>
      <w:bookmarkStart w:id="22" w:name="_Toc16938520"/>
      <w:bookmarkStart w:id="23" w:name="_Toc20823276"/>
      <w:r>
        <w:rPr>
          <w:rFonts w:hint="eastAsia" w:ascii="宋体" w:hAnsi="宋体" w:eastAsia="宋体" w:cs="宋体"/>
          <w:sz w:val="24"/>
        </w:rPr>
        <w:t>1</w:t>
      </w:r>
      <w:bookmarkEnd w:id="20"/>
      <w:r>
        <w:rPr>
          <w:rFonts w:hint="eastAsia" w:ascii="宋体" w:hAnsi="宋体" w:eastAsia="宋体" w:cs="宋体"/>
          <w:sz w:val="24"/>
        </w:rPr>
        <w:t>、采购方式</w:t>
      </w:r>
      <w:bookmarkEnd w:id="21"/>
      <w:bookmarkEnd w:id="22"/>
      <w:bookmarkEnd w:id="23"/>
    </w:p>
    <w:p w14:paraId="7B7F1171">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1.1 本次采取竞争性磋商方式，本磋商文件仅适用于采购邀请中所述项目。</w:t>
      </w:r>
    </w:p>
    <w:p w14:paraId="54CD094C">
      <w:pPr>
        <w:adjustRightInd w:val="0"/>
        <w:snapToGrid w:val="0"/>
        <w:spacing w:line="360" w:lineRule="auto"/>
        <w:ind w:firstLine="480" w:firstLineChars="200"/>
        <w:outlineLvl w:val="3"/>
        <w:rPr>
          <w:rFonts w:hint="eastAsia" w:ascii="宋体" w:hAnsi="宋体" w:eastAsia="宋体" w:cs="宋体"/>
          <w:b/>
          <w:bCs/>
          <w:sz w:val="24"/>
        </w:rPr>
      </w:pPr>
      <w:bookmarkStart w:id="24" w:name="_Toc20823277"/>
      <w:bookmarkStart w:id="25" w:name="_Toc513029205"/>
      <w:bookmarkStart w:id="26" w:name="_Toc16938521"/>
      <w:r>
        <w:rPr>
          <w:rFonts w:hint="eastAsia" w:ascii="宋体" w:hAnsi="宋体" w:eastAsia="宋体" w:cs="宋体"/>
          <w:sz w:val="24"/>
        </w:rPr>
        <w:t>2、合格的</w:t>
      </w:r>
      <w:bookmarkEnd w:id="24"/>
      <w:bookmarkEnd w:id="25"/>
      <w:bookmarkEnd w:id="26"/>
      <w:r>
        <w:rPr>
          <w:rFonts w:hint="eastAsia" w:ascii="宋体" w:hAnsi="宋体" w:eastAsia="宋体" w:cs="宋体"/>
          <w:sz w:val="24"/>
        </w:rPr>
        <w:t>供应商</w:t>
      </w:r>
    </w:p>
    <w:p w14:paraId="58EA7C27">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2.1满足采购邀请中供应商的资格要求的规定。</w:t>
      </w:r>
    </w:p>
    <w:p w14:paraId="36A9D250">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2.2 满足本文件实质性条款的规定。</w:t>
      </w:r>
    </w:p>
    <w:p w14:paraId="2BF6215A">
      <w:pPr>
        <w:adjustRightInd w:val="0"/>
        <w:snapToGrid w:val="0"/>
        <w:spacing w:line="360" w:lineRule="auto"/>
        <w:ind w:firstLine="480" w:firstLineChars="200"/>
        <w:outlineLvl w:val="3"/>
        <w:rPr>
          <w:rFonts w:hint="eastAsia" w:ascii="宋体" w:hAnsi="宋体" w:eastAsia="宋体" w:cs="宋体"/>
          <w:b/>
          <w:bCs/>
          <w:sz w:val="24"/>
        </w:rPr>
      </w:pPr>
      <w:bookmarkStart w:id="27" w:name="_Toc16938522"/>
      <w:bookmarkStart w:id="28" w:name="_Toc20823278"/>
      <w:bookmarkStart w:id="29" w:name="_Toc513029206"/>
      <w:r>
        <w:rPr>
          <w:rFonts w:hint="eastAsia" w:ascii="宋体" w:hAnsi="宋体" w:eastAsia="宋体" w:cs="宋体"/>
          <w:sz w:val="24"/>
        </w:rPr>
        <w:t>3、适用法律</w:t>
      </w:r>
      <w:bookmarkEnd w:id="27"/>
      <w:bookmarkEnd w:id="28"/>
      <w:bookmarkEnd w:id="29"/>
    </w:p>
    <w:p w14:paraId="1C6A4ED1">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3.1 本次采购及由此产生的合同受中华人民共和国有关的法律法规制约和保护。</w:t>
      </w:r>
    </w:p>
    <w:p w14:paraId="355E6897">
      <w:pPr>
        <w:adjustRightInd w:val="0"/>
        <w:snapToGrid w:val="0"/>
        <w:spacing w:line="360" w:lineRule="auto"/>
        <w:ind w:firstLine="480" w:firstLineChars="200"/>
        <w:outlineLvl w:val="3"/>
        <w:rPr>
          <w:rFonts w:hint="eastAsia" w:ascii="宋体" w:hAnsi="宋体" w:eastAsia="宋体" w:cs="宋体"/>
          <w:sz w:val="24"/>
        </w:rPr>
      </w:pPr>
      <w:bookmarkStart w:id="30" w:name="_Toc16938523"/>
      <w:bookmarkStart w:id="31" w:name="_Toc513029207"/>
      <w:bookmarkStart w:id="32" w:name="_Toc462564067"/>
      <w:bookmarkStart w:id="33" w:name="_Toc20823279"/>
      <w:r>
        <w:rPr>
          <w:rFonts w:hint="eastAsia" w:ascii="宋体" w:hAnsi="宋体" w:eastAsia="宋体" w:cs="宋体"/>
          <w:sz w:val="24"/>
        </w:rPr>
        <w:t>4、磋商费用</w:t>
      </w:r>
      <w:bookmarkEnd w:id="30"/>
      <w:bookmarkEnd w:id="31"/>
      <w:bookmarkEnd w:id="32"/>
      <w:bookmarkEnd w:id="33"/>
    </w:p>
    <w:p w14:paraId="01DF3955">
      <w:pPr>
        <w:adjustRightInd w:val="0"/>
        <w:snapToGrid w:val="0"/>
        <w:spacing w:line="360" w:lineRule="auto"/>
        <w:ind w:firstLine="480" w:firstLineChars="200"/>
        <w:outlineLvl w:val="3"/>
        <w:rPr>
          <w:rFonts w:hint="eastAsia" w:ascii="宋体" w:hAnsi="宋体" w:eastAsia="宋体" w:cs="宋体"/>
          <w:sz w:val="24"/>
        </w:rPr>
      </w:pPr>
      <w:r>
        <w:rPr>
          <w:rFonts w:hint="eastAsia" w:ascii="宋体" w:hAnsi="宋体" w:eastAsia="宋体" w:cs="宋体"/>
          <w:sz w:val="24"/>
        </w:rPr>
        <w:t>4.1本项目磋商代理费按照发改价格[2011]534号文*60%标准计收，不足1500元，按照1500元标准计收，供应商须综合考虑在磋商响应报价内。供应商报价时需综合考虑以上费用（不单列）。</w:t>
      </w:r>
    </w:p>
    <w:p w14:paraId="6BA72880">
      <w:pPr>
        <w:adjustRightInd w:val="0"/>
        <w:snapToGrid w:val="0"/>
        <w:spacing w:line="360" w:lineRule="auto"/>
        <w:ind w:firstLine="480" w:firstLineChars="200"/>
        <w:outlineLvl w:val="3"/>
        <w:rPr>
          <w:rFonts w:hint="eastAsia" w:ascii="宋体" w:hAnsi="宋体" w:eastAsia="宋体" w:cs="宋体"/>
          <w:sz w:val="24"/>
        </w:rPr>
      </w:pPr>
      <w:r>
        <w:rPr>
          <w:rFonts w:hint="eastAsia" w:ascii="宋体" w:hAnsi="宋体" w:eastAsia="宋体" w:cs="宋体"/>
          <w:sz w:val="24"/>
        </w:rPr>
        <w:t>4.2 供应商应自行承担所有与参加磋商有关的费用，无论磋商过程中的做法和结果如何，采购单位和采购代理机构在任何情况下均无义务和责任承担这些费用。</w:t>
      </w:r>
    </w:p>
    <w:p w14:paraId="06C9A04E">
      <w:pPr>
        <w:adjustRightInd w:val="0"/>
        <w:snapToGrid w:val="0"/>
        <w:spacing w:line="360" w:lineRule="auto"/>
        <w:ind w:firstLine="480" w:firstLineChars="200"/>
        <w:outlineLvl w:val="3"/>
        <w:rPr>
          <w:rFonts w:hint="eastAsia" w:ascii="宋体" w:hAnsi="宋体" w:eastAsia="宋体" w:cs="宋体"/>
          <w:b/>
          <w:bCs/>
          <w:sz w:val="24"/>
        </w:rPr>
      </w:pPr>
      <w:r>
        <w:rPr>
          <w:rFonts w:hint="eastAsia" w:ascii="宋体" w:hAnsi="宋体" w:eastAsia="宋体" w:cs="宋体"/>
          <w:sz w:val="24"/>
        </w:rPr>
        <w:t>5、磋商文件的约束力</w:t>
      </w:r>
    </w:p>
    <w:p w14:paraId="001786D0">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bCs/>
          <w:sz w:val="24"/>
        </w:rPr>
        <w:t>5.1</w:t>
      </w:r>
      <w:r>
        <w:rPr>
          <w:rFonts w:hint="eastAsia" w:ascii="宋体" w:hAnsi="宋体" w:eastAsia="宋体" w:cs="宋体"/>
          <w:sz w:val="24"/>
        </w:rPr>
        <w:t xml:space="preserve"> 供应商一旦参加本项目采购活动，即被认为接受了本磋商文件的规定和约束。</w:t>
      </w:r>
    </w:p>
    <w:p w14:paraId="219B8F10">
      <w:pPr>
        <w:adjustRightInd w:val="0"/>
        <w:snapToGrid w:val="0"/>
        <w:spacing w:line="360" w:lineRule="auto"/>
        <w:ind w:firstLine="480" w:firstLineChars="200"/>
        <w:outlineLvl w:val="3"/>
        <w:rPr>
          <w:rFonts w:hint="eastAsia" w:ascii="宋体" w:hAnsi="宋体" w:eastAsia="宋体" w:cs="宋体"/>
          <w:sz w:val="24"/>
        </w:rPr>
      </w:pPr>
      <w:r>
        <w:rPr>
          <w:rFonts w:hint="eastAsia" w:ascii="宋体" w:hAnsi="宋体" w:eastAsia="宋体" w:cs="宋体"/>
          <w:sz w:val="24"/>
        </w:rPr>
        <w:t>6、磋商文件的解释</w:t>
      </w:r>
    </w:p>
    <w:p w14:paraId="67CC26D0">
      <w:pPr>
        <w:adjustRightInd w:val="0"/>
        <w:snapToGrid w:val="0"/>
        <w:spacing w:line="360" w:lineRule="auto"/>
        <w:ind w:firstLine="480" w:firstLineChars="200"/>
        <w:rPr>
          <w:rFonts w:hint="eastAsia" w:ascii="宋体" w:hAnsi="宋体" w:eastAsia="宋体" w:cs="宋体"/>
          <w:color w:val="FF0000"/>
          <w:sz w:val="24"/>
        </w:rPr>
      </w:pPr>
      <w:r>
        <w:rPr>
          <w:rFonts w:hint="eastAsia" w:ascii="宋体" w:hAnsi="宋体" w:eastAsia="宋体" w:cs="宋体"/>
          <w:bCs/>
          <w:sz w:val="24"/>
        </w:rPr>
        <w:t>6.1</w:t>
      </w:r>
      <w:r>
        <w:rPr>
          <w:rFonts w:hint="eastAsia" w:ascii="宋体" w:hAnsi="宋体" w:eastAsia="宋体" w:cs="宋体"/>
          <w:sz w:val="24"/>
        </w:rPr>
        <w:t>磋商文件需求部分（供应商资格要求、项目需求、商务技术评分标准）由采购单位解释，其它部分由采购代理机构解释。</w:t>
      </w:r>
    </w:p>
    <w:p w14:paraId="1DF9E46A">
      <w:pPr>
        <w:adjustRightInd w:val="0"/>
        <w:snapToGrid w:val="0"/>
        <w:spacing w:line="360" w:lineRule="auto"/>
        <w:ind w:firstLine="482" w:firstLineChars="200"/>
        <w:outlineLvl w:val="2"/>
        <w:rPr>
          <w:rFonts w:hint="eastAsia" w:ascii="宋体" w:hAnsi="宋体" w:eastAsia="宋体" w:cs="宋体"/>
          <w:b/>
          <w:bCs/>
          <w:sz w:val="24"/>
        </w:rPr>
      </w:pPr>
      <w:bookmarkStart w:id="34" w:name="_Toc120614215"/>
      <w:bookmarkStart w:id="35" w:name="_Toc16938525"/>
      <w:bookmarkStart w:id="36" w:name="_Toc513029209"/>
      <w:bookmarkStart w:id="37" w:name="_Toc20823281"/>
      <w:r>
        <w:rPr>
          <w:rFonts w:hint="eastAsia" w:ascii="宋体" w:hAnsi="宋体" w:eastAsia="宋体" w:cs="宋体"/>
          <w:b/>
          <w:bCs/>
          <w:sz w:val="24"/>
        </w:rPr>
        <w:t>二、磋商文件</w:t>
      </w:r>
      <w:bookmarkEnd w:id="34"/>
      <w:bookmarkEnd w:id="35"/>
      <w:bookmarkEnd w:id="36"/>
      <w:bookmarkEnd w:id="37"/>
    </w:p>
    <w:p w14:paraId="16BC6ABC">
      <w:pPr>
        <w:adjustRightInd w:val="0"/>
        <w:snapToGrid w:val="0"/>
        <w:spacing w:line="360" w:lineRule="auto"/>
        <w:ind w:firstLine="480" w:firstLineChars="200"/>
        <w:outlineLvl w:val="3"/>
        <w:rPr>
          <w:rFonts w:hint="eastAsia" w:ascii="宋体" w:hAnsi="宋体" w:eastAsia="宋体" w:cs="宋体"/>
          <w:b/>
          <w:bCs/>
          <w:sz w:val="24"/>
        </w:rPr>
      </w:pPr>
      <w:bookmarkStart w:id="38" w:name="_Toc16938526"/>
      <w:bookmarkStart w:id="39" w:name="_Toc20823282"/>
      <w:bookmarkStart w:id="40" w:name="_Toc513029210"/>
      <w:r>
        <w:rPr>
          <w:rFonts w:hint="eastAsia" w:ascii="宋体" w:hAnsi="宋体" w:eastAsia="宋体" w:cs="宋体"/>
          <w:sz w:val="24"/>
        </w:rPr>
        <w:t>1、磋商文件构成</w:t>
      </w:r>
      <w:bookmarkEnd w:id="38"/>
      <w:bookmarkEnd w:id="39"/>
      <w:bookmarkEnd w:id="40"/>
    </w:p>
    <w:p w14:paraId="555778ED">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bCs/>
          <w:sz w:val="24"/>
        </w:rPr>
        <w:t>1.1</w:t>
      </w:r>
      <w:r>
        <w:rPr>
          <w:rFonts w:hint="eastAsia" w:ascii="宋体" w:hAnsi="宋体" w:eastAsia="宋体" w:cs="宋体"/>
          <w:sz w:val="24"/>
        </w:rPr>
        <w:t xml:space="preserve"> 磋商文件由以下部分组成：</w:t>
      </w:r>
    </w:p>
    <w:p w14:paraId="17C6F2A5">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（1）采购邀请</w:t>
      </w:r>
    </w:p>
    <w:p w14:paraId="46574F8D">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（2）磋商须知</w:t>
      </w:r>
    </w:p>
    <w:p w14:paraId="1E93A320">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（3）项目需求</w:t>
      </w:r>
    </w:p>
    <w:p w14:paraId="20E5C05E">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（4）评审方法和评审标准</w:t>
      </w:r>
    </w:p>
    <w:p w14:paraId="2911A367">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（5）合同条款</w:t>
      </w:r>
    </w:p>
    <w:p w14:paraId="24B66450">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（6）响应文件组成</w:t>
      </w:r>
    </w:p>
    <w:p w14:paraId="043305E4">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（7）附件</w:t>
      </w:r>
    </w:p>
    <w:p w14:paraId="3475B17A">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请仔细检查磋商文件是否齐全，如有缺漏请立即与采购单位或采购代理机构联系解决。</w:t>
      </w:r>
    </w:p>
    <w:p w14:paraId="22267142">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bCs/>
          <w:sz w:val="24"/>
        </w:rPr>
        <w:t>1.2</w:t>
      </w:r>
      <w:r>
        <w:rPr>
          <w:rFonts w:hint="eastAsia" w:ascii="宋体" w:hAnsi="宋体" w:eastAsia="宋体" w:cs="宋体"/>
          <w:sz w:val="24"/>
        </w:rPr>
        <w:t xml:space="preserve"> 供应商应认真阅读磋商文件中所有的事项、格式、条款和规范等要求。按磋商文件要求和规定编制响应文件，并保证所提供的全部资料的真实性，以使其响应文件对磋商文件作出实质性响应，否则其风险由供应商自行承担。</w:t>
      </w:r>
    </w:p>
    <w:p w14:paraId="37D3C5F2">
      <w:pPr>
        <w:adjustRightInd w:val="0"/>
        <w:snapToGrid w:val="0"/>
        <w:spacing w:line="360" w:lineRule="auto"/>
        <w:ind w:firstLine="480" w:firstLineChars="200"/>
        <w:outlineLvl w:val="3"/>
        <w:rPr>
          <w:rFonts w:hint="eastAsia" w:ascii="宋体" w:hAnsi="宋体" w:eastAsia="宋体" w:cs="宋体"/>
          <w:b/>
          <w:bCs/>
          <w:sz w:val="24"/>
        </w:rPr>
      </w:pPr>
      <w:bookmarkStart w:id="41" w:name="_Toc513029211"/>
      <w:bookmarkStart w:id="42" w:name="_Toc16938527"/>
      <w:bookmarkStart w:id="43" w:name="_Toc462564070"/>
      <w:bookmarkStart w:id="44" w:name="_Toc20823283"/>
      <w:r>
        <w:rPr>
          <w:rFonts w:hint="eastAsia" w:ascii="宋体" w:hAnsi="宋体" w:eastAsia="宋体" w:cs="宋体"/>
          <w:sz w:val="24"/>
        </w:rPr>
        <w:t>2、磋商文件的澄清</w:t>
      </w:r>
      <w:bookmarkEnd w:id="41"/>
      <w:bookmarkEnd w:id="42"/>
      <w:bookmarkEnd w:id="43"/>
      <w:bookmarkEnd w:id="44"/>
    </w:p>
    <w:p w14:paraId="525DAE01">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bCs/>
          <w:sz w:val="24"/>
        </w:rPr>
        <w:t>2.1</w:t>
      </w:r>
      <w:r>
        <w:rPr>
          <w:rFonts w:hint="eastAsia" w:ascii="宋体" w:hAnsi="宋体" w:eastAsia="宋体" w:cs="宋体"/>
          <w:sz w:val="24"/>
        </w:rPr>
        <w:t xml:space="preserve"> 任何要求对磋商文件进行澄清的供应商，应在提交首次响应文件截止时间五日前发采购单位指定邮箱（1013963231@qq.com）。采购单位有权对发出的磋商文件进行必要的澄清或修改。</w:t>
      </w:r>
    </w:p>
    <w:p w14:paraId="6EE93513">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2.2采购单位视情组织答疑会</w:t>
      </w:r>
    </w:p>
    <w:p w14:paraId="03A61C82">
      <w:pPr>
        <w:adjustRightInd w:val="0"/>
        <w:snapToGrid w:val="0"/>
        <w:spacing w:line="360" w:lineRule="auto"/>
        <w:ind w:firstLine="480" w:firstLineChars="200"/>
        <w:outlineLvl w:val="3"/>
        <w:rPr>
          <w:rFonts w:hint="eastAsia" w:ascii="宋体" w:hAnsi="宋体" w:eastAsia="宋体" w:cs="宋体"/>
          <w:b/>
          <w:bCs/>
          <w:sz w:val="24"/>
        </w:rPr>
      </w:pPr>
      <w:bookmarkStart w:id="45" w:name="_Toc20823284"/>
      <w:bookmarkStart w:id="46" w:name="_Toc462564071"/>
      <w:bookmarkStart w:id="47" w:name="_Toc513029212"/>
      <w:bookmarkStart w:id="48" w:name="_Toc16938528"/>
      <w:r>
        <w:rPr>
          <w:rFonts w:hint="eastAsia" w:ascii="宋体" w:hAnsi="宋体" w:eastAsia="宋体" w:cs="宋体"/>
          <w:sz w:val="24"/>
        </w:rPr>
        <w:t>3、磋商文件的修改</w:t>
      </w:r>
      <w:bookmarkEnd w:id="45"/>
      <w:bookmarkEnd w:id="46"/>
      <w:bookmarkEnd w:id="47"/>
      <w:bookmarkEnd w:id="48"/>
    </w:p>
    <w:p w14:paraId="16A04B6B">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bCs/>
          <w:sz w:val="24"/>
        </w:rPr>
        <w:t>3.1</w:t>
      </w:r>
      <w:r>
        <w:rPr>
          <w:rFonts w:hint="eastAsia" w:ascii="宋体" w:hAnsi="宋体" w:eastAsia="宋体" w:cs="宋体"/>
          <w:sz w:val="24"/>
        </w:rPr>
        <w:t xml:space="preserve"> 在响应文件提交截止时间前，采购单位可以对磋商文件进行修改。</w:t>
      </w:r>
    </w:p>
    <w:p w14:paraId="1E7A1773">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bCs/>
          <w:sz w:val="24"/>
        </w:rPr>
        <w:t xml:space="preserve">3.2 </w:t>
      </w:r>
      <w:r>
        <w:rPr>
          <w:rFonts w:hint="eastAsia" w:ascii="宋体" w:hAnsi="宋体" w:eastAsia="宋体" w:cs="宋体"/>
          <w:sz w:val="24"/>
        </w:rPr>
        <w:t>采购单位有权按照法定的要求推迟响应文件提交截止日期和磋商日期。</w:t>
      </w:r>
    </w:p>
    <w:p w14:paraId="4CE24682">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bCs/>
          <w:sz w:val="24"/>
        </w:rPr>
        <w:t xml:space="preserve">3.3 </w:t>
      </w:r>
      <w:r>
        <w:rPr>
          <w:rFonts w:hint="eastAsia" w:ascii="宋体" w:hAnsi="宋体" w:eastAsia="宋体" w:cs="宋体"/>
          <w:sz w:val="24"/>
        </w:rPr>
        <w:t>磋商文件的修改将在南通市交通运输局官网公布，补充文件将作为磋商文件的组成部分，并对供应商具有约束力。</w:t>
      </w:r>
    </w:p>
    <w:p w14:paraId="1FB7B7C1">
      <w:pPr>
        <w:adjustRightInd w:val="0"/>
        <w:snapToGrid w:val="0"/>
        <w:spacing w:line="360" w:lineRule="auto"/>
        <w:ind w:firstLine="482" w:firstLineChars="200"/>
        <w:outlineLvl w:val="2"/>
        <w:rPr>
          <w:rFonts w:hint="eastAsia" w:ascii="宋体" w:hAnsi="宋体" w:eastAsia="宋体" w:cs="宋体"/>
          <w:b/>
          <w:bCs/>
          <w:sz w:val="24"/>
        </w:rPr>
      </w:pPr>
      <w:bookmarkStart w:id="49" w:name="_Toc513029213"/>
      <w:bookmarkStart w:id="50" w:name="_Toc462564072"/>
      <w:bookmarkStart w:id="51" w:name="_Toc16938529"/>
      <w:bookmarkStart w:id="52" w:name="_Toc120614216"/>
      <w:bookmarkStart w:id="53" w:name="_Toc20823285"/>
      <w:r>
        <w:rPr>
          <w:rFonts w:hint="eastAsia" w:ascii="宋体" w:hAnsi="宋体" w:eastAsia="宋体" w:cs="宋体"/>
          <w:b/>
          <w:bCs/>
          <w:sz w:val="24"/>
        </w:rPr>
        <w:t>三、</w:t>
      </w:r>
      <w:bookmarkEnd w:id="49"/>
      <w:bookmarkEnd w:id="50"/>
      <w:bookmarkEnd w:id="51"/>
      <w:bookmarkEnd w:id="52"/>
      <w:bookmarkEnd w:id="53"/>
      <w:r>
        <w:rPr>
          <w:rFonts w:hint="eastAsia" w:ascii="宋体" w:hAnsi="宋体" w:eastAsia="宋体" w:cs="宋体"/>
          <w:b/>
          <w:bCs/>
          <w:sz w:val="24"/>
        </w:rPr>
        <w:t>响应文件的编制</w:t>
      </w:r>
    </w:p>
    <w:p w14:paraId="66112860">
      <w:pPr>
        <w:adjustRightInd w:val="0"/>
        <w:snapToGrid w:val="0"/>
        <w:spacing w:line="360" w:lineRule="auto"/>
        <w:ind w:firstLine="480" w:firstLineChars="200"/>
        <w:outlineLvl w:val="3"/>
        <w:rPr>
          <w:rFonts w:hint="eastAsia" w:ascii="宋体" w:hAnsi="宋体" w:eastAsia="宋体" w:cs="宋体"/>
          <w:bCs/>
          <w:sz w:val="24"/>
        </w:rPr>
      </w:pPr>
      <w:bookmarkStart w:id="54" w:name="_Toc513029214"/>
      <w:bookmarkStart w:id="55" w:name="_Toc20823286"/>
      <w:bookmarkStart w:id="56" w:name="_Toc16938530"/>
      <w:bookmarkStart w:id="57" w:name="_Toc462564073"/>
      <w:r>
        <w:rPr>
          <w:rFonts w:hint="eastAsia" w:ascii="宋体" w:hAnsi="宋体" w:eastAsia="宋体" w:cs="宋体"/>
          <w:sz w:val="24"/>
        </w:rPr>
        <w:t>1、响应文件的语言及度量衡单位</w:t>
      </w:r>
      <w:bookmarkEnd w:id="54"/>
      <w:bookmarkEnd w:id="55"/>
      <w:bookmarkEnd w:id="56"/>
      <w:bookmarkEnd w:id="57"/>
    </w:p>
    <w:p w14:paraId="3B46CCBB">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bCs/>
          <w:sz w:val="24"/>
        </w:rPr>
        <w:t>1.1</w:t>
      </w:r>
      <w:r>
        <w:rPr>
          <w:rFonts w:hint="eastAsia" w:ascii="宋体" w:hAnsi="宋体" w:eastAsia="宋体" w:cs="宋体"/>
          <w:sz w:val="24"/>
        </w:rPr>
        <w:t>供应商提交的响应文件以及供应商与采购代理机构及采购单位就有关磋商的所有来往通知、函件和文件均应使用</w:t>
      </w:r>
      <w:r>
        <w:rPr>
          <w:rFonts w:hint="eastAsia" w:ascii="宋体" w:hAnsi="宋体" w:eastAsia="宋体" w:cs="宋体"/>
          <w:bCs/>
          <w:sz w:val="24"/>
        </w:rPr>
        <w:t>简体中文</w:t>
      </w:r>
      <w:r>
        <w:rPr>
          <w:rFonts w:hint="eastAsia" w:ascii="宋体" w:hAnsi="宋体" w:eastAsia="宋体" w:cs="宋体"/>
          <w:sz w:val="24"/>
        </w:rPr>
        <w:t>。</w:t>
      </w:r>
    </w:p>
    <w:p w14:paraId="26290451">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bCs/>
          <w:sz w:val="24"/>
        </w:rPr>
        <w:t>1.2</w:t>
      </w:r>
      <w:r>
        <w:rPr>
          <w:rFonts w:hint="eastAsia" w:ascii="宋体" w:hAnsi="宋体" w:eastAsia="宋体" w:cs="宋体"/>
          <w:sz w:val="24"/>
        </w:rPr>
        <w:t xml:space="preserve"> 除技术性能另有规定外，响应文件所使用的度量衡单位，均须采用国家法定计量单位。</w:t>
      </w:r>
      <w:bookmarkStart w:id="58" w:name="_Toc462564074"/>
      <w:bookmarkStart w:id="59" w:name="_Toc16938531"/>
      <w:bookmarkStart w:id="60" w:name="_Toc513029215"/>
      <w:bookmarkStart w:id="61" w:name="_Toc20823287"/>
    </w:p>
    <w:p w14:paraId="0E975DDD">
      <w:pPr>
        <w:adjustRightInd w:val="0"/>
        <w:snapToGrid w:val="0"/>
        <w:spacing w:line="360" w:lineRule="auto"/>
        <w:ind w:firstLine="480" w:firstLineChars="200"/>
        <w:rPr>
          <w:rFonts w:hint="eastAsia" w:ascii="宋体" w:hAnsi="宋体" w:eastAsia="宋体" w:cs="宋体"/>
          <w:b/>
          <w:bCs/>
          <w:sz w:val="24"/>
        </w:rPr>
      </w:pPr>
      <w:r>
        <w:rPr>
          <w:rFonts w:hint="eastAsia" w:ascii="宋体" w:hAnsi="宋体" w:eastAsia="宋体" w:cs="宋体"/>
          <w:sz w:val="24"/>
        </w:rPr>
        <w:t>2、响应文件构成</w:t>
      </w:r>
      <w:bookmarkEnd w:id="58"/>
      <w:bookmarkEnd w:id="59"/>
      <w:bookmarkEnd w:id="60"/>
      <w:bookmarkEnd w:id="61"/>
    </w:p>
    <w:p w14:paraId="5FF890DE">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bCs/>
          <w:sz w:val="24"/>
        </w:rPr>
        <w:t>2.1</w:t>
      </w:r>
      <w:r>
        <w:rPr>
          <w:rFonts w:hint="eastAsia" w:ascii="宋体" w:hAnsi="宋体" w:eastAsia="宋体" w:cs="宋体"/>
          <w:sz w:val="24"/>
        </w:rPr>
        <w:t xml:space="preserve"> 供应商编写的响应文件应包括资格审查文件、商务技术响应文件、报价响应文件。供应商按“第六部分 响应文件组成”要求编写响应文件。</w:t>
      </w:r>
    </w:p>
    <w:p w14:paraId="5DDA8D95">
      <w:pPr>
        <w:adjustRightInd w:val="0"/>
        <w:snapToGrid w:val="0"/>
        <w:spacing w:line="360" w:lineRule="auto"/>
        <w:ind w:firstLine="480" w:firstLineChars="200"/>
        <w:outlineLvl w:val="3"/>
        <w:rPr>
          <w:rFonts w:hint="eastAsia" w:ascii="宋体" w:hAnsi="宋体" w:eastAsia="宋体" w:cs="宋体"/>
          <w:b/>
          <w:bCs/>
          <w:sz w:val="24"/>
        </w:rPr>
      </w:pPr>
      <w:bookmarkStart w:id="62" w:name="_Hlt26954838"/>
      <w:bookmarkEnd w:id="62"/>
      <w:bookmarkStart w:id="63" w:name="_Hlt26668975"/>
      <w:bookmarkEnd w:id="63"/>
      <w:bookmarkStart w:id="64" w:name="_Hlt26670360"/>
      <w:bookmarkEnd w:id="64"/>
      <w:bookmarkStart w:id="65" w:name="_Toc14577360"/>
      <w:bookmarkStart w:id="66" w:name="_Toc49090511"/>
      <w:r>
        <w:rPr>
          <w:rFonts w:hint="eastAsia" w:ascii="宋体" w:hAnsi="宋体" w:eastAsia="宋体" w:cs="宋体"/>
          <w:sz w:val="24"/>
        </w:rPr>
        <w:t>3</w:t>
      </w:r>
      <w:bookmarkEnd w:id="65"/>
      <w:bookmarkEnd w:id="66"/>
      <w:r>
        <w:rPr>
          <w:rFonts w:hint="eastAsia" w:ascii="宋体" w:hAnsi="宋体" w:eastAsia="宋体" w:cs="宋体"/>
          <w:sz w:val="24"/>
        </w:rPr>
        <w:t>、磋商响应有效期</w:t>
      </w:r>
    </w:p>
    <w:p w14:paraId="24766D6A">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3.1磋商响应有效期为</w:t>
      </w:r>
      <w:r>
        <w:rPr>
          <w:rFonts w:hint="eastAsia" w:ascii="宋体" w:hAnsi="宋体" w:eastAsia="宋体" w:cs="宋体"/>
          <w:sz w:val="24"/>
        </w:rPr>
        <w:t>采购代理机构</w:t>
      </w:r>
      <w:r>
        <w:rPr>
          <w:rFonts w:hint="eastAsia" w:ascii="宋体" w:hAnsi="宋体" w:eastAsia="宋体" w:cs="宋体"/>
          <w:bCs/>
          <w:sz w:val="24"/>
        </w:rPr>
        <w:t>规定的响应文件</w:t>
      </w:r>
      <w:r>
        <w:rPr>
          <w:rFonts w:hint="eastAsia" w:ascii="宋体" w:hAnsi="宋体" w:eastAsia="宋体" w:cs="宋体"/>
          <w:sz w:val="24"/>
        </w:rPr>
        <w:t>提交</w:t>
      </w:r>
      <w:r>
        <w:rPr>
          <w:rFonts w:hint="eastAsia" w:ascii="宋体" w:hAnsi="宋体" w:eastAsia="宋体" w:cs="宋体"/>
          <w:bCs/>
          <w:sz w:val="24"/>
        </w:rPr>
        <w:t>截止时间后</w:t>
      </w:r>
      <w:r>
        <w:rPr>
          <w:rFonts w:hint="eastAsia" w:ascii="宋体" w:hAnsi="宋体" w:eastAsia="宋体" w:cs="宋体"/>
          <w:b/>
          <w:sz w:val="24"/>
          <w:u w:val="single"/>
        </w:rPr>
        <w:t>六十（60）天</w:t>
      </w:r>
      <w:r>
        <w:rPr>
          <w:rFonts w:hint="eastAsia" w:ascii="宋体" w:hAnsi="宋体" w:eastAsia="宋体" w:cs="宋体"/>
          <w:bCs/>
          <w:sz w:val="24"/>
        </w:rPr>
        <w:t>。磋商响应有效期比规定短的将被视为非实质性响应而予以拒绝。</w:t>
      </w:r>
    </w:p>
    <w:p w14:paraId="6E503EA4">
      <w:pPr>
        <w:adjustRightInd w:val="0"/>
        <w:snapToGrid w:val="0"/>
        <w:spacing w:line="360" w:lineRule="auto"/>
        <w:ind w:firstLine="480" w:firstLineChars="200"/>
        <w:outlineLvl w:val="3"/>
        <w:rPr>
          <w:rFonts w:hint="eastAsia" w:ascii="宋体" w:hAnsi="宋体" w:eastAsia="宋体" w:cs="宋体"/>
          <w:b/>
          <w:bCs/>
          <w:sz w:val="24"/>
        </w:rPr>
      </w:pPr>
      <w:r>
        <w:rPr>
          <w:rFonts w:hint="eastAsia" w:ascii="宋体" w:hAnsi="宋体" w:eastAsia="宋体" w:cs="宋体"/>
          <w:sz w:val="24"/>
        </w:rPr>
        <w:t>4、磋商响应有效期的延长</w:t>
      </w:r>
    </w:p>
    <w:p w14:paraId="17801031">
      <w:pPr>
        <w:snapToGrid w:val="0"/>
        <w:spacing w:line="360" w:lineRule="auto"/>
        <w:ind w:firstLine="484" w:firstLineChars="202"/>
        <w:rPr>
          <w:rFonts w:hint="eastAsia" w:ascii="宋体" w:hAnsi="宋体" w:eastAsia="宋体" w:cs="宋体"/>
          <w:b/>
          <w:bCs/>
          <w:sz w:val="24"/>
        </w:rPr>
      </w:pPr>
      <w:r>
        <w:rPr>
          <w:rFonts w:hint="eastAsia" w:ascii="宋体" w:hAnsi="宋体" w:eastAsia="宋体" w:cs="宋体"/>
          <w:bCs/>
          <w:sz w:val="24"/>
        </w:rPr>
        <w:t>4.1在特殊情况下，</w:t>
      </w:r>
      <w:r>
        <w:rPr>
          <w:rFonts w:hint="eastAsia" w:ascii="宋体" w:hAnsi="宋体" w:eastAsia="宋体" w:cs="宋体"/>
          <w:sz w:val="24"/>
        </w:rPr>
        <w:t>采购代理机构</w:t>
      </w:r>
      <w:r>
        <w:rPr>
          <w:rFonts w:hint="eastAsia" w:ascii="宋体" w:hAnsi="宋体" w:eastAsia="宋体" w:cs="宋体"/>
          <w:bCs/>
          <w:sz w:val="24"/>
        </w:rPr>
        <w:t>于原磋商响应有效期满之前，可向磋商供应商提出延长磋商响应有效期的要求。这种要求与答复均应采用书面形式。供应商可以拒绝</w:t>
      </w:r>
      <w:r>
        <w:rPr>
          <w:rFonts w:hint="eastAsia" w:ascii="宋体" w:hAnsi="宋体" w:eastAsia="宋体" w:cs="宋体"/>
          <w:sz w:val="24"/>
        </w:rPr>
        <w:t>采购代理机构</w:t>
      </w:r>
      <w:r>
        <w:rPr>
          <w:rFonts w:hint="eastAsia" w:ascii="宋体" w:hAnsi="宋体" w:eastAsia="宋体" w:cs="宋体"/>
          <w:bCs/>
          <w:sz w:val="24"/>
        </w:rPr>
        <w:t>的这一要求而放弃磋商响应，同意延长磋商响应有效期的供应商既不能要求也不允许修改其响应文件。</w:t>
      </w:r>
      <w:r>
        <w:rPr>
          <w:rFonts w:hint="eastAsia" w:ascii="宋体" w:hAnsi="宋体" w:eastAsia="宋体" w:cs="宋体"/>
          <w:sz w:val="24"/>
        </w:rPr>
        <w:t>受磋商响应有效期约束的所有权利与义务均延长至新的有效期。</w:t>
      </w:r>
    </w:p>
    <w:p w14:paraId="26F9EFF5">
      <w:pPr>
        <w:snapToGrid w:val="0"/>
        <w:spacing w:line="360" w:lineRule="auto"/>
        <w:ind w:firstLine="482" w:firstLineChars="200"/>
        <w:outlineLvl w:val="1"/>
        <w:rPr>
          <w:rFonts w:hint="eastAsia" w:ascii="宋体" w:hAnsi="宋体" w:eastAsia="宋体" w:cs="宋体"/>
          <w:b/>
          <w:bCs/>
          <w:sz w:val="24"/>
        </w:rPr>
      </w:pPr>
      <w:r>
        <w:rPr>
          <w:rFonts w:hint="eastAsia" w:ascii="宋体" w:hAnsi="宋体" w:eastAsia="宋体" w:cs="宋体"/>
          <w:b/>
          <w:bCs/>
          <w:sz w:val="24"/>
        </w:rPr>
        <w:t>四、响应文件的提交</w:t>
      </w:r>
    </w:p>
    <w:p w14:paraId="5D7760C5">
      <w:pPr>
        <w:adjustRightInd w:val="0"/>
        <w:snapToGrid w:val="0"/>
        <w:spacing w:line="360" w:lineRule="auto"/>
        <w:ind w:firstLine="480" w:firstLineChars="200"/>
        <w:outlineLvl w:val="3"/>
        <w:rPr>
          <w:rFonts w:hint="eastAsia" w:ascii="宋体" w:hAnsi="宋体" w:eastAsia="宋体" w:cs="宋体"/>
          <w:b/>
          <w:bCs/>
          <w:sz w:val="24"/>
        </w:rPr>
      </w:pPr>
      <w:bookmarkStart w:id="67" w:name="_Toc16938541"/>
      <w:bookmarkStart w:id="68" w:name="_Toc513029225"/>
      <w:bookmarkStart w:id="69" w:name="_Toc20823297"/>
      <w:bookmarkStart w:id="70" w:name="_Toc462564084"/>
      <w:bookmarkStart w:id="71" w:name="_Toc513029230"/>
      <w:bookmarkStart w:id="72" w:name="_Toc20823302"/>
      <w:bookmarkStart w:id="73" w:name="_Toc16938546"/>
      <w:r>
        <w:rPr>
          <w:rFonts w:hint="eastAsia" w:ascii="宋体" w:hAnsi="宋体" w:eastAsia="宋体" w:cs="宋体"/>
          <w:sz w:val="24"/>
        </w:rPr>
        <w:t>1、响应文件</w:t>
      </w:r>
      <w:bookmarkEnd w:id="67"/>
      <w:bookmarkEnd w:id="68"/>
      <w:bookmarkEnd w:id="69"/>
      <w:bookmarkEnd w:id="70"/>
      <w:r>
        <w:rPr>
          <w:rFonts w:hint="eastAsia" w:ascii="宋体" w:hAnsi="宋体" w:eastAsia="宋体" w:cs="宋体"/>
          <w:sz w:val="24"/>
        </w:rPr>
        <w:t>的提交</w:t>
      </w:r>
    </w:p>
    <w:p w14:paraId="47C84C71">
      <w:pPr>
        <w:adjustRightInd w:val="0"/>
        <w:snapToGrid w:val="0"/>
        <w:spacing w:line="360" w:lineRule="auto"/>
        <w:ind w:firstLine="480" w:firstLineChars="200"/>
        <w:rPr>
          <w:rFonts w:hint="eastAsia" w:ascii="宋体" w:hAnsi="宋体" w:eastAsia="宋体" w:cs="宋体"/>
          <w:bCs/>
          <w:sz w:val="24"/>
        </w:rPr>
      </w:pPr>
      <w:bookmarkStart w:id="74" w:name="_Toc16938542"/>
      <w:bookmarkStart w:id="75" w:name="_Toc20823298"/>
      <w:bookmarkStart w:id="76" w:name="_Toc513029226"/>
      <w:r>
        <w:rPr>
          <w:rFonts w:hint="eastAsia" w:ascii="宋体" w:hAnsi="宋体" w:eastAsia="宋体" w:cs="宋体"/>
          <w:bCs/>
          <w:sz w:val="24"/>
        </w:rPr>
        <w:t>1.1 供应商按磋商文件要求编写响应文件，并牢固装订成册。响应文件均需采用A4纸（图纸等除外），不允许使用活页夹、拉杆夹、文件夹、塑料方便式书脊（插入式或穿孔式）装订。响应文件不得行间插字、涂改、增删，如修改错漏处，须经响应文件签署人签字并加盖公章。</w:t>
      </w:r>
    </w:p>
    <w:p w14:paraId="6A2973F3">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1.2响应文件均为壹式叁份，其中“正本”壹份和“副本”贰份。</w:t>
      </w:r>
    </w:p>
    <w:p w14:paraId="53521681">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1.3响应文件由①资格审查文件、②商务技术响应文件、③报价响应文件，共3部分组成，供应商须在每份响应文件上明确标注项目名称、项目编号、对应的响应文件名称（资格审查文件或商务技术响应文件或报价响应文件）、供应商的全称、日期、“正本”或“副本”字样。“正本”和“副本”若有差异，概以“正本”为准。</w:t>
      </w:r>
    </w:p>
    <w:p w14:paraId="0F363BEB">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1.4供应商须将三个部分的响应文件单独密封。密封后，应在每一密封袋上明确标注项目名称、项目编号、对应的响应文件名称（资格审查文件或商务技术响应文件或报价响应文件）、供应商的全称、日期，封袋上加盖供应商公章。</w:t>
      </w:r>
    </w:p>
    <w:p w14:paraId="2EA54CD0">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1.5 供应商可将响应文件正、副本统一密封或分别密封，如正本和副本分别密封的，应在封袋上标明正、副本字样。</w:t>
      </w:r>
    </w:p>
    <w:p w14:paraId="16808202">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1.6 响应文件中的所有“正本”，其正文内容须按磋商文件要求由供应商法定代表人或委托代理人签字（或盖章）并加盖单位公章。“副本”可复印，但须加盖单位公章。如非企业法人参加磋商，则以下所称的“法定代表人”为“企业负责人”，下同。</w:t>
      </w:r>
    </w:p>
    <w:p w14:paraId="5B085447">
      <w:pPr>
        <w:adjustRightInd w:val="0"/>
        <w:snapToGrid w:val="0"/>
        <w:spacing w:line="360" w:lineRule="auto"/>
        <w:ind w:firstLine="482" w:firstLineChars="200"/>
        <w:rPr>
          <w:rFonts w:hint="eastAsia" w:ascii="宋体" w:hAnsi="宋体" w:eastAsia="宋体" w:cs="宋体"/>
          <w:bCs/>
          <w:sz w:val="24"/>
        </w:rPr>
      </w:pPr>
      <w:r>
        <w:rPr>
          <w:rFonts w:hint="eastAsia" w:ascii="宋体" w:hAnsi="宋体" w:eastAsia="宋体" w:cs="宋体"/>
          <w:b/>
          <w:sz w:val="24"/>
        </w:rPr>
        <w:t>1.7成交供应商在成交公示期后、领取成交通知书前必须将电子响应文件（①资格审查文件、②商务技术响应文件、③报价响应文件）发至邮箱（1013963231@qq.com），以供存档。电子响应文件须加盖供应商公章，且保证与评标时的纸质响应文件完全一致。</w:t>
      </w:r>
    </w:p>
    <w:p w14:paraId="6996018E">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【特别提醒】响应文件中的资格审查文件、商务技术响应文件的“正本”或“副本”中，均不得含有报价响应文件中报价表（报价单）内的任何项目价格，否则作无效响应处理。</w:t>
      </w:r>
    </w:p>
    <w:p w14:paraId="3AC695A7">
      <w:pPr>
        <w:adjustRightInd w:val="0"/>
        <w:snapToGrid w:val="0"/>
        <w:spacing w:line="360" w:lineRule="auto"/>
        <w:ind w:firstLine="480" w:firstLineChars="200"/>
        <w:rPr>
          <w:rFonts w:hint="eastAsia" w:ascii="宋体" w:hAnsi="宋体" w:eastAsia="宋体" w:cs="宋体"/>
          <w:b/>
          <w:sz w:val="24"/>
        </w:rPr>
      </w:pPr>
      <w:r>
        <w:rPr>
          <w:rFonts w:hint="eastAsia" w:ascii="宋体" w:hAnsi="宋体" w:eastAsia="宋体" w:cs="宋体"/>
          <w:sz w:val="24"/>
        </w:rPr>
        <w:t>2、响应文件截止日期</w:t>
      </w:r>
      <w:bookmarkEnd w:id="74"/>
      <w:bookmarkEnd w:id="75"/>
      <w:bookmarkEnd w:id="76"/>
    </w:p>
    <w:p w14:paraId="6F68052D">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2.1 供应商递交响应文件的时间不得迟于采购邀请中规定的响应文件提交截止时间。</w:t>
      </w:r>
    </w:p>
    <w:p w14:paraId="049B8391">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供应商应充分考虑到交通、停车等风险因素，如因供应商自身原因造成的响应文件逾时递交由供应商自行承担全部责任。</w:t>
      </w:r>
    </w:p>
    <w:p w14:paraId="5D12FAA9">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sz w:val="24"/>
        </w:rPr>
        <w:t>2.2采购代理机构</w:t>
      </w:r>
      <w:r>
        <w:rPr>
          <w:rFonts w:hint="eastAsia" w:ascii="宋体" w:hAnsi="宋体" w:eastAsia="宋体" w:cs="宋体"/>
          <w:bCs/>
          <w:sz w:val="24"/>
        </w:rPr>
        <w:t>可以按照规定，通过修改响应文件酌情延长响应文件提交截止日期，在此情况下，供应商的所有权利和义务以及供应商受制的截止日期均应以延长后新的截止日期为准。</w:t>
      </w:r>
    </w:p>
    <w:p w14:paraId="3C270CF2">
      <w:pPr>
        <w:adjustRightInd w:val="0"/>
        <w:snapToGrid w:val="0"/>
        <w:spacing w:line="360" w:lineRule="auto"/>
        <w:ind w:firstLine="480" w:firstLineChars="200"/>
        <w:outlineLvl w:val="3"/>
        <w:rPr>
          <w:rFonts w:hint="eastAsia" w:ascii="宋体" w:hAnsi="宋体" w:eastAsia="宋体" w:cs="宋体"/>
          <w:b/>
          <w:bCs/>
          <w:sz w:val="24"/>
        </w:rPr>
      </w:pPr>
      <w:bookmarkStart w:id="77" w:name="_Toc513029227"/>
      <w:bookmarkStart w:id="78" w:name="_Toc20823299"/>
      <w:bookmarkStart w:id="79" w:name="_Toc16938543"/>
      <w:r>
        <w:rPr>
          <w:rFonts w:hint="eastAsia" w:ascii="宋体" w:hAnsi="宋体" w:eastAsia="宋体" w:cs="宋体"/>
          <w:sz w:val="24"/>
        </w:rPr>
        <w:t>3、响应文件</w:t>
      </w:r>
      <w:bookmarkEnd w:id="77"/>
      <w:bookmarkEnd w:id="78"/>
      <w:bookmarkEnd w:id="79"/>
      <w:r>
        <w:rPr>
          <w:rFonts w:hint="eastAsia" w:ascii="宋体" w:hAnsi="宋体" w:eastAsia="宋体" w:cs="宋体"/>
          <w:sz w:val="24"/>
        </w:rPr>
        <w:t>的拒收</w:t>
      </w:r>
    </w:p>
    <w:p w14:paraId="41287ACD">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 xml:space="preserve">3.1 </w:t>
      </w:r>
      <w:r>
        <w:rPr>
          <w:rFonts w:hint="eastAsia" w:ascii="宋体" w:hAnsi="宋体" w:eastAsia="宋体" w:cs="宋体"/>
          <w:sz w:val="24"/>
        </w:rPr>
        <w:t>采购代理机构</w:t>
      </w:r>
      <w:r>
        <w:rPr>
          <w:rFonts w:hint="eastAsia" w:ascii="宋体" w:hAnsi="宋体" w:eastAsia="宋体" w:cs="宋体"/>
          <w:bCs/>
          <w:sz w:val="24"/>
        </w:rPr>
        <w:t>拒绝接收在其规定的响应文件提交截止时间后递交的任何响应文件。</w:t>
      </w:r>
    </w:p>
    <w:p w14:paraId="48FBF0F9">
      <w:pPr>
        <w:adjustRightInd w:val="0"/>
        <w:snapToGrid w:val="0"/>
        <w:spacing w:line="360" w:lineRule="auto"/>
        <w:ind w:firstLine="480" w:firstLineChars="200"/>
        <w:outlineLvl w:val="3"/>
        <w:rPr>
          <w:rFonts w:hint="eastAsia" w:ascii="宋体" w:hAnsi="宋体" w:eastAsia="宋体" w:cs="宋体"/>
          <w:b/>
          <w:bCs/>
          <w:sz w:val="24"/>
        </w:rPr>
      </w:pPr>
      <w:bookmarkStart w:id="80" w:name="_Toc16938544"/>
      <w:bookmarkStart w:id="81" w:name="_Toc513029228"/>
      <w:bookmarkStart w:id="82" w:name="_Toc20823300"/>
      <w:r>
        <w:rPr>
          <w:rFonts w:hint="eastAsia" w:ascii="宋体" w:hAnsi="宋体" w:eastAsia="宋体" w:cs="宋体"/>
          <w:sz w:val="24"/>
        </w:rPr>
        <w:t>4、响应文件的撤回和修改</w:t>
      </w:r>
      <w:bookmarkEnd w:id="80"/>
      <w:bookmarkEnd w:id="81"/>
      <w:bookmarkEnd w:id="82"/>
    </w:p>
    <w:p w14:paraId="04586CE2">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4.1 响应文件的撤回</w:t>
      </w:r>
    </w:p>
    <w:p w14:paraId="4F55C735">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供应商可在响应文件提交截止时间前，撤回其响应文件。供应商撤回响应文件，则认为其不再参与本项目磋商活动。</w:t>
      </w:r>
    </w:p>
    <w:p w14:paraId="28C8236F">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4.2 响应文件的修改</w:t>
      </w:r>
    </w:p>
    <w:p w14:paraId="2104115F">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供应商可在响应文件提交截止时间前，对其响应文件进行修改。</w:t>
      </w:r>
    </w:p>
    <w:p w14:paraId="341B3E42">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sz w:val="24"/>
        </w:rPr>
        <w:t>4.3</w:t>
      </w:r>
      <w:r>
        <w:rPr>
          <w:rFonts w:hint="eastAsia" w:ascii="宋体" w:hAnsi="宋体" w:eastAsia="宋体" w:cs="宋体"/>
          <w:bCs/>
          <w:sz w:val="24"/>
        </w:rPr>
        <w:t xml:space="preserve"> 在响应文件提交截止时间之后，供应商不得对其响应文件作任何修改。</w:t>
      </w:r>
    </w:p>
    <w:p w14:paraId="14302E2A">
      <w:pPr>
        <w:adjustRightInd w:val="0"/>
        <w:snapToGrid w:val="0"/>
        <w:spacing w:line="360" w:lineRule="auto"/>
        <w:ind w:firstLine="480" w:firstLineChars="200"/>
        <w:rPr>
          <w:rFonts w:hint="eastAsia" w:ascii="宋体" w:hAnsi="宋体" w:eastAsia="宋体" w:cs="宋体"/>
          <w:b/>
          <w:bCs/>
          <w:sz w:val="24"/>
        </w:rPr>
      </w:pPr>
      <w:r>
        <w:rPr>
          <w:rFonts w:hint="eastAsia" w:ascii="宋体" w:hAnsi="宋体" w:eastAsia="宋体" w:cs="宋体"/>
          <w:sz w:val="24"/>
        </w:rPr>
        <w:t>4.4</w:t>
      </w:r>
      <w:r>
        <w:rPr>
          <w:rFonts w:hint="eastAsia" w:ascii="宋体" w:hAnsi="宋体" w:eastAsia="宋体" w:cs="宋体"/>
          <w:bCs/>
          <w:sz w:val="24"/>
        </w:rPr>
        <w:t xml:space="preserve"> 在响应文件截止时间至响应文件中规定的磋商响应有效期满之间的这段时间内，供应商不得撤回其响应文件。</w:t>
      </w:r>
    </w:p>
    <w:p w14:paraId="1767BFFA">
      <w:pPr>
        <w:adjustRightInd w:val="0"/>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五、磋商与评审</w:t>
      </w:r>
    </w:p>
    <w:p w14:paraId="023C8E93">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1、磋商仪式</w:t>
      </w:r>
    </w:p>
    <w:p w14:paraId="68364C15">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1.1采购代理机构将在采购邀请中规定的时间和地点组织磋商开始仪式。</w:t>
      </w:r>
    </w:p>
    <w:p w14:paraId="0611A1B1">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1.2 磋商活动由采购代理机构组织，现场进行磋商，并公布各供应商的最后报价。</w:t>
      </w:r>
    </w:p>
    <w:p w14:paraId="6D74C888">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2、磋商小组</w:t>
      </w:r>
    </w:p>
    <w:p w14:paraId="343E0351">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2.1磋商开始仪式结束后，采购单位将立即组织磋商小组进行评审。</w:t>
      </w:r>
    </w:p>
    <w:p w14:paraId="4A120248">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2.2磋商小组由采购单位代表和评审专家共3人或3人以上单数组成，其中评审专家人数不得少于磋商小组成员总数的2/3。采购单位不得以评审专家身份参加本部门或本单位采购项目的评审。</w:t>
      </w:r>
    </w:p>
    <w:p w14:paraId="2FEE656A">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2.3采用竞争性磋商的政府采购项目，评审专家应当从政府采购评审专家库内相关专业的专家名单中随机抽取。市场竞争不充分的科研项目、需要扶持的科技成果转化项目，以及情况特殊、通过随机方式难以确定合适的评审专家的项目，经主管预算单位同意，可以自行选定评审专家。技术复杂、专业性强的竞争性磋商采购项目，评审专家中应当包含1名法律专家。</w:t>
      </w:r>
    </w:p>
    <w:p w14:paraId="67B56481">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2.4磋商小组独立工作，负责评审所有响应文件并确定成交</w:t>
      </w:r>
      <w:r>
        <w:rPr>
          <w:rFonts w:hint="eastAsia" w:ascii="宋体" w:hAnsi="宋体" w:eastAsia="宋体" w:cs="宋体"/>
          <w:sz w:val="24"/>
          <w:lang w:eastAsia="zh-CN"/>
        </w:rPr>
        <w:t>候选</w:t>
      </w:r>
      <w:bookmarkStart w:id="278" w:name="_GoBack"/>
      <w:bookmarkEnd w:id="278"/>
      <w:r>
        <w:rPr>
          <w:rFonts w:hint="eastAsia" w:ascii="宋体" w:hAnsi="宋体" w:eastAsia="宋体" w:cs="宋体"/>
          <w:sz w:val="24"/>
        </w:rPr>
        <w:t>人。</w:t>
      </w:r>
    </w:p>
    <w:p w14:paraId="34DD9044">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3、磋商评审过程的保密与公正</w:t>
      </w:r>
    </w:p>
    <w:p w14:paraId="32F44DA8">
      <w:pPr>
        <w:tabs>
          <w:tab w:val="left" w:pos="900"/>
        </w:tabs>
        <w:adjustRightInd w:val="0"/>
        <w:snapToGrid w:val="0"/>
        <w:spacing w:line="360" w:lineRule="auto"/>
        <w:ind w:firstLine="477" w:firstLineChars="199"/>
        <w:rPr>
          <w:rFonts w:hint="eastAsia" w:ascii="宋体" w:hAnsi="宋体" w:eastAsia="宋体" w:cs="宋体"/>
          <w:sz w:val="24"/>
        </w:rPr>
      </w:pPr>
      <w:r>
        <w:rPr>
          <w:rFonts w:hint="eastAsia" w:ascii="宋体" w:hAnsi="宋体" w:eastAsia="宋体" w:cs="宋体"/>
          <w:sz w:val="24"/>
        </w:rPr>
        <w:t>3.1磋商小组、采购单位和采购代理机构工作人员、相关监督人员等与评审工作有关的人员，对评审情况以及在评审过程中获悉的国家秘密、商业秘密负有保密责任。</w:t>
      </w:r>
    </w:p>
    <w:p w14:paraId="6153EE69">
      <w:pPr>
        <w:tabs>
          <w:tab w:val="left" w:pos="900"/>
        </w:tabs>
        <w:adjustRightInd w:val="0"/>
        <w:snapToGrid w:val="0"/>
        <w:spacing w:line="360" w:lineRule="auto"/>
        <w:ind w:firstLine="477" w:firstLineChars="199"/>
        <w:rPr>
          <w:rFonts w:hint="eastAsia" w:ascii="宋体" w:hAnsi="宋体" w:eastAsia="宋体" w:cs="宋体"/>
          <w:sz w:val="24"/>
        </w:rPr>
      </w:pPr>
      <w:r>
        <w:rPr>
          <w:rFonts w:hint="eastAsia" w:ascii="宋体" w:hAnsi="宋体" w:eastAsia="宋体" w:cs="宋体"/>
          <w:sz w:val="24"/>
        </w:rPr>
        <w:t>3.2在磋商评审过程中，磋商供应商不得以任何行为影响磋商评审过程，否则其响应文件将被作为无效响应文件。</w:t>
      </w:r>
    </w:p>
    <w:p w14:paraId="6BEE1DD0">
      <w:pPr>
        <w:tabs>
          <w:tab w:val="left" w:pos="900"/>
        </w:tabs>
        <w:adjustRightInd w:val="0"/>
        <w:snapToGrid w:val="0"/>
        <w:spacing w:line="360" w:lineRule="auto"/>
        <w:ind w:firstLine="477" w:firstLineChars="199"/>
        <w:rPr>
          <w:rFonts w:hint="eastAsia" w:ascii="宋体" w:hAnsi="宋体" w:eastAsia="宋体" w:cs="宋体"/>
          <w:sz w:val="24"/>
        </w:rPr>
      </w:pPr>
      <w:r>
        <w:rPr>
          <w:rFonts w:hint="eastAsia" w:ascii="宋体" w:hAnsi="宋体" w:eastAsia="宋体" w:cs="宋体"/>
          <w:sz w:val="24"/>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28FAB571">
      <w:pPr>
        <w:tabs>
          <w:tab w:val="left" w:pos="900"/>
        </w:tabs>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sz w:val="24"/>
        </w:rPr>
        <w:t>3.4</w:t>
      </w:r>
      <w:r>
        <w:rPr>
          <w:rFonts w:hint="eastAsia" w:ascii="宋体" w:hAnsi="宋体" w:eastAsia="宋体" w:cs="宋体"/>
          <w:bCs/>
          <w:sz w:val="24"/>
        </w:rPr>
        <w:t>评审开始后，直至向成交供应商授予合同时止，凡是与审查、澄清、评价和比较响应的有关资料以及授标建议等，采购单位、磋商小组、采购代理机构均不得向供应商或与评标无关的其他人员透露。</w:t>
      </w:r>
    </w:p>
    <w:p w14:paraId="350F73B6">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3.5在评审期间，采购代理机构将设专门人员与供应商联系。</w:t>
      </w:r>
    </w:p>
    <w:p w14:paraId="2CD6E7C8">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3.6采购代理机构和评审小组不向未成交的供应商解释未成交原因，也不公布评审过程中的相关细节。</w:t>
      </w:r>
    </w:p>
    <w:p w14:paraId="4B86B541">
      <w:pPr>
        <w:tabs>
          <w:tab w:val="left" w:pos="900"/>
        </w:tabs>
        <w:adjustRightInd w:val="0"/>
        <w:snapToGrid w:val="0"/>
        <w:spacing w:line="360" w:lineRule="auto"/>
        <w:ind w:firstLine="477" w:firstLineChars="199"/>
        <w:rPr>
          <w:rFonts w:hint="eastAsia" w:ascii="宋体" w:hAnsi="宋体" w:eastAsia="宋体" w:cs="宋体"/>
          <w:sz w:val="24"/>
        </w:rPr>
      </w:pPr>
      <w:r>
        <w:rPr>
          <w:rFonts w:hint="eastAsia" w:ascii="宋体" w:hAnsi="宋体" w:eastAsia="宋体" w:cs="宋体"/>
          <w:sz w:val="24"/>
        </w:rPr>
        <w:t>4、评审过程的澄清</w:t>
      </w:r>
    </w:p>
    <w:p w14:paraId="09E4510A">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4.1评审期间，为有助于对响应文件的审查、评价和比较，磋商小组有权要求响应供应商对其响应文件进行书面澄清，但并非对每个供应商都作澄清要求。</w:t>
      </w:r>
    </w:p>
    <w:p w14:paraId="1705989E">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4.2接到磋商小组澄清要求的供应商应按磋商小组规定的时间做出书面澄清，澄清的内容作为响应文件的补充部分，但实质性的内容不得做任何更改。</w:t>
      </w:r>
    </w:p>
    <w:p w14:paraId="4CBCB0C7">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sz w:val="24"/>
        </w:rPr>
        <w:t>4.3 接到磋商小组澄清要求的供应商如未按规定做出澄清，其风</w:t>
      </w:r>
      <w:r>
        <w:rPr>
          <w:rFonts w:hint="eastAsia" w:ascii="宋体" w:hAnsi="宋体" w:eastAsia="宋体" w:cs="宋体"/>
          <w:bCs/>
          <w:sz w:val="24"/>
        </w:rPr>
        <w:t>险由供应商自行承担。</w:t>
      </w:r>
    </w:p>
    <w:p w14:paraId="7DD691CA">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5、对响应文件的初审</w:t>
      </w:r>
    </w:p>
    <w:p w14:paraId="2BA3E7DF">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5.1响应文件初审分为资格性审查和符合性审查。</w:t>
      </w:r>
    </w:p>
    <w:p w14:paraId="4A0328A8">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5.1.1资格性检查：依据法律法规和磋商文件的规定，由评审小组对响应文件中的资格审查证明材料进行审查。</w:t>
      </w:r>
    </w:p>
    <w:p w14:paraId="763B9C48">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在进行资格性审查的同时，采购代理机构将从“信用中国”网站（www.creditchina.gov.cn）查询供应商的信用记录，以确定供应商是否具备参加磋商的资格。查询结果将留存并归档。</w:t>
      </w:r>
    </w:p>
    <w:p w14:paraId="67E75B88">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接受联合体的项目，两个以上的自然人、法人或者其他组织组成一个联合体，以一个供应商的身份共同参加政府采购活动的,联合体成员中任何一方存在不良信用记录的，视同联合体存在不良应用记录。</w:t>
      </w:r>
    </w:p>
    <w:p w14:paraId="31AF6778">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5.1.2符合性审查：依据磋商文件的规定，由磋商小组从响应文件的有效性、完整性和对磋商文件的响应程度进行审查，以确定是否对磋商文件的实质性要求作出响应。</w:t>
      </w:r>
    </w:p>
    <w:p w14:paraId="3121321F">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5.1.3未通过资格审查或符合性审查的供应商，采购代理机构将告知未通过资格审查或符合性审查的原因，评审结束后，采购代理机构将不再告知未通过资格审查或符合性审查的原因。</w:t>
      </w:r>
    </w:p>
    <w:p w14:paraId="618CACB2">
      <w:pPr>
        <w:tabs>
          <w:tab w:val="left" w:pos="900"/>
        </w:tabs>
        <w:adjustRightInd w:val="0"/>
        <w:snapToGrid w:val="0"/>
        <w:spacing w:line="360" w:lineRule="auto"/>
        <w:ind w:firstLine="477" w:firstLineChars="199"/>
        <w:rPr>
          <w:rFonts w:hint="eastAsia" w:ascii="宋体" w:hAnsi="宋体" w:eastAsia="宋体" w:cs="宋体"/>
          <w:bCs/>
          <w:sz w:val="24"/>
        </w:rPr>
      </w:pPr>
      <w:r>
        <w:rPr>
          <w:rFonts w:hint="eastAsia" w:ascii="宋体" w:hAnsi="宋体" w:eastAsia="宋体" w:cs="宋体"/>
          <w:bCs/>
          <w:sz w:val="24"/>
        </w:rPr>
        <w:t>5.2在正式磋商之前，磋商小组将首先审查每份响应文件是否实质性响应了磋商文件的要求。实质性响应的响应文件应该是与磋商文件要求的全部条款、条件和规格相符，没有重大负偏离或保留。</w:t>
      </w:r>
    </w:p>
    <w:p w14:paraId="6CCA15E8">
      <w:pPr>
        <w:tabs>
          <w:tab w:val="left" w:pos="900"/>
        </w:tabs>
        <w:adjustRightInd w:val="0"/>
        <w:snapToGrid w:val="0"/>
        <w:spacing w:line="360" w:lineRule="auto"/>
        <w:ind w:firstLine="477" w:firstLineChars="199"/>
        <w:rPr>
          <w:rFonts w:hint="eastAsia" w:ascii="宋体" w:hAnsi="宋体" w:eastAsia="宋体" w:cs="宋体"/>
          <w:bCs/>
          <w:sz w:val="24"/>
        </w:rPr>
      </w:pPr>
      <w:r>
        <w:rPr>
          <w:rFonts w:hint="eastAsia" w:ascii="宋体" w:hAnsi="宋体" w:eastAsia="宋体" w:cs="宋体"/>
          <w:bCs/>
          <w:sz w:val="24"/>
        </w:rPr>
        <w:t>所谓重大负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14:paraId="1FB75F0B">
      <w:pPr>
        <w:tabs>
          <w:tab w:val="left" w:pos="900"/>
        </w:tabs>
        <w:adjustRightInd w:val="0"/>
        <w:snapToGrid w:val="0"/>
        <w:spacing w:line="360" w:lineRule="auto"/>
        <w:ind w:firstLine="477" w:firstLineChars="199"/>
        <w:rPr>
          <w:rFonts w:hint="eastAsia" w:ascii="宋体" w:hAnsi="宋体" w:eastAsia="宋体" w:cs="宋体"/>
          <w:bCs/>
          <w:sz w:val="24"/>
        </w:rPr>
      </w:pPr>
      <w:r>
        <w:rPr>
          <w:rFonts w:hint="eastAsia" w:ascii="宋体" w:hAnsi="宋体" w:eastAsia="宋体" w:cs="宋体"/>
          <w:bCs/>
          <w:sz w:val="24"/>
        </w:rPr>
        <w:t>5.3如果响应文件实质上没有响应磋商文件的要求，磋商小组将予以拒绝，供应商不得通过修改或撤销不合要求的偏离或保留而使其响应文件成为实质性响应的文件。</w:t>
      </w:r>
    </w:p>
    <w:p w14:paraId="58C5E2EA">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sz w:val="24"/>
        </w:rPr>
        <w:t>5.4</w:t>
      </w:r>
      <w:r>
        <w:rPr>
          <w:rFonts w:hint="eastAsia" w:ascii="宋体" w:hAnsi="宋体" w:eastAsia="宋体" w:cs="宋体"/>
          <w:bCs/>
          <w:sz w:val="24"/>
        </w:rPr>
        <w:t>磋商小组将对确定为实质性响应的文件进行进一步审核，看其是否有计算上或累加上的算术错误，修正错误的原则如下：</w:t>
      </w:r>
    </w:p>
    <w:p w14:paraId="3A9F1482">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（1）响应文件中</w:t>
      </w:r>
      <w:r>
        <w:rPr>
          <w:rFonts w:hint="eastAsia" w:ascii="宋体" w:hAnsi="宋体" w:eastAsia="宋体" w:cs="宋体"/>
          <w:sz w:val="24"/>
        </w:rPr>
        <w:t>报价总表</w:t>
      </w:r>
      <w:r>
        <w:rPr>
          <w:rFonts w:hint="eastAsia" w:ascii="宋体" w:hAnsi="宋体" w:eastAsia="宋体" w:cs="宋体"/>
          <w:bCs/>
          <w:sz w:val="24"/>
        </w:rPr>
        <w:t>内容与响应文件中相应内容不一致的，以</w:t>
      </w:r>
      <w:r>
        <w:rPr>
          <w:rFonts w:hint="eastAsia" w:ascii="宋体" w:hAnsi="宋体" w:eastAsia="宋体" w:cs="宋体"/>
          <w:sz w:val="24"/>
        </w:rPr>
        <w:t>报价总表</w:t>
      </w:r>
      <w:r>
        <w:rPr>
          <w:rFonts w:hint="eastAsia" w:ascii="宋体" w:hAnsi="宋体" w:eastAsia="宋体" w:cs="宋体"/>
          <w:bCs/>
          <w:sz w:val="24"/>
        </w:rPr>
        <w:t>为准。</w:t>
      </w:r>
    </w:p>
    <w:p w14:paraId="03E28F7B">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（2）大写金额和小写金额不一致的，以大写金额为准。</w:t>
      </w:r>
    </w:p>
    <w:p w14:paraId="25A70367">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（3）单价金额小数点或者百分比有明显错位的，以</w:t>
      </w:r>
      <w:r>
        <w:rPr>
          <w:rFonts w:hint="eastAsia" w:ascii="宋体" w:hAnsi="宋体" w:eastAsia="宋体" w:cs="宋体"/>
          <w:sz w:val="24"/>
        </w:rPr>
        <w:t>报价总表</w:t>
      </w:r>
      <w:r>
        <w:rPr>
          <w:rFonts w:hint="eastAsia" w:ascii="宋体" w:hAnsi="宋体" w:eastAsia="宋体" w:cs="宋体"/>
          <w:bCs/>
          <w:sz w:val="24"/>
        </w:rPr>
        <w:t>的总价为准，并修改单价。</w:t>
      </w:r>
    </w:p>
    <w:p w14:paraId="133A5638">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（4）总价金额与按单价汇总金额不一致的，以单价金额计算结果为准。</w:t>
      </w:r>
    </w:p>
    <w:p w14:paraId="400A66FA">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同时出现两种以上错误的，按照前款规定的顺序修正。</w:t>
      </w:r>
    </w:p>
    <w:p w14:paraId="6A1D6D58">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sz w:val="24"/>
        </w:rPr>
        <w:t>5.5</w:t>
      </w:r>
      <w:r>
        <w:rPr>
          <w:rFonts w:hint="eastAsia" w:ascii="宋体" w:hAnsi="宋体" w:eastAsia="宋体" w:cs="宋体"/>
          <w:bCs/>
          <w:sz w:val="24"/>
        </w:rPr>
        <w:t>磋商小组将按上述修正错误的方法调整响应文件中的报价，调整后的价格应对供应商具有约束力。如果供应商不接受修正后的价格，则其磋商活动将被拒绝。</w:t>
      </w:r>
    </w:p>
    <w:p w14:paraId="05F8B1B9">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5.6磋商小组将允许修正响应文件中不构成重大偏离的、微小的、非正规的、不一致的或不规则的地方，但这些修改不能影响任何供应商相应的名次排列。</w:t>
      </w:r>
    </w:p>
    <w:p w14:paraId="30C6B723">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5.7提供相同品牌相同型号产品且通过资格审查、符合性审查的不同供应商参加同一合同项下磋商的，按一家供应商计算，评审后得分最高的同品牌同型号供应商获得成交人推荐资格；评审得分相同的，由磋商小组采取随机抽取的方式确定一个成交候选人，其他同品牌供应商不作为成交候选人。</w:t>
      </w:r>
    </w:p>
    <w:p w14:paraId="526C84A4">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非单一产品采购项目，磋商文件中将载明其中的核心产品。多家供应商提供的核心产品品牌相同的，按前款规定处理。</w:t>
      </w:r>
    </w:p>
    <w:p w14:paraId="282979FF">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5.8供应商在评审全过程中应保证不离开现场，并随时能与采购代理机构及磋商小组联系。</w:t>
      </w:r>
    </w:p>
    <w:p w14:paraId="5A39ED1F">
      <w:pPr>
        <w:tabs>
          <w:tab w:val="left" w:pos="6555"/>
          <w:tab w:val="right" w:pos="8306"/>
        </w:tabs>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6、被认定为未实质性响应磋商文件的响应文件的情形。</w:t>
      </w:r>
    </w:p>
    <w:p w14:paraId="7B4AB505">
      <w:pPr>
        <w:tabs>
          <w:tab w:val="left" w:pos="6555"/>
          <w:tab w:val="right" w:pos="8306"/>
        </w:tabs>
        <w:adjustRightInd w:val="0"/>
        <w:snapToGrid w:val="0"/>
        <w:spacing w:line="360" w:lineRule="auto"/>
        <w:ind w:firstLine="480" w:firstLineChars="200"/>
        <w:rPr>
          <w:rFonts w:hint="eastAsia" w:ascii="宋体" w:hAnsi="宋体" w:eastAsia="宋体" w:cs="宋体"/>
          <w:b/>
          <w:sz w:val="24"/>
        </w:rPr>
      </w:pPr>
      <w:r>
        <w:rPr>
          <w:rFonts w:hint="eastAsia" w:ascii="宋体" w:hAnsi="宋体" w:eastAsia="宋体" w:cs="宋体"/>
          <w:bCs/>
          <w:sz w:val="24"/>
        </w:rPr>
        <w:t>6.1出现下列情形之一的，作无效响应处理。</w:t>
      </w:r>
      <w:r>
        <w:rPr>
          <w:rFonts w:hint="eastAsia" w:ascii="宋体" w:hAnsi="宋体" w:eastAsia="宋体" w:cs="宋体"/>
          <w:bCs/>
          <w:sz w:val="24"/>
        </w:rPr>
        <w:tab/>
      </w:r>
      <w:r>
        <w:rPr>
          <w:rFonts w:hint="eastAsia" w:ascii="宋体" w:hAnsi="宋体" w:eastAsia="宋体" w:cs="宋体"/>
          <w:b/>
          <w:sz w:val="24"/>
        </w:rPr>
        <w:tab/>
      </w:r>
    </w:p>
    <w:p w14:paraId="7C0F7D32">
      <w:pPr>
        <w:adjustRightInd w:val="0"/>
        <w:snapToGrid w:val="0"/>
        <w:spacing w:line="360" w:lineRule="auto"/>
        <w:ind w:firstLine="484" w:firstLineChars="202"/>
        <w:rPr>
          <w:rFonts w:hint="eastAsia" w:ascii="宋体" w:hAnsi="宋体" w:eastAsia="宋体" w:cs="宋体"/>
          <w:bCs/>
          <w:sz w:val="24"/>
        </w:rPr>
      </w:pPr>
      <w:r>
        <w:rPr>
          <w:rFonts w:hint="eastAsia" w:ascii="宋体" w:hAnsi="宋体" w:eastAsia="宋体" w:cs="宋体"/>
          <w:bCs/>
          <w:sz w:val="24"/>
        </w:rPr>
        <w:t>6.1.1磋商响应文件未按磋商文件要求装订、密封、签署、盖章及主要资料不齐全的。</w:t>
      </w:r>
    </w:p>
    <w:p w14:paraId="7942D515">
      <w:pPr>
        <w:adjustRightInd w:val="0"/>
        <w:snapToGrid w:val="0"/>
        <w:spacing w:line="360" w:lineRule="auto"/>
        <w:ind w:firstLine="484" w:firstLineChars="202"/>
        <w:rPr>
          <w:rFonts w:hint="eastAsia" w:ascii="宋体" w:hAnsi="宋体" w:eastAsia="宋体" w:cs="宋体"/>
          <w:kern w:val="2"/>
          <w:sz w:val="24"/>
        </w:rPr>
      </w:pPr>
      <w:r>
        <w:rPr>
          <w:rFonts w:hint="eastAsia" w:ascii="宋体" w:hAnsi="宋体" w:eastAsia="宋体" w:cs="宋体"/>
          <w:bCs/>
          <w:sz w:val="24"/>
        </w:rPr>
        <w:t>6.1.2</w:t>
      </w:r>
      <w:r>
        <w:rPr>
          <w:rFonts w:hint="eastAsia" w:ascii="宋体" w:hAnsi="宋体" w:eastAsia="宋体" w:cs="宋体"/>
          <w:kern w:val="2"/>
          <w:sz w:val="24"/>
        </w:rPr>
        <w:t>磋商响应文件的资料有虚报或者谎报的。</w:t>
      </w:r>
    </w:p>
    <w:p w14:paraId="13F57274">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6.1.3磋商响应文件中资格审查文件及商务技术响应文件出现磋商报价的内容。</w:t>
      </w:r>
    </w:p>
    <w:p w14:paraId="4A348E4D">
      <w:pPr>
        <w:adjustRightInd w:val="0"/>
        <w:snapToGrid w:val="0"/>
        <w:spacing w:line="360" w:lineRule="auto"/>
        <w:ind w:firstLine="484" w:firstLineChars="202"/>
        <w:rPr>
          <w:rFonts w:hint="eastAsia" w:ascii="宋体" w:hAnsi="宋体" w:eastAsia="宋体" w:cs="宋体"/>
          <w:bCs/>
          <w:sz w:val="24"/>
        </w:rPr>
      </w:pPr>
      <w:r>
        <w:rPr>
          <w:rFonts w:hint="eastAsia" w:ascii="宋体" w:hAnsi="宋体" w:eastAsia="宋体" w:cs="宋体"/>
          <w:bCs/>
          <w:sz w:val="24"/>
        </w:rPr>
        <w:t>6.1.4未通过符合性检查或不具备磋商文件中规定的资格要求的。</w:t>
      </w:r>
    </w:p>
    <w:p w14:paraId="5D4408B9">
      <w:pPr>
        <w:adjustRightInd w:val="0"/>
        <w:snapToGrid w:val="0"/>
        <w:spacing w:line="360" w:lineRule="auto"/>
        <w:ind w:firstLine="484" w:firstLineChars="202"/>
        <w:rPr>
          <w:rFonts w:hint="eastAsia" w:ascii="宋体" w:hAnsi="宋体" w:eastAsia="宋体" w:cs="宋体"/>
          <w:bCs/>
          <w:sz w:val="24"/>
        </w:rPr>
      </w:pPr>
      <w:r>
        <w:rPr>
          <w:rFonts w:hint="eastAsia" w:ascii="宋体" w:hAnsi="宋体" w:eastAsia="宋体" w:cs="宋体"/>
          <w:bCs/>
          <w:sz w:val="24"/>
        </w:rPr>
        <w:t>6.1.5</w:t>
      </w:r>
      <w:r>
        <w:rPr>
          <w:rFonts w:hint="eastAsia" w:ascii="宋体" w:hAnsi="宋体" w:eastAsia="宋体" w:cs="宋体"/>
          <w:kern w:val="2"/>
          <w:sz w:val="24"/>
        </w:rPr>
        <w:t>磋商响应文件有重大漏项或重大不合理的</w:t>
      </w:r>
      <w:r>
        <w:rPr>
          <w:rFonts w:hint="eastAsia" w:ascii="宋体" w:hAnsi="宋体" w:eastAsia="宋体" w:cs="宋体"/>
          <w:bCs/>
          <w:sz w:val="24"/>
        </w:rPr>
        <w:t>。</w:t>
      </w:r>
    </w:p>
    <w:p w14:paraId="160F7880">
      <w:pPr>
        <w:adjustRightInd w:val="0"/>
        <w:snapToGrid w:val="0"/>
        <w:spacing w:line="360" w:lineRule="auto"/>
        <w:ind w:firstLine="484" w:firstLineChars="202"/>
        <w:rPr>
          <w:rFonts w:hint="eastAsia" w:ascii="宋体" w:hAnsi="宋体" w:eastAsia="宋体" w:cs="宋体"/>
          <w:bCs/>
          <w:sz w:val="24"/>
        </w:rPr>
      </w:pPr>
      <w:r>
        <w:rPr>
          <w:rFonts w:hint="eastAsia" w:ascii="宋体" w:hAnsi="宋体" w:eastAsia="宋体" w:cs="宋体"/>
          <w:bCs/>
          <w:sz w:val="24"/>
        </w:rPr>
        <w:t>6.1.6</w:t>
      </w:r>
      <w:r>
        <w:rPr>
          <w:rFonts w:hint="eastAsia" w:ascii="宋体" w:hAnsi="宋体" w:eastAsia="宋体" w:cs="宋体"/>
          <w:kern w:val="2"/>
          <w:sz w:val="24"/>
        </w:rPr>
        <w:t>项目技术、方案不满足项目需求中的要求，有重大偏离或保留的</w:t>
      </w:r>
      <w:r>
        <w:rPr>
          <w:rFonts w:hint="eastAsia" w:ascii="宋体" w:hAnsi="宋体" w:eastAsia="宋体" w:cs="宋体"/>
          <w:bCs/>
          <w:sz w:val="24"/>
        </w:rPr>
        <w:t>。</w:t>
      </w:r>
    </w:p>
    <w:p w14:paraId="6A8E916D">
      <w:pPr>
        <w:snapToGrid w:val="0"/>
        <w:spacing w:line="360" w:lineRule="auto"/>
        <w:ind w:firstLine="480" w:firstLineChars="200"/>
        <w:rPr>
          <w:rFonts w:hint="eastAsia" w:ascii="宋体" w:hAnsi="宋体" w:eastAsia="宋体" w:cs="宋体"/>
          <w:kern w:val="2"/>
          <w:sz w:val="24"/>
        </w:rPr>
      </w:pPr>
      <w:r>
        <w:rPr>
          <w:rFonts w:hint="eastAsia" w:ascii="宋体" w:hAnsi="宋体" w:eastAsia="宋体" w:cs="宋体"/>
          <w:bCs/>
          <w:sz w:val="24"/>
        </w:rPr>
        <w:t>6.1.7同一供应商提交两个（含两个）以上不同的响应报价的。</w:t>
      </w:r>
    </w:p>
    <w:p w14:paraId="7A6DF503">
      <w:pPr>
        <w:snapToGrid w:val="0"/>
        <w:spacing w:line="360" w:lineRule="auto"/>
        <w:ind w:firstLine="480" w:firstLineChars="200"/>
        <w:rPr>
          <w:rFonts w:hint="eastAsia" w:ascii="宋体" w:hAnsi="宋体" w:eastAsia="宋体" w:cs="宋体"/>
          <w:kern w:val="2"/>
          <w:sz w:val="24"/>
        </w:rPr>
      </w:pPr>
      <w:r>
        <w:rPr>
          <w:rFonts w:hint="eastAsia" w:ascii="宋体" w:hAnsi="宋体" w:eastAsia="宋体" w:cs="宋体"/>
          <w:bCs/>
          <w:sz w:val="24"/>
        </w:rPr>
        <w:t>6.1.8</w:t>
      </w:r>
      <w:r>
        <w:rPr>
          <w:rFonts w:hint="eastAsia" w:ascii="宋体" w:hAnsi="宋体" w:eastAsia="宋体" w:cs="宋体"/>
          <w:kern w:val="2"/>
          <w:sz w:val="24"/>
        </w:rPr>
        <w:t>磋商响应报价超出项目最高限价的</w:t>
      </w:r>
      <w:r>
        <w:rPr>
          <w:rFonts w:hint="eastAsia" w:ascii="宋体" w:hAnsi="宋体" w:eastAsia="宋体" w:cs="宋体"/>
          <w:bCs/>
          <w:sz w:val="24"/>
        </w:rPr>
        <w:t>。</w:t>
      </w:r>
    </w:p>
    <w:p w14:paraId="675D5BF0">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6.1.9供应商是的商务技术部分得分相差异常悬殊，磋商小组一致认为得分畸低者有可能影响产品质量或者不能诚信履约的。</w:t>
      </w:r>
    </w:p>
    <w:p w14:paraId="039CFD1A">
      <w:pPr>
        <w:snapToGrid w:val="0"/>
        <w:spacing w:line="360" w:lineRule="auto"/>
        <w:ind w:firstLine="480" w:firstLineChars="200"/>
        <w:rPr>
          <w:rFonts w:hint="eastAsia" w:ascii="宋体" w:hAnsi="宋体" w:eastAsia="宋体" w:cs="宋体"/>
          <w:kern w:val="2"/>
          <w:sz w:val="24"/>
        </w:rPr>
      </w:pPr>
      <w:r>
        <w:rPr>
          <w:rFonts w:hint="eastAsia" w:ascii="宋体" w:hAnsi="宋体" w:eastAsia="宋体" w:cs="宋体"/>
          <w:bCs/>
          <w:sz w:val="24"/>
        </w:rPr>
        <w:t>6.1.10磋商小组认为供应商的报价明显低于其他通过符合性审查供应商的报价，有可能影响产品质量或者不能诚信履约的，将要求其在合理的时间内提供书面说明，必要时提交相关证明材料，供应商不能证明其报价合理性的。</w:t>
      </w:r>
    </w:p>
    <w:p w14:paraId="38A68C0A">
      <w:pPr>
        <w:snapToGrid w:val="0"/>
        <w:spacing w:line="360" w:lineRule="auto"/>
        <w:ind w:firstLine="480" w:firstLineChars="200"/>
        <w:rPr>
          <w:rFonts w:hint="eastAsia" w:ascii="宋体" w:hAnsi="宋体" w:eastAsia="宋体" w:cs="宋体"/>
          <w:kern w:val="2"/>
          <w:sz w:val="24"/>
        </w:rPr>
      </w:pPr>
      <w:r>
        <w:rPr>
          <w:rFonts w:hint="eastAsia" w:ascii="宋体" w:hAnsi="宋体" w:eastAsia="宋体" w:cs="宋体"/>
          <w:bCs/>
          <w:sz w:val="24"/>
        </w:rPr>
        <w:t>6.1.11除非在磋商中磋商小组对采购单位需求内容作了调整，或对采购内容作了实质性变更，供应商的磋商报价高于自己前一轮的。</w:t>
      </w:r>
    </w:p>
    <w:p w14:paraId="68571AF2">
      <w:pPr>
        <w:snapToGrid w:val="0"/>
        <w:spacing w:line="360" w:lineRule="auto"/>
        <w:ind w:firstLine="482" w:firstLineChars="201"/>
        <w:rPr>
          <w:rFonts w:hint="eastAsia" w:ascii="宋体" w:hAnsi="宋体" w:eastAsia="宋体" w:cs="宋体"/>
          <w:bCs/>
          <w:sz w:val="24"/>
        </w:rPr>
      </w:pPr>
      <w:r>
        <w:rPr>
          <w:rFonts w:hint="eastAsia" w:ascii="宋体" w:hAnsi="宋体" w:eastAsia="宋体" w:cs="宋体"/>
          <w:bCs/>
          <w:sz w:val="24"/>
        </w:rPr>
        <w:t>6.1.12</w:t>
      </w:r>
      <w:r>
        <w:rPr>
          <w:rFonts w:hint="eastAsia" w:ascii="宋体" w:hAnsi="宋体" w:eastAsia="宋体" w:cs="宋体"/>
          <w:kern w:val="2"/>
          <w:sz w:val="24"/>
        </w:rPr>
        <w:t>供应商被“信用中国”网站列入失信被执行人或重大税收违法案件当事人名单或政府采购严重失信行为记录名单，或查询“信用中国”网站后发现供应商存在其他不符合资格条件规定的信用记录的</w:t>
      </w:r>
      <w:r>
        <w:rPr>
          <w:rFonts w:hint="eastAsia" w:ascii="宋体" w:hAnsi="宋体" w:eastAsia="宋体" w:cs="宋体"/>
          <w:bCs/>
          <w:sz w:val="24"/>
        </w:rPr>
        <w:t>。</w:t>
      </w:r>
    </w:p>
    <w:p w14:paraId="70B1A268">
      <w:pPr>
        <w:snapToGrid w:val="0"/>
        <w:spacing w:line="360" w:lineRule="auto"/>
        <w:ind w:firstLine="482" w:firstLineChars="201"/>
        <w:rPr>
          <w:rFonts w:hint="eastAsia" w:ascii="宋体" w:hAnsi="宋体" w:eastAsia="宋体" w:cs="宋体"/>
          <w:bCs/>
          <w:sz w:val="24"/>
        </w:rPr>
      </w:pPr>
      <w:r>
        <w:rPr>
          <w:rFonts w:hint="eastAsia" w:ascii="宋体" w:hAnsi="宋体" w:eastAsia="宋体" w:cs="宋体"/>
          <w:bCs/>
          <w:sz w:val="24"/>
        </w:rPr>
        <w:t>6.1.13本项目采购产品被财政部、国家发改委、生态环境部等列入“节能产品品目清单”、“环境标志产品品目清单”强制采购范围，而供应商所投标产品不在强制采购范围内的。（所投产品如属于政府强制采购节能产品品目清单范围内，响应文件中必须提供国家确定的认证机构出具的、处于有效期之内的该节能产品认证证书原件的复印件或扫描件）。</w:t>
      </w:r>
    </w:p>
    <w:p w14:paraId="69B07095">
      <w:pPr>
        <w:snapToGrid w:val="0"/>
        <w:spacing w:line="360" w:lineRule="auto"/>
        <w:ind w:firstLine="482" w:firstLineChars="201"/>
        <w:rPr>
          <w:rFonts w:hint="eastAsia" w:ascii="宋体" w:hAnsi="宋体" w:eastAsia="宋体" w:cs="宋体"/>
          <w:kern w:val="2"/>
          <w:sz w:val="24"/>
        </w:rPr>
      </w:pPr>
      <w:r>
        <w:rPr>
          <w:rFonts w:hint="eastAsia" w:ascii="宋体" w:hAnsi="宋体" w:eastAsia="宋体" w:cs="宋体"/>
          <w:bCs/>
          <w:sz w:val="24"/>
        </w:rPr>
        <w:t>6.1.14响应文件含有采购单位不能接受的附加条件的。</w:t>
      </w:r>
    </w:p>
    <w:p w14:paraId="30DBE743">
      <w:pPr>
        <w:snapToGrid w:val="0"/>
        <w:spacing w:line="360" w:lineRule="auto"/>
        <w:ind w:firstLine="482" w:firstLineChars="201"/>
        <w:rPr>
          <w:rFonts w:hint="eastAsia" w:ascii="宋体" w:hAnsi="宋体" w:eastAsia="宋体" w:cs="宋体"/>
          <w:kern w:val="2"/>
          <w:sz w:val="24"/>
        </w:rPr>
      </w:pPr>
      <w:r>
        <w:rPr>
          <w:rFonts w:hint="eastAsia" w:ascii="宋体" w:hAnsi="宋体" w:eastAsia="宋体" w:cs="宋体"/>
          <w:bCs/>
          <w:sz w:val="24"/>
        </w:rPr>
        <w:t>6.1.15</w:t>
      </w:r>
      <w:r>
        <w:rPr>
          <w:rFonts w:hint="eastAsia" w:ascii="宋体" w:hAnsi="宋体" w:eastAsia="宋体" w:cs="宋体"/>
          <w:kern w:val="2"/>
          <w:sz w:val="24"/>
        </w:rPr>
        <w:t>磋商响应文件载明的检验标准和方法等不符合磋商文件的要求的</w:t>
      </w:r>
      <w:r>
        <w:rPr>
          <w:rFonts w:hint="eastAsia" w:ascii="宋体" w:hAnsi="宋体" w:eastAsia="宋体" w:cs="宋体"/>
          <w:bCs/>
          <w:sz w:val="24"/>
        </w:rPr>
        <w:t>。</w:t>
      </w:r>
    </w:p>
    <w:p w14:paraId="7F43B4BA">
      <w:pPr>
        <w:snapToGrid w:val="0"/>
        <w:spacing w:line="360" w:lineRule="auto"/>
        <w:ind w:firstLine="482" w:firstLineChars="201"/>
        <w:rPr>
          <w:rFonts w:hint="eastAsia" w:ascii="宋体" w:hAnsi="宋体" w:eastAsia="宋体" w:cs="宋体"/>
          <w:kern w:val="2"/>
          <w:sz w:val="24"/>
        </w:rPr>
      </w:pPr>
      <w:r>
        <w:rPr>
          <w:rFonts w:hint="eastAsia" w:ascii="宋体" w:hAnsi="宋体" w:eastAsia="宋体" w:cs="宋体"/>
          <w:bCs/>
          <w:sz w:val="24"/>
        </w:rPr>
        <w:t>6.1.16</w:t>
      </w:r>
      <w:r>
        <w:rPr>
          <w:rFonts w:hint="eastAsia" w:ascii="宋体" w:hAnsi="宋体" w:eastAsia="宋体" w:cs="宋体"/>
          <w:kern w:val="2"/>
          <w:sz w:val="24"/>
        </w:rPr>
        <w:t>不同供应商的磋商响应文件以及磋商响应文件制作过程出现了磋商小组认为不应当雷同的情况的</w:t>
      </w:r>
      <w:r>
        <w:rPr>
          <w:rFonts w:hint="eastAsia" w:ascii="宋体" w:hAnsi="宋体" w:eastAsia="宋体" w:cs="宋体"/>
          <w:bCs/>
          <w:sz w:val="24"/>
        </w:rPr>
        <w:t>。</w:t>
      </w:r>
    </w:p>
    <w:p w14:paraId="63793708">
      <w:pPr>
        <w:snapToGrid w:val="0"/>
        <w:spacing w:line="360" w:lineRule="auto"/>
        <w:ind w:firstLine="482" w:firstLineChars="201"/>
        <w:rPr>
          <w:rFonts w:hint="eastAsia" w:ascii="宋体" w:hAnsi="宋体" w:eastAsia="宋体" w:cs="宋体"/>
          <w:kern w:val="2"/>
          <w:sz w:val="24"/>
        </w:rPr>
      </w:pPr>
      <w:r>
        <w:rPr>
          <w:rFonts w:hint="eastAsia" w:ascii="宋体" w:hAnsi="宋体" w:eastAsia="宋体" w:cs="宋体"/>
          <w:bCs/>
          <w:sz w:val="24"/>
        </w:rPr>
        <w:t>6.1.17</w:t>
      </w:r>
      <w:r>
        <w:rPr>
          <w:rFonts w:hint="eastAsia" w:ascii="宋体" w:hAnsi="宋体" w:eastAsia="宋体" w:cs="宋体"/>
          <w:kern w:val="2"/>
          <w:sz w:val="24"/>
        </w:rPr>
        <w:t>以他人的名义投标、串通投标、以行贿手段谋取成交或者以其他弄虚作假方式磋商响应的</w:t>
      </w:r>
      <w:r>
        <w:rPr>
          <w:rFonts w:hint="eastAsia" w:ascii="宋体" w:hAnsi="宋体" w:eastAsia="宋体" w:cs="宋体"/>
          <w:bCs/>
          <w:sz w:val="24"/>
        </w:rPr>
        <w:t>。</w:t>
      </w:r>
    </w:p>
    <w:p w14:paraId="3C412AAA">
      <w:pPr>
        <w:snapToGrid w:val="0"/>
        <w:spacing w:line="360" w:lineRule="auto"/>
        <w:ind w:firstLine="480" w:firstLineChars="200"/>
        <w:rPr>
          <w:rFonts w:hint="eastAsia" w:ascii="宋体" w:hAnsi="宋体" w:eastAsia="宋体" w:cs="宋体"/>
          <w:sz w:val="24"/>
        </w:rPr>
      </w:pPr>
      <w:r>
        <w:rPr>
          <w:rFonts w:hint="eastAsia" w:ascii="宋体" w:hAnsi="宋体" w:eastAsia="宋体" w:cs="宋体"/>
          <w:bCs/>
          <w:sz w:val="24"/>
        </w:rPr>
        <w:t>6.1.18</w:t>
      </w:r>
      <w:r>
        <w:rPr>
          <w:rFonts w:hint="eastAsia" w:ascii="宋体" w:hAnsi="宋体" w:eastAsia="宋体" w:cs="宋体"/>
          <w:kern w:val="2"/>
          <w:sz w:val="24"/>
        </w:rPr>
        <w:t>磋商响应文件关键内容模糊、无法辨认</w:t>
      </w:r>
      <w:r>
        <w:rPr>
          <w:rFonts w:hint="eastAsia" w:ascii="宋体" w:hAnsi="宋体" w:eastAsia="宋体" w:cs="宋体"/>
          <w:bCs/>
          <w:sz w:val="24"/>
        </w:rPr>
        <w:t>。</w:t>
      </w:r>
    </w:p>
    <w:p w14:paraId="2B0E7FCB">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6.1.19</w:t>
      </w:r>
      <w:r>
        <w:rPr>
          <w:rFonts w:hint="eastAsia" w:ascii="宋体" w:hAnsi="宋体" w:eastAsia="宋体" w:cs="宋体"/>
          <w:kern w:val="2"/>
          <w:sz w:val="24"/>
        </w:rPr>
        <w:t>不符合法律、法规和磋商文件中规定的其他实质性响应要求的</w:t>
      </w:r>
      <w:r>
        <w:rPr>
          <w:rFonts w:hint="eastAsia" w:ascii="宋体" w:hAnsi="宋体" w:eastAsia="宋体" w:cs="宋体"/>
          <w:bCs/>
          <w:sz w:val="24"/>
        </w:rPr>
        <w:t>。</w:t>
      </w:r>
    </w:p>
    <w:p w14:paraId="664965E3">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6.2出现下列情形之一的，磋商失败。</w:t>
      </w:r>
    </w:p>
    <w:p w14:paraId="28D698D2">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6.2.1符合条件的供应商或者对磋商文件作实质响应的供应商不足3家的（市场竞争不充分的科研项目，以及需要扶持的科技成果转化项目可以是2家）；</w:t>
      </w:r>
    </w:p>
    <w:p w14:paraId="4BB18495">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6.2.2出现影响采购公正的违法违规行为的；</w:t>
      </w:r>
    </w:p>
    <w:p w14:paraId="74382F3A">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6.2.3因重大变故，采购任务取消的。</w:t>
      </w:r>
    </w:p>
    <w:p w14:paraId="2A78C1E0">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6.2.4磋商小组认定磋商文件存在歧义、重大缺陷导致评审工作无法进行。</w:t>
      </w:r>
    </w:p>
    <w:p w14:paraId="75B28750">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6.2.5供应商的报价均超出了最高限价，采购单位不能支付的；</w:t>
      </w:r>
    </w:p>
    <w:p w14:paraId="5CFDF934">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6.2.6因情况变化，不再符合规定的竞争性磋商采购方式所适用情形的；</w:t>
      </w:r>
    </w:p>
    <w:p w14:paraId="164E2486">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6.2.7磋商小组依据法律法规可以认定为废标的其他情况。</w:t>
      </w:r>
    </w:p>
    <w:p w14:paraId="4EDBD9FB">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6.3 响应</w:t>
      </w:r>
      <w:r>
        <w:rPr>
          <w:rFonts w:hint="eastAsia" w:ascii="宋体" w:hAnsi="宋体" w:eastAsia="宋体" w:cs="宋体"/>
          <w:sz w:val="24"/>
        </w:rPr>
        <w:t>文件提交</w:t>
      </w:r>
      <w:r>
        <w:rPr>
          <w:rFonts w:hint="eastAsia" w:ascii="宋体" w:hAnsi="宋体" w:eastAsia="宋体" w:cs="宋体"/>
          <w:bCs/>
          <w:sz w:val="24"/>
        </w:rPr>
        <w:t>截止时间结束后参加磋商的供应商不足三家的处理：</w:t>
      </w:r>
    </w:p>
    <w:p w14:paraId="63465FF4">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6.3.1如出现响应</w:t>
      </w:r>
      <w:r>
        <w:rPr>
          <w:rFonts w:hint="eastAsia" w:ascii="宋体" w:hAnsi="宋体" w:eastAsia="宋体" w:cs="宋体"/>
          <w:sz w:val="24"/>
        </w:rPr>
        <w:t>文件提交</w:t>
      </w:r>
      <w:r>
        <w:rPr>
          <w:rFonts w:hint="eastAsia" w:ascii="宋体" w:hAnsi="宋体" w:eastAsia="宋体" w:cs="宋体"/>
          <w:bCs/>
          <w:sz w:val="24"/>
        </w:rPr>
        <w:t>截止时间结束后参加磋商的供应商或者在评审期间对磋商文件做出实质响应的供应商不足三家情况，按政府采购相关规定执行。</w:t>
      </w:r>
    </w:p>
    <w:bookmarkEnd w:id="71"/>
    <w:bookmarkEnd w:id="72"/>
    <w:bookmarkEnd w:id="73"/>
    <w:p w14:paraId="1DDBF174">
      <w:pPr>
        <w:adjustRightInd w:val="0"/>
        <w:snapToGrid w:val="0"/>
        <w:spacing w:line="360" w:lineRule="auto"/>
        <w:ind w:firstLine="482" w:firstLineChars="200"/>
        <w:outlineLvl w:val="2"/>
        <w:rPr>
          <w:rFonts w:hint="eastAsia" w:ascii="宋体" w:hAnsi="宋体" w:eastAsia="宋体" w:cs="宋体"/>
          <w:b/>
          <w:bCs/>
          <w:sz w:val="24"/>
        </w:rPr>
      </w:pPr>
      <w:r>
        <w:rPr>
          <w:rFonts w:hint="eastAsia" w:ascii="宋体" w:hAnsi="宋体" w:eastAsia="宋体" w:cs="宋体"/>
          <w:b/>
          <w:bCs/>
          <w:sz w:val="24"/>
        </w:rPr>
        <w:t>六、成交</w:t>
      </w:r>
    </w:p>
    <w:p w14:paraId="19CAB281">
      <w:pPr>
        <w:adjustRightInd w:val="0"/>
        <w:snapToGrid w:val="0"/>
        <w:spacing w:line="360" w:lineRule="auto"/>
        <w:ind w:firstLine="480" w:firstLineChars="200"/>
        <w:outlineLvl w:val="3"/>
        <w:rPr>
          <w:rFonts w:hint="eastAsia" w:ascii="宋体" w:hAnsi="宋体" w:eastAsia="宋体" w:cs="宋体"/>
          <w:b/>
          <w:sz w:val="24"/>
        </w:rPr>
      </w:pPr>
      <w:bookmarkStart w:id="83" w:name="_Toc16938554"/>
      <w:bookmarkStart w:id="84" w:name="_Toc20823310"/>
      <w:r>
        <w:rPr>
          <w:rFonts w:hint="eastAsia" w:ascii="宋体" w:hAnsi="宋体" w:eastAsia="宋体" w:cs="宋体"/>
          <w:sz w:val="24"/>
        </w:rPr>
        <w:t>1、确定</w:t>
      </w:r>
      <w:bookmarkEnd w:id="83"/>
      <w:bookmarkEnd w:id="84"/>
      <w:r>
        <w:rPr>
          <w:rFonts w:hint="eastAsia" w:ascii="宋体" w:hAnsi="宋体" w:eastAsia="宋体" w:cs="宋体"/>
          <w:sz w:val="24"/>
        </w:rPr>
        <w:t>成交单位</w:t>
      </w:r>
    </w:p>
    <w:p w14:paraId="102EBDA8">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 xml:space="preserve">1.1成交候选供应商的选取原则和数量见磋商文件第四部分规定。 </w:t>
      </w:r>
    </w:p>
    <w:p w14:paraId="6C2E91BF">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1.2 采购单位根据磋商小组推荐的成交候选应商确定成交供应商。</w:t>
      </w:r>
    </w:p>
    <w:p w14:paraId="519A43AC">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bCs/>
          <w:sz w:val="24"/>
        </w:rPr>
        <w:t xml:space="preserve">1.3 </w:t>
      </w:r>
      <w:r>
        <w:rPr>
          <w:rFonts w:hint="eastAsia" w:ascii="宋体" w:hAnsi="宋体" w:eastAsia="宋体" w:cs="宋体"/>
          <w:sz w:val="24"/>
        </w:rPr>
        <w:t>采购单位将在南通市交通运输局官网发布成交结果公告，公告期限为1个工作日。</w:t>
      </w:r>
    </w:p>
    <w:p w14:paraId="2622FDEB">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1.4若有充分证据证明，成交供应商出现下列情况之一的，一经查实，将被取消成交资格：</w:t>
      </w:r>
    </w:p>
    <w:p w14:paraId="2773F172">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1.4.1提供虚假材料谋取成交的。</w:t>
      </w:r>
    </w:p>
    <w:p w14:paraId="26026A6C">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1.4.2向采购单位、采购代理机构行贿或者评审专家提供其他不正当利益的。</w:t>
      </w:r>
    </w:p>
    <w:p w14:paraId="45B97A11">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1.4.3恶意竞争，最终总报价明显低于其自身合理成本且又无法提供证明的。</w:t>
      </w:r>
    </w:p>
    <w:p w14:paraId="778CA6EE">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1.4.4属于本文件规定的无效条件，但在评审过程中又未被磋商小组发现的。</w:t>
      </w:r>
    </w:p>
    <w:p w14:paraId="69ECE09C">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1.4.5与采购单位或者其他供应商恶意串通的。</w:t>
      </w:r>
    </w:p>
    <w:p w14:paraId="3F71AD18">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1.4.6采取不正当手段诋毁、排挤其他供应商的。</w:t>
      </w:r>
    </w:p>
    <w:p w14:paraId="070A4531">
      <w:pPr>
        <w:adjustRightInd w:val="0"/>
        <w:snapToGrid w:val="0"/>
        <w:spacing w:line="360" w:lineRule="auto"/>
        <w:ind w:firstLine="480" w:firstLineChars="200"/>
        <w:rPr>
          <w:rFonts w:hint="eastAsia" w:ascii="宋体" w:hAnsi="宋体" w:eastAsia="宋体" w:cs="宋体"/>
          <w:sz w:val="24"/>
        </w:rPr>
      </w:pPr>
      <w:bookmarkStart w:id="85" w:name="_Toc200451960"/>
      <w:r>
        <w:rPr>
          <w:rFonts w:hint="eastAsia" w:ascii="宋体" w:hAnsi="宋体" w:eastAsia="宋体" w:cs="宋体"/>
          <w:sz w:val="24"/>
        </w:rPr>
        <w:t>1.5.有下列情形之一的，视为供应商串通参与磋商，响应无效：</w:t>
      </w:r>
    </w:p>
    <w:p w14:paraId="300D299D">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1.5.1不同供应商的响应文件由同一单位或者个人编制；</w:t>
      </w:r>
    </w:p>
    <w:p w14:paraId="04024A73">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1.5.2不同供应商委托同一单位或者个人办理磋商事宜；</w:t>
      </w:r>
    </w:p>
    <w:p w14:paraId="66EECC28">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1.5.3不同供应商的响应文件载明的项目管理成员或者联系人员为同一人；</w:t>
      </w:r>
    </w:p>
    <w:p w14:paraId="721B0514">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1.5.4不同供应商的响应文件异常一致或者响应报价呈规律性差异。</w:t>
      </w:r>
    </w:p>
    <w:p w14:paraId="119EB559">
      <w:pPr>
        <w:adjustRightInd w:val="0"/>
        <w:snapToGrid w:val="0"/>
        <w:spacing w:line="360" w:lineRule="auto"/>
        <w:ind w:firstLine="480" w:firstLineChars="200"/>
        <w:outlineLvl w:val="3"/>
        <w:rPr>
          <w:rFonts w:hint="eastAsia" w:ascii="宋体" w:hAnsi="宋体" w:eastAsia="宋体" w:cs="宋体"/>
          <w:b/>
          <w:sz w:val="24"/>
        </w:rPr>
      </w:pPr>
      <w:r>
        <w:rPr>
          <w:rFonts w:hint="eastAsia" w:ascii="宋体" w:hAnsi="宋体" w:eastAsia="宋体" w:cs="宋体"/>
          <w:sz w:val="24"/>
        </w:rPr>
        <w:t>2、质疑处理</w:t>
      </w:r>
      <w:bookmarkEnd w:id="85"/>
    </w:p>
    <w:p w14:paraId="109FCC29">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2.1 提出质疑的供应商应当是参与所质疑项目采购活动的供应商。潜在供应商依法获取其可质疑的磋商文件的，可以对磋商文件提出质疑。</w:t>
      </w:r>
    </w:p>
    <w:p w14:paraId="5D67F68B">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2.2供应商认为磋商文件、采购过程和采购结果使自己的权益受到损害的，可以在知道或应知其权益受到损害之日起七个工作日内，以书面形式向采购代理机构或采购单位提出质疑。上述应知其权益受到损害之日，是指：</w:t>
      </w:r>
    </w:p>
    <w:p w14:paraId="786A0E6E">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2.2.1对可以质疑的磋商文件提出质疑的，为收到磋商文件之日或者采购邀请期限届满之日；</w:t>
      </w:r>
      <w:r>
        <w:rPr>
          <w:rFonts w:hint="eastAsia" w:ascii="宋体" w:hAnsi="宋体" w:eastAsia="宋体" w:cs="宋体"/>
          <w:sz w:val="24"/>
        </w:rPr>
        <w:br w:type="textWrapping"/>
      </w:r>
      <w:r>
        <w:rPr>
          <w:rFonts w:hint="eastAsia" w:ascii="宋体" w:hAnsi="宋体" w:eastAsia="宋体" w:cs="宋体"/>
          <w:sz w:val="24"/>
        </w:rPr>
        <w:t>　　2.2.2对采购过程提出质疑的，为各采购程序环节结束之日；</w:t>
      </w:r>
      <w:r>
        <w:rPr>
          <w:rFonts w:hint="eastAsia" w:ascii="宋体" w:hAnsi="宋体" w:eastAsia="宋体" w:cs="宋体"/>
          <w:sz w:val="24"/>
        </w:rPr>
        <w:br w:type="textWrapping"/>
      </w:r>
      <w:r>
        <w:rPr>
          <w:rFonts w:hint="eastAsia" w:ascii="宋体" w:hAnsi="宋体" w:eastAsia="宋体" w:cs="宋体"/>
          <w:sz w:val="24"/>
        </w:rPr>
        <w:t>　　2.2.3对成交结果提出质疑的，为成交结果公告期限届满之日。</w:t>
      </w:r>
    </w:p>
    <w:p w14:paraId="17B88D4C">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供应商应当在法定质疑期内一次性提出针对同一采购程序环节的质疑。</w:t>
      </w:r>
    </w:p>
    <w:p w14:paraId="1E114F7D">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2.3质疑函必须按照本磋商文件中《质疑函范本》要求的格式和内容进行填写。供应商如组成联合体参加磋商，则《质疑函范本》中要求签字、盖章、加盖公章之处，联合体各方均须按要求签字、盖章、加盖公章。</w:t>
      </w:r>
    </w:p>
    <w:p w14:paraId="19232EB4">
      <w:pPr>
        <w:adjustRightInd w:val="0"/>
        <w:snapToGrid w:val="0"/>
        <w:spacing w:line="360" w:lineRule="auto"/>
        <w:ind w:firstLine="480" w:firstLineChars="200"/>
        <w:rPr>
          <w:rFonts w:hint="eastAsia" w:ascii="宋体" w:hAnsi="宋体" w:eastAsia="宋体" w:cs="宋体"/>
          <w:b/>
          <w:sz w:val="24"/>
        </w:rPr>
      </w:pPr>
      <w:r>
        <w:rPr>
          <w:rFonts w:hint="eastAsia" w:ascii="宋体" w:hAnsi="宋体" w:eastAsia="宋体" w:cs="宋体"/>
          <w:sz w:val="24"/>
        </w:rPr>
        <w:t>2.4对采购方式、磋商文件中项目需求、供应商资格条件、评审方法和评审标准、资格审查结果等应当由采购单位答复的质疑，请向采购单位提出，由采购单位负责答复。供应商对其他事项的质疑，请向采购代理机构提出，由采购代理机构负责答复。</w:t>
      </w:r>
    </w:p>
    <w:p w14:paraId="75C35D05">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采购单位质疑接收人及联系方式，见磋商文件第一部分。</w:t>
      </w:r>
    </w:p>
    <w:p w14:paraId="62D47A68">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2.5 以下情形的质疑不予受理</w:t>
      </w:r>
    </w:p>
    <w:p w14:paraId="0C68CFB6">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2.5.1 内容不符合《政府采购质疑和投诉办法》第十二条规定的质疑。</w:t>
      </w:r>
    </w:p>
    <w:p w14:paraId="2BF52A1F">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2.5.2 超出政府采购法定期限的质疑。</w:t>
      </w:r>
    </w:p>
    <w:p w14:paraId="775DB928">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2.5.3 未参加磋商活动的供应商或在磋商活动中自身权益未受到损害的供应商所提出的质疑。</w:t>
      </w:r>
    </w:p>
    <w:p w14:paraId="619521D3">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2.5.4供应商组成联合体参加磋商，联合体中任何一方或多方未按要求签字、盖章、加盖公章的质疑。</w:t>
      </w:r>
    </w:p>
    <w:p w14:paraId="313F83E1">
      <w:pPr>
        <w:adjustRightInd w:val="0"/>
        <w:snapToGrid w:val="0"/>
        <w:spacing w:line="360" w:lineRule="auto"/>
        <w:ind w:firstLine="468" w:firstLineChars="195"/>
        <w:rPr>
          <w:rFonts w:hint="eastAsia" w:ascii="宋体" w:hAnsi="宋体" w:eastAsia="宋体" w:cs="宋体"/>
          <w:sz w:val="24"/>
        </w:rPr>
      </w:pPr>
      <w:r>
        <w:rPr>
          <w:rFonts w:hint="eastAsia" w:ascii="宋体" w:hAnsi="宋体" w:eastAsia="宋体" w:cs="宋体"/>
          <w:sz w:val="24"/>
        </w:rPr>
        <w:t>2.6 供应商提出书面质疑必须有理、有据，不得捏造事实、提供虚假材料进行恶意质疑。否则，一经查实，采购代理机构有权依据政府采购的有关规定，报请政府采购监管部门对该供应商进行相应的行政处罚和记录该供应商的失信信息。</w:t>
      </w:r>
    </w:p>
    <w:p w14:paraId="6CB31B9D">
      <w:pPr>
        <w:adjustRightInd w:val="0"/>
        <w:snapToGrid w:val="0"/>
        <w:spacing w:line="360" w:lineRule="auto"/>
        <w:ind w:firstLine="360" w:firstLineChars="150"/>
        <w:outlineLvl w:val="3"/>
        <w:rPr>
          <w:rFonts w:hint="eastAsia" w:ascii="宋体" w:hAnsi="宋体" w:eastAsia="宋体" w:cs="宋体"/>
          <w:b/>
          <w:sz w:val="24"/>
        </w:rPr>
      </w:pPr>
      <w:r>
        <w:rPr>
          <w:rFonts w:hint="eastAsia" w:ascii="宋体" w:hAnsi="宋体" w:eastAsia="宋体" w:cs="宋体"/>
          <w:sz w:val="24"/>
        </w:rPr>
        <w:t>3、成交通知书</w:t>
      </w:r>
    </w:p>
    <w:p w14:paraId="2E373DD0">
      <w:pPr>
        <w:adjustRightInd w:val="0"/>
        <w:snapToGrid w:val="0"/>
        <w:spacing w:line="360" w:lineRule="auto"/>
        <w:ind w:firstLine="360" w:firstLineChars="150"/>
        <w:rPr>
          <w:rFonts w:hint="eastAsia" w:ascii="宋体" w:hAnsi="宋体" w:eastAsia="宋体" w:cs="宋体"/>
          <w:sz w:val="24"/>
        </w:rPr>
      </w:pPr>
      <w:r>
        <w:rPr>
          <w:rFonts w:hint="eastAsia" w:ascii="宋体" w:hAnsi="宋体" w:eastAsia="宋体" w:cs="宋体"/>
          <w:sz w:val="24"/>
        </w:rPr>
        <w:t>3.l成交结果确定后，采购单位将向成交供应商发出成交通知书。</w:t>
      </w:r>
    </w:p>
    <w:p w14:paraId="184B1E12">
      <w:pPr>
        <w:adjustRightInd w:val="0"/>
        <w:snapToGrid w:val="0"/>
        <w:spacing w:line="360" w:lineRule="auto"/>
        <w:ind w:firstLine="360" w:firstLineChars="150"/>
        <w:rPr>
          <w:rFonts w:hint="eastAsia" w:ascii="宋体" w:hAnsi="宋体" w:eastAsia="宋体" w:cs="宋体"/>
          <w:sz w:val="24"/>
        </w:rPr>
      </w:pPr>
      <w:r>
        <w:rPr>
          <w:rFonts w:hint="eastAsia" w:ascii="宋体" w:hAnsi="宋体" w:eastAsia="宋体" w:cs="宋体"/>
          <w:sz w:val="24"/>
        </w:rPr>
        <w:t>3.2成交通知书将是合同的一个组成部分。对采购单位和成交供应商均具有法律效力。成交通知书发出后，采购单位改变成交结果的，或者成交供应商放弃磋商项目的，应当依法承担法律责任。</w:t>
      </w:r>
    </w:p>
    <w:p w14:paraId="14CD5349">
      <w:pPr>
        <w:adjustRightInd w:val="0"/>
        <w:snapToGrid w:val="0"/>
        <w:spacing w:line="360" w:lineRule="auto"/>
        <w:ind w:firstLine="482" w:firstLineChars="200"/>
        <w:outlineLvl w:val="2"/>
        <w:rPr>
          <w:rFonts w:hint="eastAsia" w:ascii="宋体" w:hAnsi="宋体" w:eastAsia="宋体" w:cs="宋体"/>
          <w:b/>
          <w:bCs/>
          <w:sz w:val="24"/>
        </w:rPr>
      </w:pPr>
      <w:bookmarkStart w:id="86" w:name="_Toc120614220"/>
      <w:bookmarkStart w:id="87" w:name="_Toc20823308"/>
      <w:bookmarkStart w:id="88" w:name="_Toc513029236"/>
      <w:bookmarkStart w:id="89" w:name="_Toc16938552"/>
      <w:r>
        <w:rPr>
          <w:rFonts w:hint="eastAsia" w:ascii="宋体" w:hAnsi="宋体" w:eastAsia="宋体" w:cs="宋体"/>
          <w:b/>
          <w:bCs/>
          <w:sz w:val="24"/>
        </w:rPr>
        <w:t>七、授予合同</w:t>
      </w:r>
      <w:bookmarkEnd w:id="86"/>
    </w:p>
    <w:bookmarkEnd w:id="87"/>
    <w:bookmarkEnd w:id="88"/>
    <w:bookmarkEnd w:id="89"/>
    <w:p w14:paraId="2400DA95">
      <w:pPr>
        <w:adjustRightInd w:val="0"/>
        <w:snapToGrid w:val="0"/>
        <w:spacing w:line="360" w:lineRule="auto"/>
        <w:ind w:firstLine="480" w:firstLineChars="200"/>
        <w:outlineLvl w:val="3"/>
        <w:rPr>
          <w:rFonts w:hint="eastAsia" w:ascii="宋体" w:hAnsi="宋体" w:eastAsia="宋体" w:cs="宋体"/>
          <w:b/>
          <w:sz w:val="24"/>
        </w:rPr>
      </w:pPr>
      <w:r>
        <w:rPr>
          <w:rFonts w:hint="eastAsia" w:ascii="宋体" w:hAnsi="宋体" w:eastAsia="宋体" w:cs="宋体"/>
          <w:sz w:val="24"/>
        </w:rPr>
        <w:t>1、签订合同</w:t>
      </w:r>
    </w:p>
    <w:p w14:paraId="4FCE4F68">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bCs/>
          <w:sz w:val="24"/>
        </w:rPr>
        <w:t>1</w:t>
      </w:r>
      <w:r>
        <w:rPr>
          <w:rFonts w:hint="eastAsia" w:ascii="宋体" w:hAnsi="宋体" w:eastAsia="宋体" w:cs="宋体"/>
          <w:sz w:val="24"/>
        </w:rPr>
        <w:t>.l成交供应商应当在成交通知书发出之日起三十日内，按照磋商文件确定的事项与采购单位签订采购合同。</w:t>
      </w:r>
    </w:p>
    <w:p w14:paraId="38C93B59">
      <w:pPr>
        <w:adjustRightInd w:val="0"/>
        <w:snapToGrid w:val="0"/>
        <w:spacing w:line="360" w:lineRule="auto"/>
        <w:ind w:firstLine="600" w:firstLineChars="250"/>
        <w:rPr>
          <w:rFonts w:hint="eastAsia" w:ascii="宋体" w:hAnsi="宋体" w:eastAsia="宋体" w:cs="宋体"/>
          <w:sz w:val="24"/>
        </w:rPr>
      </w:pPr>
      <w:r>
        <w:rPr>
          <w:rFonts w:hint="eastAsia" w:ascii="宋体" w:hAnsi="宋体" w:eastAsia="宋体" w:cs="宋体"/>
          <w:sz w:val="24"/>
        </w:rPr>
        <w:t>1.2磋商文件、成交供应商的响应文件及磋商过程中有关澄清、承诺文件均应作为合同附件。</w:t>
      </w:r>
    </w:p>
    <w:p w14:paraId="1AF694C2">
      <w:pPr>
        <w:adjustRightInd w:val="0"/>
        <w:snapToGrid w:val="0"/>
        <w:spacing w:line="360" w:lineRule="auto"/>
        <w:ind w:firstLine="600" w:firstLineChars="250"/>
        <w:rPr>
          <w:rFonts w:hint="eastAsia" w:ascii="宋体" w:hAnsi="宋体" w:eastAsia="宋体" w:cs="宋体"/>
          <w:sz w:val="24"/>
        </w:rPr>
      </w:pPr>
      <w:r>
        <w:rPr>
          <w:rFonts w:hint="eastAsia" w:ascii="宋体" w:hAnsi="宋体" w:eastAsia="宋体" w:cs="宋体"/>
          <w:sz w:val="24"/>
        </w:rPr>
        <w:t>1.3签订合同后，成交供应商不得将货物及其他相关服务进行转包。未经采购单位同意，成交供应商也不得采用分包的形式履行合同，否则采购单位有权终止合同，成交供应商的履约保证金（如有）将不予退还。采购合同分包履行的，成交供应商就采购项目和分包项目向采购单位负责，分包供应商就分包项目承担责任。转包或分包造成采购单位损失的，成交供应商应承担相应赔偿责任。</w:t>
      </w:r>
    </w:p>
    <w:p w14:paraId="00B59EA3">
      <w:pPr>
        <w:adjustRightInd w:val="0"/>
        <w:snapToGrid w:val="0"/>
        <w:spacing w:line="360" w:lineRule="auto"/>
        <w:ind w:firstLine="480" w:firstLineChars="200"/>
        <w:outlineLvl w:val="3"/>
        <w:rPr>
          <w:rFonts w:hint="eastAsia" w:ascii="宋体" w:hAnsi="宋体" w:eastAsia="宋体" w:cs="宋体"/>
          <w:b/>
          <w:sz w:val="24"/>
        </w:rPr>
      </w:pPr>
      <w:r>
        <w:rPr>
          <w:rFonts w:hint="eastAsia" w:ascii="宋体" w:hAnsi="宋体" w:eastAsia="宋体" w:cs="宋体"/>
          <w:sz w:val="24"/>
        </w:rPr>
        <w:t>2、货物和服务的追加、减少和添购。</w:t>
      </w:r>
    </w:p>
    <w:p w14:paraId="5293839E">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2.1政府采购合同履行中，采购单位需追加与合同标的相同的货物和服务的，在不改变合同其他条款的前提下，可以与成交供应商协商签订补充合同，但所有补充合同的采购金额不超过原合同金额10%。</w:t>
      </w:r>
    </w:p>
    <w:p w14:paraId="002D2B48">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2.2采购结束后，采购单位若由于各种客观原因，必须对采购项目所牵涉的货物和服务进行适当的减少时，在双方协商一致的前提下，可以按照采购时的价格水平做相应的调减，并据此签订补充合同。</w:t>
      </w:r>
    </w:p>
    <w:p w14:paraId="5AE254E8">
      <w:pPr>
        <w:snapToGrid w:val="0"/>
        <w:spacing w:line="360" w:lineRule="auto"/>
        <w:ind w:firstLine="480" w:firstLineChars="200"/>
        <w:rPr>
          <w:rFonts w:hint="eastAsia" w:ascii="宋体" w:hAnsi="宋体" w:eastAsia="宋体" w:cs="宋体"/>
          <w:sz w:val="24"/>
          <w:szCs w:val="24"/>
        </w:rPr>
        <w:sectPr>
          <w:headerReference r:id="rId5" w:type="default"/>
          <w:footerReference r:id="rId6" w:type="default"/>
          <w:pgSz w:w="11906" w:h="16838"/>
          <w:pgMar w:top="1020" w:right="1134" w:bottom="1020" w:left="1134" w:header="907" w:footer="737" w:gutter="0"/>
          <w:pgNumType w:fmt="numberInDash" w:start="1"/>
          <w:cols w:space="0" w:num="1"/>
          <w:docGrid w:linePitch="312" w:charSpace="0"/>
        </w:sectPr>
      </w:pPr>
    </w:p>
    <w:bookmarkEnd w:id="8"/>
    <w:bookmarkEnd w:id="9"/>
    <w:bookmarkEnd w:id="10"/>
    <w:bookmarkEnd w:id="11"/>
    <w:bookmarkEnd w:id="12"/>
    <w:bookmarkEnd w:id="13"/>
    <w:bookmarkEnd w:id="14"/>
    <w:bookmarkEnd w:id="15"/>
    <w:bookmarkEnd w:id="16"/>
    <w:bookmarkEnd w:id="17"/>
    <w:bookmarkEnd w:id="18"/>
    <w:p w14:paraId="7EAB18F4">
      <w:pPr>
        <w:spacing w:before="120" w:beforeLines="50" w:after="120" w:afterLines="50" w:line="360" w:lineRule="auto"/>
        <w:jc w:val="center"/>
        <w:rPr>
          <w:rFonts w:hint="eastAsia" w:ascii="宋体" w:hAnsi="宋体" w:eastAsia="宋体" w:cs="宋体"/>
          <w:bCs/>
          <w:sz w:val="24"/>
          <w:szCs w:val="24"/>
        </w:rPr>
      </w:pPr>
      <w:r>
        <w:rPr>
          <w:rFonts w:hint="eastAsia" w:ascii="宋体" w:hAnsi="宋体" w:eastAsia="宋体" w:cs="宋体"/>
          <w:b/>
          <w:bCs/>
          <w:w w:val="80"/>
          <w:kern w:val="2"/>
          <w:sz w:val="44"/>
          <w:szCs w:val="44"/>
        </w:rPr>
        <w:t>第三部分 项目需求</w:t>
      </w:r>
    </w:p>
    <w:p w14:paraId="04E955BC">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供应商在制作响应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068AC1FA">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供应商不能简单照搬照抄磋商文件项目需求说明中的技术、商务要求，必须作实事求是的响应。如供应商提供的货物和服务同采购人提出的项目需求说明中的技术、商务要求不同的，必须在《商务部分正负偏离表》和《技术部分正负偏离表》上明示。</w:t>
      </w:r>
    </w:p>
    <w:p w14:paraId="14403B89">
      <w:pPr>
        <w:snapToGrid w:val="0"/>
        <w:spacing w:line="360" w:lineRule="auto"/>
        <w:ind w:firstLine="479" w:firstLineChars="199"/>
        <w:rPr>
          <w:rFonts w:hint="eastAsia" w:ascii="宋体" w:hAnsi="宋体" w:eastAsia="宋体" w:cs="宋体"/>
          <w:sz w:val="24"/>
        </w:rPr>
      </w:pPr>
      <w:r>
        <w:rPr>
          <w:rFonts w:hint="eastAsia" w:ascii="宋体" w:hAnsi="宋体" w:eastAsia="宋体" w:cs="宋体"/>
          <w:b/>
          <w:bCs/>
          <w:sz w:val="24"/>
        </w:rPr>
        <w:t>其内容包含：</w:t>
      </w:r>
    </w:p>
    <w:p w14:paraId="7F38B495">
      <w:pPr>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sz w:val="24"/>
        </w:rPr>
        <w:t>一、</w:t>
      </w:r>
      <w:r>
        <w:rPr>
          <w:rFonts w:hint="eastAsia" w:ascii="宋体" w:hAnsi="宋体" w:eastAsia="宋体" w:cs="宋体"/>
          <w:b/>
          <w:bCs/>
          <w:sz w:val="24"/>
        </w:rPr>
        <w:t>需求总则</w:t>
      </w:r>
    </w:p>
    <w:p w14:paraId="3D74B2B6">
      <w:pPr>
        <w:snapToGrid w:val="0"/>
        <w:spacing w:line="360" w:lineRule="auto"/>
        <w:ind w:firstLine="482" w:firstLineChars="200"/>
        <w:jc w:val="left"/>
        <w:rPr>
          <w:rFonts w:hint="eastAsia" w:ascii="宋体" w:hAnsi="宋体" w:eastAsia="宋体" w:cs="宋体"/>
          <w:sz w:val="24"/>
          <w:shd w:val="clear" w:color="auto" w:fill="FFFFFF"/>
        </w:rPr>
      </w:pPr>
      <w:r>
        <w:rPr>
          <w:rFonts w:hint="eastAsia" w:ascii="宋体" w:hAnsi="宋体" w:eastAsia="宋体" w:cs="宋体"/>
          <w:b/>
          <w:sz w:val="24"/>
        </w:rPr>
        <w:t>1、主要技术参数：</w:t>
      </w:r>
      <w:r>
        <w:rPr>
          <w:rFonts w:hint="eastAsia" w:ascii="宋体" w:hAnsi="宋体" w:eastAsia="宋体" w:cs="宋体"/>
          <w:sz w:val="24"/>
        </w:rPr>
        <w:t>为鼓励不同品牌的充分竞争，如某主要技术参数属于个别品牌专有，则该主要技术参数不具有限制性，投标人可对该参数进行适当调整，并说明调整的理由</w:t>
      </w:r>
      <w:r>
        <w:rPr>
          <w:rFonts w:hint="eastAsia" w:ascii="宋体" w:hAnsi="宋体" w:eastAsia="宋体" w:cs="宋体"/>
          <w:sz w:val="24"/>
          <w:shd w:val="clear" w:color="auto" w:fill="FFFFFF"/>
        </w:rPr>
        <w:t>，但必须保证不出现负偏离应标，且应提供产品调整对比表；调整后产品的详细技术参数。</w:t>
      </w:r>
    </w:p>
    <w:p w14:paraId="40F8D040">
      <w:pPr>
        <w:snapToGrid w:val="0"/>
        <w:spacing w:line="360" w:lineRule="auto"/>
        <w:ind w:firstLine="482" w:firstLineChars="200"/>
        <w:jc w:val="left"/>
        <w:rPr>
          <w:rFonts w:hint="eastAsia" w:ascii="宋体" w:hAnsi="宋体" w:eastAsia="宋体" w:cs="宋体"/>
          <w:sz w:val="24"/>
        </w:rPr>
      </w:pPr>
      <w:r>
        <w:rPr>
          <w:rFonts w:hint="eastAsia" w:ascii="宋体" w:hAnsi="宋体" w:eastAsia="宋体" w:cs="宋体"/>
          <w:b/>
          <w:sz w:val="24"/>
        </w:rPr>
        <w:t>2、产品要求：</w:t>
      </w:r>
      <w:r>
        <w:rPr>
          <w:rFonts w:hint="eastAsia" w:ascii="宋体" w:hAnsi="宋体" w:eastAsia="宋体" w:cs="宋体"/>
          <w:sz w:val="24"/>
        </w:rPr>
        <w:t>产品必须是全新、未使用过的原装合格正品，完全符合询比文件规定的质量、规格和参数的要求，达到国家或行业规定的标准，实行生产许可证制度的，应提供生产许可证；属于国家强制认证的产品，必须通过认证。</w:t>
      </w:r>
    </w:p>
    <w:p w14:paraId="245A02D0">
      <w:pPr>
        <w:snapToGrid w:val="0"/>
        <w:spacing w:line="360" w:lineRule="auto"/>
        <w:ind w:firstLine="482" w:firstLineChars="200"/>
        <w:rPr>
          <w:rFonts w:hint="eastAsia" w:ascii="宋体" w:hAnsi="宋体" w:eastAsia="宋体" w:cs="宋体"/>
          <w:sz w:val="24"/>
        </w:rPr>
      </w:pPr>
      <w:r>
        <w:rPr>
          <w:rFonts w:hint="eastAsia" w:ascii="宋体" w:hAnsi="宋体" w:eastAsia="宋体" w:cs="宋体"/>
          <w:b/>
          <w:sz w:val="24"/>
        </w:rPr>
        <w:t>3、技术响应要求：</w:t>
      </w:r>
      <w:r>
        <w:rPr>
          <w:rFonts w:hint="eastAsia" w:ascii="宋体" w:hAnsi="宋体" w:eastAsia="宋体" w:cs="宋体"/>
          <w:sz w:val="24"/>
        </w:rPr>
        <w:t>技术响应文件中须对应每个项目作出响应，</w:t>
      </w:r>
      <w:r>
        <w:rPr>
          <w:rFonts w:hint="eastAsia" w:ascii="宋体" w:hAnsi="宋体" w:eastAsia="宋体" w:cs="宋体"/>
          <w:bCs/>
          <w:sz w:val="24"/>
        </w:rPr>
        <w:t>不得有缺陷或漏项，</w:t>
      </w:r>
      <w:r>
        <w:rPr>
          <w:rFonts w:hint="eastAsia" w:ascii="宋体" w:hAnsi="宋体" w:eastAsia="宋体" w:cs="宋体"/>
          <w:sz w:val="24"/>
        </w:rPr>
        <w:t>明确注明所投产品的名称、技术参数、及数量等，否则有可能被视为未实质性响应询比文件要求而作未响应处理。</w:t>
      </w:r>
    </w:p>
    <w:p w14:paraId="2C2ABE0E">
      <w:pPr>
        <w:snapToGrid w:val="0"/>
        <w:spacing w:line="360" w:lineRule="auto"/>
        <w:ind w:firstLine="482" w:firstLineChars="200"/>
        <w:rPr>
          <w:rFonts w:hint="eastAsia" w:ascii="宋体" w:hAnsi="宋体" w:eastAsia="宋体" w:cs="宋体"/>
          <w:sz w:val="24"/>
        </w:rPr>
      </w:pPr>
      <w:r>
        <w:rPr>
          <w:rFonts w:hint="eastAsia" w:ascii="宋体" w:hAnsi="宋体" w:eastAsia="宋体" w:cs="宋体"/>
          <w:b/>
          <w:sz w:val="24"/>
        </w:rPr>
        <w:t>4、知识产权：</w:t>
      </w:r>
      <w:r>
        <w:rPr>
          <w:rFonts w:hint="eastAsia" w:ascii="宋体" w:hAnsi="宋体" w:eastAsia="宋体" w:cs="宋体"/>
          <w:sz w:val="24"/>
        </w:rPr>
        <w:t>成交供应商应保证本项目采购单位及使用人在使用本项目合同标的物的任何部分均不受第三方关于侵犯其所有权，专利权、商标权等一切可能的知识产权侵权的指控。采购单位因此而受到的全部损失包括对第三方的任何赔偿、补偿、垫付的款项以及应对指控而支出的全部费用，均由成交供应商承担。</w:t>
      </w:r>
    </w:p>
    <w:p w14:paraId="1599BD8D">
      <w:pPr>
        <w:snapToGrid w:val="0"/>
        <w:spacing w:line="360" w:lineRule="auto"/>
        <w:ind w:firstLine="482" w:firstLineChars="200"/>
        <w:rPr>
          <w:rFonts w:hint="eastAsia" w:ascii="宋体" w:hAnsi="宋体" w:eastAsia="宋体" w:cs="宋体"/>
          <w:color w:val="000000"/>
          <w:sz w:val="24"/>
        </w:rPr>
        <w:sectPr>
          <w:footerReference r:id="rId7" w:type="default"/>
          <w:pgSz w:w="11907" w:h="16840"/>
          <w:pgMar w:top="1020" w:right="1134" w:bottom="1020" w:left="1134" w:header="851" w:footer="850" w:gutter="0"/>
          <w:pgNumType w:fmt="numberInDash"/>
          <w:cols w:space="0" w:num="1"/>
          <w:docGrid w:linePitch="462" w:charSpace="0"/>
        </w:sectPr>
      </w:pPr>
      <w:r>
        <w:rPr>
          <w:rFonts w:hint="eastAsia" w:ascii="宋体" w:hAnsi="宋体" w:eastAsia="宋体" w:cs="宋体"/>
          <w:b/>
          <w:sz w:val="24"/>
        </w:rPr>
        <w:t>5、优先采购：</w:t>
      </w:r>
      <w:r>
        <w:rPr>
          <w:rFonts w:hint="eastAsia" w:ascii="宋体" w:hAnsi="宋体" w:eastAsia="宋体" w:cs="宋体"/>
          <w:sz w:val="24"/>
        </w:rPr>
        <w:t>采购单位</w:t>
      </w:r>
      <w:r>
        <w:rPr>
          <w:rFonts w:hint="eastAsia" w:ascii="宋体" w:hAnsi="宋体" w:eastAsia="宋体" w:cs="宋体"/>
          <w:color w:val="000000"/>
          <w:sz w:val="24"/>
        </w:rPr>
        <w:t>优先采购节能产品和环境标志产品。节能产品是指列入财政部、国家发展和改革委员会制定的《节能产品政府采购清单》。环境标志产品是指财政部、国家环保总局制定的《环境标志产品政府采购清单》。</w:t>
      </w:r>
    </w:p>
    <w:p w14:paraId="22996DB7">
      <w:pPr>
        <w:pStyle w:val="16"/>
      </w:pPr>
    </w:p>
    <w:p w14:paraId="7312CD09">
      <w:pPr>
        <w:numPr>
          <w:ilvl w:val="0"/>
          <w:numId w:val="2"/>
        </w:numPr>
        <w:snapToGrid w:val="0"/>
        <w:spacing w:line="360" w:lineRule="auto"/>
        <w:ind w:firstLine="482" w:firstLineChars="200"/>
        <w:rPr>
          <w:rFonts w:hint="eastAsia" w:ascii="宋体" w:hAnsi="宋体" w:eastAsia="宋体" w:cs="宋体"/>
          <w:b/>
          <w:bCs/>
          <w:kern w:val="2"/>
          <w:sz w:val="24"/>
          <w:szCs w:val="24"/>
        </w:rPr>
      </w:pPr>
      <w:r>
        <w:rPr>
          <w:rFonts w:hint="eastAsia" w:ascii="宋体" w:hAnsi="宋体" w:eastAsia="宋体" w:cs="宋体"/>
          <w:b/>
          <w:bCs/>
          <w:kern w:val="2"/>
          <w:sz w:val="24"/>
          <w:szCs w:val="24"/>
        </w:rPr>
        <w:t>采购清单</w:t>
      </w:r>
    </w:p>
    <w:tbl>
      <w:tblPr>
        <w:tblStyle w:val="12"/>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61"/>
        <w:gridCol w:w="2395"/>
        <w:gridCol w:w="724"/>
        <w:gridCol w:w="992"/>
        <w:gridCol w:w="2801"/>
      </w:tblGrid>
      <w:tr w14:paraId="6E428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14:paraId="3350BE04">
            <w:pPr>
              <w:spacing w:line="360" w:lineRule="exact"/>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2161" w:type="dxa"/>
            <w:tcBorders>
              <w:top w:val="single" w:color="auto" w:sz="4" w:space="0"/>
              <w:left w:val="single" w:color="auto" w:sz="4" w:space="0"/>
              <w:bottom w:val="single" w:color="auto" w:sz="4" w:space="0"/>
              <w:right w:val="single" w:color="auto" w:sz="4" w:space="0"/>
            </w:tcBorders>
            <w:vAlign w:val="center"/>
          </w:tcPr>
          <w:p w14:paraId="3B968116">
            <w:pPr>
              <w:spacing w:line="360" w:lineRule="exact"/>
              <w:jc w:val="center"/>
              <w:rPr>
                <w:rFonts w:hint="eastAsia" w:ascii="宋体" w:hAnsi="宋体" w:eastAsia="宋体" w:cs="宋体"/>
                <w:b/>
                <w:sz w:val="24"/>
                <w:szCs w:val="24"/>
              </w:rPr>
            </w:pPr>
            <w:r>
              <w:rPr>
                <w:rFonts w:hint="eastAsia" w:ascii="宋体" w:hAnsi="宋体" w:eastAsia="宋体" w:cs="宋体"/>
                <w:b/>
                <w:sz w:val="24"/>
                <w:szCs w:val="24"/>
              </w:rPr>
              <w:t>品名</w:t>
            </w:r>
          </w:p>
        </w:tc>
        <w:tc>
          <w:tcPr>
            <w:tcW w:w="2395" w:type="dxa"/>
            <w:tcBorders>
              <w:top w:val="single" w:color="auto" w:sz="4" w:space="0"/>
              <w:left w:val="single" w:color="auto" w:sz="4" w:space="0"/>
              <w:bottom w:val="single" w:color="auto" w:sz="4" w:space="0"/>
              <w:right w:val="single" w:color="auto" w:sz="4" w:space="0"/>
            </w:tcBorders>
            <w:vAlign w:val="center"/>
          </w:tcPr>
          <w:p w14:paraId="17E2F679">
            <w:pPr>
              <w:spacing w:line="360" w:lineRule="exact"/>
              <w:jc w:val="center"/>
              <w:rPr>
                <w:rFonts w:hint="eastAsia" w:ascii="宋体" w:hAnsi="宋体" w:eastAsia="宋体" w:cs="宋体"/>
                <w:b/>
                <w:sz w:val="24"/>
                <w:szCs w:val="24"/>
              </w:rPr>
            </w:pPr>
            <w:r>
              <w:rPr>
                <w:rFonts w:hint="eastAsia" w:ascii="宋体" w:hAnsi="宋体" w:eastAsia="宋体" w:cs="宋体"/>
                <w:b/>
                <w:sz w:val="24"/>
                <w:szCs w:val="24"/>
              </w:rPr>
              <w:t>技术参数及要求</w:t>
            </w:r>
          </w:p>
        </w:tc>
        <w:tc>
          <w:tcPr>
            <w:tcW w:w="724" w:type="dxa"/>
            <w:tcBorders>
              <w:top w:val="single" w:color="auto" w:sz="4" w:space="0"/>
              <w:left w:val="single" w:color="auto" w:sz="4" w:space="0"/>
              <w:bottom w:val="single" w:color="auto" w:sz="4" w:space="0"/>
              <w:right w:val="single" w:color="auto" w:sz="4" w:space="0"/>
            </w:tcBorders>
            <w:vAlign w:val="center"/>
          </w:tcPr>
          <w:p w14:paraId="79162C63">
            <w:pPr>
              <w:spacing w:line="360" w:lineRule="exact"/>
              <w:jc w:val="center"/>
              <w:rPr>
                <w:rFonts w:hint="eastAsia" w:ascii="宋体" w:hAnsi="宋体" w:eastAsia="宋体" w:cs="宋体"/>
                <w:b/>
                <w:sz w:val="24"/>
                <w:szCs w:val="24"/>
              </w:rPr>
            </w:pPr>
            <w:r>
              <w:rPr>
                <w:rFonts w:hint="eastAsia" w:ascii="宋体" w:hAnsi="宋体" w:eastAsia="宋体" w:cs="宋体"/>
                <w:b/>
                <w:sz w:val="24"/>
                <w:szCs w:val="24"/>
              </w:rPr>
              <w:t>单位</w:t>
            </w:r>
          </w:p>
        </w:tc>
        <w:tc>
          <w:tcPr>
            <w:tcW w:w="992" w:type="dxa"/>
            <w:tcBorders>
              <w:top w:val="single" w:color="auto" w:sz="4" w:space="0"/>
              <w:left w:val="single" w:color="auto" w:sz="4" w:space="0"/>
              <w:bottom w:val="single" w:color="auto" w:sz="4" w:space="0"/>
              <w:right w:val="single" w:color="auto" w:sz="4" w:space="0"/>
            </w:tcBorders>
            <w:vAlign w:val="center"/>
          </w:tcPr>
          <w:p w14:paraId="62B1C727">
            <w:pPr>
              <w:spacing w:line="360" w:lineRule="exact"/>
              <w:jc w:val="center"/>
              <w:rPr>
                <w:rFonts w:hint="eastAsia" w:ascii="宋体" w:hAnsi="宋体" w:eastAsia="宋体" w:cs="宋体"/>
                <w:sz w:val="24"/>
                <w:szCs w:val="24"/>
              </w:rPr>
            </w:pPr>
            <w:r>
              <w:rPr>
                <w:rFonts w:hint="eastAsia" w:ascii="宋体" w:hAnsi="宋体" w:eastAsia="宋体" w:cs="宋体"/>
                <w:b/>
                <w:sz w:val="24"/>
                <w:szCs w:val="24"/>
              </w:rPr>
              <w:t>数量</w:t>
            </w:r>
          </w:p>
        </w:tc>
        <w:tc>
          <w:tcPr>
            <w:tcW w:w="2801" w:type="dxa"/>
            <w:tcBorders>
              <w:top w:val="single" w:color="auto" w:sz="4" w:space="0"/>
              <w:left w:val="single" w:color="auto" w:sz="4" w:space="0"/>
              <w:bottom w:val="single" w:color="auto" w:sz="4" w:space="0"/>
              <w:right w:val="single" w:color="auto" w:sz="4" w:space="0"/>
            </w:tcBorders>
            <w:vAlign w:val="center"/>
          </w:tcPr>
          <w:p w14:paraId="5932004D">
            <w:pPr>
              <w:spacing w:line="360" w:lineRule="exact"/>
              <w:jc w:val="center"/>
              <w:rPr>
                <w:rFonts w:hint="eastAsia" w:ascii="宋体" w:hAnsi="宋体" w:eastAsia="宋体" w:cs="宋体"/>
                <w:b/>
                <w:sz w:val="24"/>
                <w:szCs w:val="24"/>
              </w:rPr>
            </w:pPr>
            <w:r>
              <w:rPr>
                <w:rFonts w:hint="eastAsia" w:ascii="宋体" w:hAnsi="宋体" w:eastAsia="宋体" w:cs="宋体"/>
                <w:b/>
                <w:sz w:val="24"/>
                <w:szCs w:val="24"/>
              </w:rPr>
              <w:t>备注</w:t>
            </w:r>
          </w:p>
        </w:tc>
      </w:tr>
      <w:tr w14:paraId="600A1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14:paraId="0876E0A3">
            <w:pPr>
              <w:widowControl/>
              <w:jc w:val="center"/>
              <w:rPr>
                <w:rFonts w:hint="eastAsia" w:ascii="宋体" w:hAnsi="宋体" w:eastAsia="宋体" w:cs="宋体"/>
                <w:sz w:val="24"/>
                <w:szCs w:val="24"/>
              </w:rPr>
            </w:pPr>
            <w:r>
              <w:rPr>
                <w:rFonts w:hint="eastAsia" w:ascii="宋体" w:hAnsi="宋体" w:eastAsia="宋体" w:cs="宋体"/>
                <w:sz w:val="24"/>
                <w:szCs w:val="24"/>
              </w:rPr>
              <w:t>1</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14:paraId="539485A3">
            <w:pPr>
              <w:widowControl/>
              <w:jc w:val="center"/>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常服配套衬衫</w:t>
            </w:r>
          </w:p>
        </w:tc>
        <w:tc>
          <w:tcPr>
            <w:tcW w:w="2395" w:type="dxa"/>
            <w:tcBorders>
              <w:top w:val="single" w:color="auto" w:sz="4" w:space="0"/>
              <w:left w:val="single" w:color="auto" w:sz="4" w:space="0"/>
              <w:bottom w:val="single" w:color="auto" w:sz="4" w:space="0"/>
              <w:right w:val="single" w:color="auto" w:sz="4" w:space="0"/>
            </w:tcBorders>
            <w:vAlign w:val="center"/>
          </w:tcPr>
          <w:p w14:paraId="03D78F71">
            <w:pPr>
              <w:widowControl/>
              <w:jc w:val="center"/>
              <w:rPr>
                <w:rFonts w:hint="eastAsia" w:ascii="宋体" w:hAnsi="宋体" w:eastAsia="宋体" w:cs="宋体"/>
                <w:sz w:val="24"/>
                <w:szCs w:val="24"/>
              </w:rPr>
            </w:pPr>
            <w:r>
              <w:rPr>
                <w:rFonts w:hint="eastAsia" w:ascii="宋体" w:hAnsi="宋体" w:eastAsia="宋体" w:cs="宋体"/>
                <w:sz w:val="24"/>
                <w:szCs w:val="24"/>
              </w:rPr>
              <w:t>63.5%棉，19.5%聚酯纤维，17%莱赛尔</w:t>
            </w:r>
          </w:p>
        </w:tc>
        <w:tc>
          <w:tcPr>
            <w:tcW w:w="724" w:type="dxa"/>
            <w:tcBorders>
              <w:top w:val="single" w:color="auto" w:sz="4" w:space="0"/>
              <w:left w:val="single" w:color="auto" w:sz="4" w:space="0"/>
              <w:bottom w:val="single" w:color="auto" w:sz="4" w:space="0"/>
              <w:right w:val="single" w:color="auto" w:sz="4" w:space="0"/>
            </w:tcBorders>
            <w:vAlign w:val="center"/>
          </w:tcPr>
          <w:p w14:paraId="7FA691A0">
            <w:pPr>
              <w:widowControl/>
              <w:jc w:val="center"/>
              <w:rPr>
                <w:rFonts w:hint="eastAsia" w:ascii="宋体" w:hAnsi="宋体" w:eastAsia="宋体" w:cs="宋体"/>
                <w:sz w:val="24"/>
                <w:szCs w:val="24"/>
              </w:rPr>
            </w:pPr>
            <w:r>
              <w:rPr>
                <w:rFonts w:hint="eastAsia" w:ascii="宋体" w:hAnsi="宋体" w:eastAsia="宋体" w:cs="宋体"/>
                <w:sz w:val="24"/>
                <w:szCs w:val="24"/>
              </w:rPr>
              <w:t>件</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42DB471">
            <w:pPr>
              <w:widowControl/>
              <w:jc w:val="center"/>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1051</w:t>
            </w:r>
          </w:p>
        </w:tc>
        <w:tc>
          <w:tcPr>
            <w:tcW w:w="2801" w:type="dxa"/>
            <w:vMerge w:val="restart"/>
            <w:tcBorders>
              <w:top w:val="single" w:color="auto" w:sz="4" w:space="0"/>
              <w:left w:val="single" w:color="auto" w:sz="4" w:space="0"/>
              <w:right w:val="single" w:color="auto" w:sz="4" w:space="0"/>
            </w:tcBorders>
            <w:vAlign w:val="center"/>
          </w:tcPr>
          <w:p w14:paraId="58701CB4">
            <w:pPr>
              <w:widowControl/>
              <w:jc w:val="left"/>
              <w:rPr>
                <w:rFonts w:hint="eastAsia" w:ascii="宋体" w:hAnsi="宋体" w:eastAsia="宋体" w:cs="宋体"/>
                <w:sz w:val="24"/>
                <w:szCs w:val="24"/>
              </w:rPr>
            </w:pPr>
            <w:r>
              <w:rPr>
                <w:rFonts w:hint="eastAsia" w:ascii="宋体" w:hAnsi="宋体" w:eastAsia="宋体" w:cs="宋体"/>
                <w:sz w:val="24"/>
                <w:szCs w:val="24"/>
              </w:rPr>
              <w:t>各品种服装及标志具体技术要求，按照《交通运输综合行政执法制式服装和标志技术规范》及《江苏省直属交通综合行政执法制式服装和标志质量要求细则（试行）》执行，其中，原材料规格要求两者不一致处，以《江苏省直属交通综合行政执法制式服装和标志质量要求细则（试行）》为准。投标人的技术规格应不低于上述标准，还应符合相应国家标准和行业标准要求。</w:t>
            </w:r>
          </w:p>
        </w:tc>
      </w:tr>
      <w:tr w14:paraId="5B5C5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14:paraId="7DBEC781">
            <w:pPr>
              <w:widowControl/>
              <w:jc w:val="center"/>
              <w:rPr>
                <w:rFonts w:hint="eastAsia" w:ascii="宋体" w:hAnsi="宋体" w:eastAsia="宋体" w:cs="宋体"/>
                <w:sz w:val="24"/>
                <w:szCs w:val="24"/>
              </w:rPr>
            </w:pPr>
            <w:r>
              <w:rPr>
                <w:rFonts w:hint="eastAsia" w:ascii="宋体" w:hAnsi="宋体" w:eastAsia="宋体" w:cs="宋体"/>
                <w:sz w:val="24"/>
                <w:szCs w:val="24"/>
              </w:rPr>
              <w:t>2</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14:paraId="1AF89042">
            <w:pPr>
              <w:widowControl/>
              <w:jc w:val="center"/>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长袖制式衬衫（其中通州局大队136件）</w:t>
            </w:r>
          </w:p>
        </w:tc>
        <w:tc>
          <w:tcPr>
            <w:tcW w:w="2395" w:type="dxa"/>
            <w:vMerge w:val="restart"/>
            <w:tcBorders>
              <w:top w:val="single" w:color="auto" w:sz="4" w:space="0"/>
              <w:left w:val="single" w:color="auto" w:sz="4" w:space="0"/>
              <w:right w:val="single" w:color="auto" w:sz="4" w:space="0"/>
            </w:tcBorders>
            <w:vAlign w:val="center"/>
          </w:tcPr>
          <w:p w14:paraId="4CC2F923">
            <w:pPr>
              <w:widowControl/>
              <w:jc w:val="center"/>
              <w:rPr>
                <w:rFonts w:hint="eastAsia" w:ascii="宋体" w:hAnsi="宋体" w:eastAsia="宋体" w:cs="宋体"/>
                <w:sz w:val="24"/>
                <w:szCs w:val="24"/>
              </w:rPr>
            </w:pPr>
            <w:r>
              <w:rPr>
                <w:rFonts w:hint="eastAsia" w:ascii="宋体" w:hAnsi="宋体" w:eastAsia="宋体" w:cs="宋体"/>
                <w:sz w:val="24"/>
                <w:szCs w:val="24"/>
              </w:rPr>
              <w:t>40%棉，40%聚酯纤维，20%莱赛尔</w:t>
            </w:r>
          </w:p>
        </w:tc>
        <w:tc>
          <w:tcPr>
            <w:tcW w:w="724" w:type="dxa"/>
            <w:tcBorders>
              <w:top w:val="single" w:color="auto" w:sz="4" w:space="0"/>
              <w:left w:val="single" w:color="auto" w:sz="4" w:space="0"/>
              <w:bottom w:val="single" w:color="auto" w:sz="4" w:space="0"/>
              <w:right w:val="single" w:color="auto" w:sz="4" w:space="0"/>
            </w:tcBorders>
            <w:vAlign w:val="center"/>
          </w:tcPr>
          <w:p w14:paraId="6EDC804A">
            <w:pPr>
              <w:widowControl/>
              <w:jc w:val="center"/>
              <w:rPr>
                <w:rFonts w:hint="eastAsia" w:ascii="宋体" w:hAnsi="宋体" w:eastAsia="宋体" w:cs="宋体"/>
                <w:sz w:val="24"/>
                <w:szCs w:val="24"/>
              </w:rPr>
            </w:pPr>
            <w:r>
              <w:rPr>
                <w:rFonts w:hint="eastAsia" w:ascii="宋体" w:hAnsi="宋体" w:eastAsia="宋体" w:cs="宋体"/>
                <w:sz w:val="24"/>
                <w:szCs w:val="24"/>
              </w:rPr>
              <w:t>件</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C328927">
            <w:pPr>
              <w:widowControl/>
              <w:jc w:val="center"/>
              <w:rPr>
                <w:rFonts w:hint="eastAsia" w:ascii="宋体" w:hAnsi="宋体" w:eastAsia="宋体" w:cs="宋体"/>
                <w:sz w:val="24"/>
                <w:szCs w:val="24"/>
                <w:highlight w:val="magenta"/>
              </w:rPr>
            </w:pPr>
            <w:r>
              <w:rPr>
                <w:rFonts w:hint="eastAsia" w:ascii="宋体" w:hAnsi="宋体" w:eastAsia="宋体" w:cs="宋体"/>
                <w:sz w:val="24"/>
                <w:szCs w:val="24"/>
              </w:rPr>
              <w:t>523</w:t>
            </w:r>
          </w:p>
        </w:tc>
        <w:tc>
          <w:tcPr>
            <w:tcW w:w="2801" w:type="dxa"/>
            <w:vMerge w:val="continue"/>
            <w:tcBorders>
              <w:left w:val="single" w:color="auto" w:sz="4" w:space="0"/>
              <w:right w:val="single" w:color="auto" w:sz="4" w:space="0"/>
            </w:tcBorders>
            <w:vAlign w:val="center"/>
          </w:tcPr>
          <w:p w14:paraId="59C450CB">
            <w:pPr>
              <w:widowControl/>
              <w:jc w:val="center"/>
              <w:rPr>
                <w:rFonts w:hint="eastAsia" w:ascii="宋体" w:hAnsi="宋体" w:eastAsia="宋体" w:cs="宋体"/>
                <w:sz w:val="24"/>
                <w:szCs w:val="24"/>
              </w:rPr>
            </w:pPr>
          </w:p>
        </w:tc>
      </w:tr>
      <w:tr w14:paraId="3EC26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14:paraId="01298336">
            <w:pPr>
              <w:widowControl/>
              <w:jc w:val="center"/>
              <w:rPr>
                <w:rFonts w:hint="eastAsia" w:ascii="宋体" w:hAnsi="宋体" w:eastAsia="宋体" w:cs="宋体"/>
                <w:sz w:val="24"/>
                <w:szCs w:val="24"/>
              </w:rPr>
            </w:pPr>
            <w:r>
              <w:rPr>
                <w:rFonts w:hint="eastAsia" w:ascii="宋体" w:hAnsi="宋体" w:eastAsia="宋体" w:cs="宋体"/>
                <w:sz w:val="24"/>
                <w:szCs w:val="24"/>
              </w:rPr>
              <w:t>3</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14:paraId="309B573B">
            <w:pPr>
              <w:widowControl/>
              <w:jc w:val="center"/>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短袖制式衬衫（其中通州局大队204件）</w:t>
            </w:r>
          </w:p>
        </w:tc>
        <w:tc>
          <w:tcPr>
            <w:tcW w:w="2395" w:type="dxa"/>
            <w:vMerge w:val="continue"/>
            <w:tcBorders>
              <w:left w:val="single" w:color="auto" w:sz="4" w:space="0"/>
              <w:bottom w:val="single" w:color="auto" w:sz="4" w:space="0"/>
              <w:right w:val="single" w:color="auto" w:sz="4" w:space="0"/>
            </w:tcBorders>
            <w:vAlign w:val="center"/>
          </w:tcPr>
          <w:p w14:paraId="526E3725">
            <w:pPr>
              <w:widowControl/>
              <w:jc w:val="center"/>
              <w:rPr>
                <w:rFonts w:hint="eastAsia" w:ascii="宋体" w:hAnsi="宋体" w:eastAsia="宋体" w:cs="宋体"/>
                <w:sz w:val="24"/>
                <w:szCs w:val="24"/>
              </w:rPr>
            </w:pPr>
          </w:p>
        </w:tc>
        <w:tc>
          <w:tcPr>
            <w:tcW w:w="724" w:type="dxa"/>
            <w:tcBorders>
              <w:top w:val="single" w:color="auto" w:sz="4" w:space="0"/>
              <w:left w:val="single" w:color="auto" w:sz="4" w:space="0"/>
              <w:bottom w:val="single" w:color="auto" w:sz="4" w:space="0"/>
              <w:right w:val="single" w:color="auto" w:sz="4" w:space="0"/>
            </w:tcBorders>
            <w:vAlign w:val="center"/>
          </w:tcPr>
          <w:p w14:paraId="69465B12">
            <w:pPr>
              <w:widowControl/>
              <w:jc w:val="center"/>
              <w:rPr>
                <w:rFonts w:hint="eastAsia" w:ascii="宋体" w:hAnsi="宋体" w:eastAsia="宋体" w:cs="宋体"/>
                <w:sz w:val="24"/>
                <w:szCs w:val="24"/>
              </w:rPr>
            </w:pPr>
            <w:r>
              <w:rPr>
                <w:rFonts w:hint="eastAsia" w:ascii="宋体" w:hAnsi="宋体" w:eastAsia="宋体" w:cs="宋体"/>
                <w:sz w:val="24"/>
                <w:szCs w:val="24"/>
              </w:rPr>
              <w:t>件</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B20B4C7">
            <w:pPr>
              <w:widowControl/>
              <w:jc w:val="center"/>
              <w:rPr>
                <w:rFonts w:hint="eastAsia" w:ascii="宋体" w:hAnsi="宋体" w:eastAsia="宋体" w:cs="宋体"/>
                <w:sz w:val="24"/>
                <w:szCs w:val="24"/>
                <w:highlight w:val="magenta"/>
              </w:rPr>
            </w:pPr>
            <w:r>
              <w:rPr>
                <w:rFonts w:hint="eastAsia" w:ascii="宋体" w:hAnsi="宋体" w:eastAsia="宋体" w:cs="宋体"/>
                <w:sz w:val="24"/>
                <w:szCs w:val="24"/>
              </w:rPr>
              <w:t>1001</w:t>
            </w:r>
          </w:p>
        </w:tc>
        <w:tc>
          <w:tcPr>
            <w:tcW w:w="2801" w:type="dxa"/>
            <w:vMerge w:val="continue"/>
            <w:tcBorders>
              <w:left w:val="single" w:color="auto" w:sz="4" w:space="0"/>
              <w:right w:val="single" w:color="auto" w:sz="4" w:space="0"/>
            </w:tcBorders>
            <w:vAlign w:val="center"/>
          </w:tcPr>
          <w:p w14:paraId="40C41E12">
            <w:pPr>
              <w:widowControl/>
              <w:jc w:val="center"/>
              <w:rPr>
                <w:rFonts w:hint="eastAsia" w:ascii="宋体" w:hAnsi="宋体" w:eastAsia="宋体" w:cs="宋体"/>
                <w:sz w:val="24"/>
                <w:szCs w:val="24"/>
              </w:rPr>
            </w:pPr>
          </w:p>
        </w:tc>
      </w:tr>
      <w:tr w14:paraId="25896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14:paraId="4235413C">
            <w:pPr>
              <w:widowControl/>
              <w:jc w:val="center"/>
              <w:rPr>
                <w:rFonts w:hint="eastAsia" w:ascii="宋体" w:hAnsi="宋体" w:eastAsia="宋体" w:cs="宋体"/>
                <w:sz w:val="24"/>
                <w:szCs w:val="24"/>
              </w:rPr>
            </w:pPr>
            <w:r>
              <w:rPr>
                <w:rFonts w:hint="eastAsia" w:ascii="宋体" w:hAnsi="宋体" w:eastAsia="宋体" w:cs="宋体"/>
                <w:sz w:val="24"/>
                <w:szCs w:val="24"/>
              </w:rPr>
              <w:t>4</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14:paraId="101461FB">
            <w:pPr>
              <w:widowControl/>
              <w:jc w:val="center"/>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腰带（其中通州局大队68条）</w:t>
            </w:r>
          </w:p>
        </w:tc>
        <w:tc>
          <w:tcPr>
            <w:tcW w:w="2395" w:type="dxa"/>
            <w:vMerge w:val="restart"/>
            <w:tcBorders>
              <w:top w:val="single" w:color="auto" w:sz="4" w:space="0"/>
              <w:left w:val="single" w:color="auto" w:sz="4" w:space="0"/>
              <w:right w:val="single" w:color="auto" w:sz="4" w:space="0"/>
            </w:tcBorders>
            <w:vAlign w:val="center"/>
          </w:tcPr>
          <w:p w14:paraId="78FFA316">
            <w:pPr>
              <w:widowControl/>
              <w:jc w:val="center"/>
              <w:rPr>
                <w:rFonts w:hint="eastAsia" w:ascii="宋体" w:hAnsi="宋体" w:eastAsia="宋体" w:cs="宋体"/>
                <w:sz w:val="24"/>
                <w:szCs w:val="24"/>
              </w:rPr>
            </w:pPr>
          </w:p>
          <w:p w14:paraId="02207915">
            <w:pPr>
              <w:widowControl/>
              <w:jc w:val="center"/>
              <w:rPr>
                <w:rFonts w:hint="eastAsia" w:ascii="宋体" w:hAnsi="宋体" w:eastAsia="宋体" w:cs="宋体"/>
                <w:sz w:val="24"/>
                <w:szCs w:val="24"/>
              </w:rPr>
            </w:pPr>
            <w:r>
              <w:rPr>
                <w:rFonts w:hint="eastAsia" w:ascii="宋体" w:hAnsi="宋体" w:eastAsia="宋体" w:cs="宋体"/>
                <w:sz w:val="24"/>
                <w:szCs w:val="24"/>
              </w:rPr>
              <w:t>材料及颜色应符合《交通运输综合行政执法制式服装和标志技术规范》规定的各项要求。</w:t>
            </w:r>
          </w:p>
        </w:tc>
        <w:tc>
          <w:tcPr>
            <w:tcW w:w="724" w:type="dxa"/>
            <w:tcBorders>
              <w:top w:val="single" w:color="auto" w:sz="4" w:space="0"/>
              <w:left w:val="single" w:color="auto" w:sz="4" w:space="0"/>
              <w:bottom w:val="single" w:color="auto" w:sz="4" w:space="0"/>
              <w:right w:val="single" w:color="auto" w:sz="4" w:space="0"/>
            </w:tcBorders>
            <w:vAlign w:val="center"/>
          </w:tcPr>
          <w:p w14:paraId="32D1D84C">
            <w:pPr>
              <w:widowControl/>
              <w:jc w:val="center"/>
              <w:rPr>
                <w:rFonts w:hint="eastAsia" w:ascii="宋体" w:hAnsi="宋体" w:eastAsia="宋体" w:cs="宋体"/>
                <w:sz w:val="24"/>
                <w:szCs w:val="24"/>
              </w:rPr>
            </w:pPr>
            <w:r>
              <w:rPr>
                <w:rFonts w:hint="eastAsia" w:ascii="宋体" w:hAnsi="宋体" w:eastAsia="宋体" w:cs="宋体"/>
                <w:sz w:val="24"/>
                <w:szCs w:val="24"/>
              </w:rPr>
              <w:t>条</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763A1E5">
            <w:pPr>
              <w:widowControl/>
              <w:jc w:val="center"/>
              <w:rPr>
                <w:rFonts w:hint="eastAsia" w:ascii="宋体" w:hAnsi="宋体" w:eastAsia="宋体" w:cs="宋体"/>
                <w:sz w:val="24"/>
                <w:szCs w:val="24"/>
                <w:highlight w:val="magenta"/>
              </w:rPr>
            </w:pPr>
            <w:r>
              <w:rPr>
                <w:rFonts w:hint="eastAsia" w:ascii="宋体" w:hAnsi="宋体" w:eastAsia="宋体" w:cs="宋体"/>
                <w:sz w:val="24"/>
                <w:szCs w:val="24"/>
              </w:rPr>
              <w:t>516</w:t>
            </w:r>
          </w:p>
        </w:tc>
        <w:tc>
          <w:tcPr>
            <w:tcW w:w="2801" w:type="dxa"/>
            <w:vMerge w:val="continue"/>
            <w:tcBorders>
              <w:left w:val="single" w:color="auto" w:sz="4" w:space="0"/>
              <w:right w:val="single" w:color="auto" w:sz="4" w:space="0"/>
            </w:tcBorders>
            <w:vAlign w:val="center"/>
          </w:tcPr>
          <w:p w14:paraId="0446A736">
            <w:pPr>
              <w:widowControl/>
              <w:jc w:val="center"/>
              <w:rPr>
                <w:rFonts w:hint="eastAsia" w:ascii="宋体" w:hAnsi="宋体" w:eastAsia="宋体" w:cs="宋体"/>
                <w:sz w:val="24"/>
                <w:szCs w:val="24"/>
              </w:rPr>
            </w:pPr>
          </w:p>
        </w:tc>
      </w:tr>
      <w:tr w14:paraId="130B5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14:paraId="244DD65C">
            <w:pPr>
              <w:widowControl/>
              <w:jc w:val="center"/>
              <w:rPr>
                <w:rFonts w:hint="eastAsia" w:ascii="宋体" w:hAnsi="宋体" w:eastAsia="宋体" w:cs="宋体"/>
                <w:sz w:val="24"/>
                <w:szCs w:val="24"/>
              </w:rPr>
            </w:pPr>
            <w:r>
              <w:rPr>
                <w:rFonts w:hint="eastAsia" w:ascii="宋体" w:hAnsi="宋体" w:eastAsia="宋体" w:cs="宋体"/>
                <w:sz w:val="24"/>
                <w:szCs w:val="24"/>
              </w:rPr>
              <w:t>5</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14:paraId="59255186">
            <w:pPr>
              <w:widowControl/>
              <w:jc w:val="center"/>
              <w:rPr>
                <w:rFonts w:hint="eastAsia" w:ascii="宋体" w:hAnsi="宋体" w:eastAsia="宋体" w:cs="宋体"/>
                <w:sz w:val="24"/>
                <w:szCs w:val="24"/>
              </w:rPr>
            </w:pPr>
            <w:r>
              <w:rPr>
                <w:rFonts w:hint="eastAsia" w:ascii="宋体" w:hAnsi="宋体" w:eastAsia="宋体" w:cs="宋体"/>
                <w:sz w:val="24"/>
                <w:szCs w:val="24"/>
              </w:rPr>
              <w:t>软肩章</w:t>
            </w:r>
          </w:p>
        </w:tc>
        <w:tc>
          <w:tcPr>
            <w:tcW w:w="2395" w:type="dxa"/>
            <w:vMerge w:val="continue"/>
            <w:tcBorders>
              <w:left w:val="single" w:color="auto" w:sz="4" w:space="0"/>
              <w:right w:val="single" w:color="auto" w:sz="4" w:space="0"/>
            </w:tcBorders>
            <w:vAlign w:val="center"/>
          </w:tcPr>
          <w:p w14:paraId="07B5742D">
            <w:pPr>
              <w:widowControl/>
              <w:jc w:val="center"/>
              <w:rPr>
                <w:rFonts w:hint="eastAsia" w:ascii="宋体" w:hAnsi="宋体" w:eastAsia="宋体" w:cs="宋体"/>
                <w:sz w:val="24"/>
                <w:szCs w:val="24"/>
              </w:rPr>
            </w:pPr>
          </w:p>
        </w:tc>
        <w:tc>
          <w:tcPr>
            <w:tcW w:w="724" w:type="dxa"/>
            <w:tcBorders>
              <w:top w:val="single" w:color="auto" w:sz="4" w:space="0"/>
              <w:left w:val="single" w:color="auto" w:sz="4" w:space="0"/>
              <w:bottom w:val="single" w:color="auto" w:sz="4" w:space="0"/>
              <w:right w:val="single" w:color="auto" w:sz="4" w:space="0"/>
            </w:tcBorders>
            <w:vAlign w:val="center"/>
          </w:tcPr>
          <w:p w14:paraId="57368470">
            <w:pPr>
              <w:widowControl/>
              <w:jc w:val="center"/>
              <w:rPr>
                <w:rFonts w:hint="eastAsia" w:ascii="宋体" w:hAnsi="宋体" w:eastAsia="宋体" w:cs="宋体"/>
                <w:sz w:val="24"/>
                <w:szCs w:val="24"/>
              </w:rPr>
            </w:pPr>
            <w:r>
              <w:rPr>
                <w:rFonts w:hint="eastAsia" w:ascii="宋体" w:hAnsi="宋体" w:eastAsia="宋体" w:cs="宋体"/>
                <w:sz w:val="24"/>
                <w:szCs w:val="24"/>
              </w:rPr>
              <w:t>副</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183AF53">
            <w:pPr>
              <w:widowControl/>
              <w:jc w:val="center"/>
              <w:rPr>
                <w:rFonts w:hint="eastAsia" w:ascii="宋体" w:hAnsi="宋体" w:eastAsia="宋体" w:cs="宋体"/>
                <w:sz w:val="24"/>
                <w:szCs w:val="24"/>
              </w:rPr>
            </w:pPr>
            <w:r>
              <w:rPr>
                <w:rFonts w:hint="eastAsia" w:ascii="宋体" w:hAnsi="宋体" w:eastAsia="宋体" w:cs="宋体"/>
                <w:sz w:val="24"/>
                <w:szCs w:val="24"/>
              </w:rPr>
              <w:t>448</w:t>
            </w:r>
          </w:p>
        </w:tc>
        <w:tc>
          <w:tcPr>
            <w:tcW w:w="2801" w:type="dxa"/>
            <w:vMerge w:val="continue"/>
            <w:tcBorders>
              <w:left w:val="single" w:color="auto" w:sz="4" w:space="0"/>
              <w:right w:val="single" w:color="auto" w:sz="4" w:space="0"/>
            </w:tcBorders>
            <w:vAlign w:val="center"/>
          </w:tcPr>
          <w:p w14:paraId="13E9FFE9">
            <w:pPr>
              <w:widowControl/>
              <w:jc w:val="center"/>
              <w:rPr>
                <w:rFonts w:hint="eastAsia" w:ascii="宋体" w:hAnsi="宋体" w:eastAsia="宋体" w:cs="宋体"/>
                <w:sz w:val="24"/>
                <w:szCs w:val="24"/>
              </w:rPr>
            </w:pPr>
          </w:p>
        </w:tc>
      </w:tr>
      <w:tr w14:paraId="27901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14:paraId="3449575B">
            <w:pPr>
              <w:widowControl/>
              <w:jc w:val="center"/>
              <w:rPr>
                <w:rFonts w:hint="eastAsia" w:ascii="宋体" w:hAnsi="宋体" w:eastAsia="宋体" w:cs="宋体"/>
                <w:sz w:val="24"/>
                <w:szCs w:val="24"/>
              </w:rPr>
            </w:pPr>
            <w:r>
              <w:rPr>
                <w:rFonts w:hint="eastAsia" w:ascii="宋体" w:hAnsi="宋体" w:eastAsia="宋体" w:cs="宋体"/>
                <w:sz w:val="24"/>
                <w:szCs w:val="24"/>
              </w:rPr>
              <w:t>6</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14:paraId="7CA8FB0C">
            <w:pPr>
              <w:widowControl/>
              <w:jc w:val="center"/>
              <w:rPr>
                <w:rFonts w:hint="eastAsia" w:ascii="宋体" w:hAnsi="宋体" w:eastAsia="宋体" w:cs="宋体"/>
                <w:sz w:val="24"/>
                <w:szCs w:val="24"/>
              </w:rPr>
            </w:pPr>
            <w:r>
              <w:rPr>
                <w:rFonts w:hint="eastAsia" w:ascii="宋体" w:hAnsi="宋体" w:eastAsia="宋体" w:cs="宋体"/>
                <w:sz w:val="24"/>
                <w:szCs w:val="24"/>
              </w:rPr>
              <w:t>套式肩章</w:t>
            </w:r>
          </w:p>
        </w:tc>
        <w:tc>
          <w:tcPr>
            <w:tcW w:w="2395" w:type="dxa"/>
            <w:vMerge w:val="continue"/>
            <w:tcBorders>
              <w:left w:val="single" w:color="auto" w:sz="4" w:space="0"/>
              <w:right w:val="single" w:color="auto" w:sz="4" w:space="0"/>
            </w:tcBorders>
            <w:vAlign w:val="center"/>
          </w:tcPr>
          <w:p w14:paraId="79B3F604">
            <w:pPr>
              <w:widowControl/>
              <w:jc w:val="center"/>
              <w:rPr>
                <w:rFonts w:hint="eastAsia" w:ascii="宋体" w:hAnsi="宋体" w:eastAsia="宋体" w:cs="宋体"/>
                <w:sz w:val="24"/>
                <w:szCs w:val="24"/>
              </w:rPr>
            </w:pPr>
          </w:p>
        </w:tc>
        <w:tc>
          <w:tcPr>
            <w:tcW w:w="724" w:type="dxa"/>
            <w:tcBorders>
              <w:top w:val="single" w:color="auto" w:sz="4" w:space="0"/>
              <w:left w:val="single" w:color="auto" w:sz="4" w:space="0"/>
              <w:bottom w:val="single" w:color="auto" w:sz="4" w:space="0"/>
              <w:right w:val="single" w:color="auto" w:sz="4" w:space="0"/>
            </w:tcBorders>
            <w:vAlign w:val="center"/>
          </w:tcPr>
          <w:p w14:paraId="07F1DEA2">
            <w:pPr>
              <w:widowControl/>
              <w:jc w:val="center"/>
              <w:rPr>
                <w:rFonts w:hint="eastAsia" w:ascii="宋体" w:hAnsi="宋体" w:eastAsia="宋体" w:cs="宋体"/>
                <w:sz w:val="24"/>
                <w:szCs w:val="24"/>
              </w:rPr>
            </w:pPr>
            <w:r>
              <w:rPr>
                <w:rFonts w:hint="eastAsia" w:ascii="宋体" w:hAnsi="宋体" w:eastAsia="宋体" w:cs="宋体"/>
                <w:sz w:val="24"/>
                <w:szCs w:val="24"/>
              </w:rPr>
              <w:t>副</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4F6A4F9">
            <w:pPr>
              <w:widowControl/>
              <w:jc w:val="center"/>
              <w:rPr>
                <w:rFonts w:hint="eastAsia" w:ascii="宋体" w:hAnsi="宋体" w:eastAsia="宋体" w:cs="宋体"/>
                <w:sz w:val="24"/>
                <w:szCs w:val="24"/>
              </w:rPr>
            </w:pPr>
            <w:r>
              <w:rPr>
                <w:rFonts w:hint="eastAsia" w:ascii="宋体" w:hAnsi="宋体" w:eastAsia="宋体" w:cs="宋体"/>
                <w:sz w:val="24"/>
                <w:szCs w:val="24"/>
              </w:rPr>
              <w:t>448</w:t>
            </w:r>
          </w:p>
        </w:tc>
        <w:tc>
          <w:tcPr>
            <w:tcW w:w="2801" w:type="dxa"/>
            <w:vMerge w:val="continue"/>
            <w:tcBorders>
              <w:left w:val="single" w:color="auto" w:sz="4" w:space="0"/>
              <w:right w:val="single" w:color="auto" w:sz="4" w:space="0"/>
            </w:tcBorders>
            <w:vAlign w:val="center"/>
          </w:tcPr>
          <w:p w14:paraId="6523C02B">
            <w:pPr>
              <w:widowControl/>
              <w:jc w:val="center"/>
              <w:rPr>
                <w:rFonts w:hint="eastAsia" w:ascii="宋体" w:hAnsi="宋体" w:eastAsia="宋体" w:cs="宋体"/>
                <w:sz w:val="24"/>
                <w:szCs w:val="24"/>
              </w:rPr>
            </w:pPr>
          </w:p>
        </w:tc>
      </w:tr>
      <w:tr w14:paraId="6F99C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14:paraId="5DF769D0">
            <w:pPr>
              <w:widowControl/>
              <w:jc w:val="center"/>
              <w:rPr>
                <w:rFonts w:hint="eastAsia" w:ascii="宋体" w:hAnsi="宋体" w:eastAsia="宋体" w:cs="宋体"/>
                <w:sz w:val="24"/>
                <w:szCs w:val="24"/>
              </w:rPr>
            </w:pPr>
            <w:r>
              <w:rPr>
                <w:rFonts w:hint="eastAsia" w:ascii="宋体" w:hAnsi="宋体" w:eastAsia="宋体" w:cs="宋体"/>
                <w:sz w:val="24"/>
                <w:szCs w:val="24"/>
              </w:rPr>
              <w:t>7</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14:paraId="77A32827">
            <w:pPr>
              <w:widowControl/>
              <w:jc w:val="center"/>
              <w:rPr>
                <w:rFonts w:hint="eastAsia" w:ascii="宋体" w:hAnsi="宋体" w:eastAsia="宋体" w:cs="宋体"/>
                <w:sz w:val="24"/>
                <w:szCs w:val="24"/>
              </w:rPr>
            </w:pPr>
            <w:r>
              <w:rPr>
                <w:rFonts w:hint="eastAsia" w:ascii="宋体" w:hAnsi="宋体" w:eastAsia="宋体" w:cs="宋体"/>
                <w:sz w:val="24"/>
                <w:szCs w:val="24"/>
              </w:rPr>
              <w:t>软胸徽</w:t>
            </w:r>
          </w:p>
        </w:tc>
        <w:tc>
          <w:tcPr>
            <w:tcW w:w="2395" w:type="dxa"/>
            <w:vMerge w:val="continue"/>
            <w:tcBorders>
              <w:left w:val="single" w:color="auto" w:sz="4" w:space="0"/>
              <w:right w:val="single" w:color="auto" w:sz="4" w:space="0"/>
            </w:tcBorders>
            <w:vAlign w:val="center"/>
          </w:tcPr>
          <w:p w14:paraId="494846F8">
            <w:pPr>
              <w:widowControl/>
              <w:jc w:val="center"/>
              <w:rPr>
                <w:rFonts w:hint="eastAsia" w:ascii="宋体" w:hAnsi="宋体" w:eastAsia="宋体" w:cs="宋体"/>
                <w:sz w:val="24"/>
                <w:szCs w:val="24"/>
              </w:rPr>
            </w:pPr>
          </w:p>
        </w:tc>
        <w:tc>
          <w:tcPr>
            <w:tcW w:w="724" w:type="dxa"/>
            <w:tcBorders>
              <w:top w:val="single" w:color="auto" w:sz="4" w:space="0"/>
              <w:left w:val="single" w:color="auto" w:sz="4" w:space="0"/>
              <w:bottom w:val="single" w:color="auto" w:sz="4" w:space="0"/>
              <w:right w:val="single" w:color="auto" w:sz="4" w:space="0"/>
            </w:tcBorders>
            <w:vAlign w:val="center"/>
          </w:tcPr>
          <w:p w14:paraId="74D77A06">
            <w:pPr>
              <w:widowControl/>
              <w:jc w:val="center"/>
              <w:rPr>
                <w:rFonts w:hint="eastAsia" w:ascii="宋体" w:hAnsi="宋体" w:eastAsia="宋体" w:cs="宋体"/>
                <w:sz w:val="24"/>
                <w:szCs w:val="24"/>
              </w:rPr>
            </w:pPr>
            <w:r>
              <w:rPr>
                <w:rFonts w:hint="eastAsia" w:ascii="宋体" w:hAnsi="宋体" w:eastAsia="宋体" w:cs="宋体"/>
                <w:sz w:val="24"/>
                <w:szCs w:val="24"/>
              </w:rPr>
              <w:t>枚</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9712188">
            <w:pPr>
              <w:widowControl/>
              <w:jc w:val="center"/>
              <w:rPr>
                <w:rFonts w:hint="eastAsia" w:ascii="宋体" w:hAnsi="宋体" w:eastAsia="宋体" w:cs="宋体"/>
                <w:sz w:val="24"/>
                <w:szCs w:val="24"/>
              </w:rPr>
            </w:pPr>
            <w:r>
              <w:rPr>
                <w:rFonts w:hint="eastAsia" w:ascii="宋体" w:hAnsi="宋体" w:eastAsia="宋体" w:cs="宋体"/>
                <w:sz w:val="24"/>
                <w:szCs w:val="24"/>
              </w:rPr>
              <w:t>448</w:t>
            </w:r>
          </w:p>
        </w:tc>
        <w:tc>
          <w:tcPr>
            <w:tcW w:w="2801" w:type="dxa"/>
            <w:vMerge w:val="continue"/>
            <w:tcBorders>
              <w:left w:val="single" w:color="auto" w:sz="4" w:space="0"/>
              <w:right w:val="single" w:color="auto" w:sz="4" w:space="0"/>
            </w:tcBorders>
            <w:vAlign w:val="center"/>
          </w:tcPr>
          <w:p w14:paraId="542020DE">
            <w:pPr>
              <w:widowControl/>
              <w:jc w:val="center"/>
              <w:rPr>
                <w:rFonts w:hint="eastAsia" w:ascii="宋体" w:hAnsi="宋体" w:eastAsia="宋体" w:cs="宋体"/>
                <w:sz w:val="24"/>
                <w:szCs w:val="24"/>
              </w:rPr>
            </w:pPr>
          </w:p>
        </w:tc>
      </w:tr>
      <w:tr w14:paraId="55C5A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14:paraId="78D72B73">
            <w:pPr>
              <w:widowControl/>
              <w:jc w:val="center"/>
              <w:rPr>
                <w:rFonts w:hint="eastAsia" w:ascii="宋体" w:hAnsi="宋体" w:eastAsia="宋体" w:cs="宋体"/>
                <w:sz w:val="24"/>
                <w:szCs w:val="24"/>
              </w:rPr>
            </w:pPr>
            <w:r>
              <w:rPr>
                <w:rFonts w:hint="eastAsia" w:ascii="宋体" w:hAnsi="宋体" w:eastAsia="宋体" w:cs="宋体"/>
                <w:sz w:val="24"/>
                <w:szCs w:val="24"/>
              </w:rPr>
              <w:t>8</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14:paraId="71AACDA4">
            <w:pPr>
              <w:widowControl/>
              <w:jc w:val="center"/>
              <w:rPr>
                <w:rFonts w:hint="eastAsia" w:ascii="宋体" w:hAnsi="宋体" w:eastAsia="宋体" w:cs="宋体"/>
                <w:sz w:val="24"/>
                <w:szCs w:val="24"/>
              </w:rPr>
            </w:pPr>
            <w:r>
              <w:rPr>
                <w:rFonts w:hint="eastAsia" w:ascii="宋体" w:hAnsi="宋体" w:eastAsia="宋体" w:cs="宋体"/>
                <w:sz w:val="24"/>
                <w:szCs w:val="24"/>
              </w:rPr>
              <w:t>软胸号</w:t>
            </w:r>
          </w:p>
        </w:tc>
        <w:tc>
          <w:tcPr>
            <w:tcW w:w="2395" w:type="dxa"/>
            <w:vMerge w:val="continue"/>
            <w:tcBorders>
              <w:left w:val="single" w:color="auto" w:sz="4" w:space="0"/>
              <w:bottom w:val="single" w:color="auto" w:sz="4" w:space="0"/>
              <w:right w:val="single" w:color="auto" w:sz="4" w:space="0"/>
            </w:tcBorders>
            <w:vAlign w:val="center"/>
          </w:tcPr>
          <w:p w14:paraId="409FF7F3">
            <w:pPr>
              <w:widowControl/>
              <w:jc w:val="center"/>
              <w:rPr>
                <w:rFonts w:hint="eastAsia" w:ascii="宋体" w:hAnsi="宋体" w:eastAsia="宋体" w:cs="宋体"/>
                <w:sz w:val="24"/>
                <w:szCs w:val="24"/>
              </w:rPr>
            </w:pPr>
          </w:p>
        </w:tc>
        <w:tc>
          <w:tcPr>
            <w:tcW w:w="724" w:type="dxa"/>
            <w:tcBorders>
              <w:top w:val="single" w:color="auto" w:sz="4" w:space="0"/>
              <w:left w:val="single" w:color="auto" w:sz="4" w:space="0"/>
              <w:bottom w:val="single" w:color="auto" w:sz="4" w:space="0"/>
              <w:right w:val="single" w:color="auto" w:sz="4" w:space="0"/>
            </w:tcBorders>
            <w:vAlign w:val="center"/>
          </w:tcPr>
          <w:p w14:paraId="53F80A5B">
            <w:pPr>
              <w:widowControl/>
              <w:jc w:val="center"/>
              <w:rPr>
                <w:rFonts w:hint="eastAsia" w:ascii="宋体" w:hAnsi="宋体" w:eastAsia="宋体" w:cs="宋体"/>
                <w:sz w:val="24"/>
                <w:szCs w:val="24"/>
              </w:rPr>
            </w:pPr>
            <w:r>
              <w:rPr>
                <w:rFonts w:hint="eastAsia" w:ascii="宋体" w:hAnsi="宋体" w:eastAsia="宋体" w:cs="宋体"/>
                <w:sz w:val="24"/>
                <w:szCs w:val="24"/>
              </w:rPr>
              <w:t>枚</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DB2202B">
            <w:pPr>
              <w:widowControl/>
              <w:jc w:val="center"/>
              <w:rPr>
                <w:rFonts w:hint="eastAsia" w:ascii="宋体" w:hAnsi="宋体" w:eastAsia="宋体" w:cs="宋体"/>
                <w:sz w:val="24"/>
                <w:szCs w:val="24"/>
              </w:rPr>
            </w:pPr>
            <w:r>
              <w:rPr>
                <w:rFonts w:hint="eastAsia" w:ascii="宋体" w:hAnsi="宋体" w:eastAsia="宋体" w:cs="宋体"/>
                <w:sz w:val="24"/>
                <w:szCs w:val="24"/>
              </w:rPr>
              <w:t>448</w:t>
            </w:r>
          </w:p>
        </w:tc>
        <w:tc>
          <w:tcPr>
            <w:tcW w:w="2801" w:type="dxa"/>
            <w:vMerge w:val="continue"/>
            <w:tcBorders>
              <w:left w:val="single" w:color="auto" w:sz="4" w:space="0"/>
              <w:right w:val="single" w:color="auto" w:sz="4" w:space="0"/>
            </w:tcBorders>
            <w:vAlign w:val="center"/>
          </w:tcPr>
          <w:p w14:paraId="65890D07">
            <w:pPr>
              <w:widowControl/>
              <w:jc w:val="center"/>
              <w:rPr>
                <w:rFonts w:hint="eastAsia" w:ascii="宋体" w:hAnsi="宋体" w:eastAsia="宋体" w:cs="宋体"/>
                <w:sz w:val="24"/>
                <w:szCs w:val="24"/>
              </w:rPr>
            </w:pPr>
          </w:p>
        </w:tc>
      </w:tr>
    </w:tbl>
    <w:p w14:paraId="1A71B96A">
      <w:pPr>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lang w:val="zh-CN"/>
        </w:rPr>
        <w:t>注：</w:t>
      </w:r>
      <w:r>
        <w:rPr>
          <w:rFonts w:hint="eastAsia" w:ascii="宋体" w:hAnsi="宋体" w:eastAsia="宋体"/>
          <w:b/>
          <w:sz w:val="24"/>
        </w:rPr>
        <w:t>1、上述清单中所有技术参数及要求如有偏离，则按照商务技术标中“所投产品质量及技术要求”评审标准扣分</w:t>
      </w:r>
      <w:r>
        <w:rPr>
          <w:rFonts w:hint="eastAsia" w:ascii="宋体" w:hAnsi="宋体" w:eastAsia="宋体" w:cs="宋体"/>
          <w:b/>
          <w:sz w:val="24"/>
          <w:szCs w:val="24"/>
        </w:rPr>
        <w:t>。</w:t>
      </w:r>
      <w:r>
        <w:rPr>
          <w:rFonts w:hint="eastAsia" w:ascii="宋体" w:hAnsi="宋体" w:eastAsia="宋体" w:cs="宋体"/>
          <w:b/>
          <w:bCs/>
          <w:color w:val="FF0000"/>
          <w:sz w:val="24"/>
          <w:szCs w:val="24"/>
        </w:rPr>
        <w:t>未按采购文件要求提供相应证明材料或缺项的，均视为负偏离且作无效响应。</w:t>
      </w:r>
      <w:r>
        <w:rPr>
          <w:rFonts w:hint="eastAsia" w:ascii="宋体" w:hAnsi="宋体" w:eastAsia="宋体" w:cs="宋体"/>
          <w:b/>
          <w:color w:val="FF0000"/>
          <w:sz w:val="24"/>
          <w:szCs w:val="24"/>
        </w:rPr>
        <w:t>检测报告原件现场核查。</w:t>
      </w:r>
    </w:p>
    <w:p w14:paraId="17E2C9A3">
      <w:pPr>
        <w:snapToGrid w:val="0"/>
        <w:spacing w:line="360" w:lineRule="auto"/>
        <w:ind w:firstLine="482" w:firstLineChars="200"/>
        <w:rPr>
          <w:rFonts w:hint="eastAsia" w:ascii="宋体" w:hAnsi="宋体" w:eastAsia="宋体" w:cs="宋体"/>
          <w:b/>
          <w:sz w:val="24"/>
        </w:rPr>
      </w:pPr>
      <w:r>
        <w:rPr>
          <w:rFonts w:hint="eastAsia" w:ascii="宋体" w:hAnsi="宋体" w:eastAsia="宋体" w:cs="Times New Roman"/>
          <w:b/>
          <w:sz w:val="24"/>
        </w:rPr>
        <w:t>2、相关证明文件、检测报告原件的复印件或扫描件均须加盖供应商公章，成交通知书发出后3个工作日内，成交供应商须将项目需求中要求的相关证明文件、检测报告原件等证明材料的原件提供给采购单位。如成交供应商未提供或提供的资料未达到项目需求或采购单位要求的，将视作自动放弃成交资格处理，采购单位有权选择排名第二的供应商或者重新组织采购。</w:t>
      </w:r>
    </w:p>
    <w:p w14:paraId="725E398B">
      <w:pPr>
        <w:spacing w:line="360" w:lineRule="auto"/>
        <w:ind w:firstLine="482" w:firstLineChars="200"/>
        <w:jc w:val="left"/>
        <w:rPr>
          <w:rFonts w:hint="eastAsia" w:ascii="宋体" w:hAnsi="宋体" w:eastAsia="宋体" w:cs="宋体"/>
          <w:b/>
          <w:sz w:val="24"/>
          <w:szCs w:val="24"/>
        </w:rPr>
      </w:pPr>
      <w:r>
        <w:rPr>
          <w:rFonts w:hint="eastAsia" w:ascii="宋体" w:hAnsi="宋体" w:eastAsia="宋体" w:cs="宋体"/>
          <w:b/>
          <w:sz w:val="24"/>
          <w:szCs w:val="24"/>
        </w:rPr>
        <w:t>三、</w:t>
      </w:r>
      <w:r>
        <w:rPr>
          <w:rFonts w:hint="eastAsia" w:ascii="宋体" w:hAnsi="宋体" w:cs="宋体"/>
          <w:b/>
          <w:sz w:val="24"/>
          <w:szCs w:val="24"/>
        </w:rPr>
        <w:t>样品要求</w:t>
      </w:r>
    </w:p>
    <w:p w14:paraId="23D286B4">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磋商响应时</w:t>
      </w:r>
      <w:r>
        <w:rPr>
          <w:rFonts w:hint="eastAsia" w:ascii="宋体" w:hAnsi="宋体" w:cs="宋体"/>
          <w:b/>
          <w:sz w:val="24"/>
          <w:szCs w:val="24"/>
        </w:rPr>
        <w:t>须</w:t>
      </w:r>
      <w:r>
        <w:rPr>
          <w:rFonts w:hint="eastAsia" w:ascii="宋体" w:hAnsi="宋体" w:eastAsia="宋体" w:cs="宋体"/>
          <w:b/>
          <w:sz w:val="24"/>
          <w:szCs w:val="24"/>
        </w:rPr>
        <w:t>携带“样品目录清单”</w:t>
      </w:r>
    </w:p>
    <w:tbl>
      <w:tblPr>
        <w:tblStyle w:val="12"/>
        <w:tblW w:w="9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3778"/>
        <w:gridCol w:w="1556"/>
        <w:gridCol w:w="1603"/>
        <w:gridCol w:w="1603"/>
      </w:tblGrid>
      <w:tr w14:paraId="766B2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804" w:type="dxa"/>
            <w:tcBorders>
              <w:top w:val="single" w:color="auto" w:sz="4" w:space="0"/>
              <w:left w:val="single" w:color="auto" w:sz="4" w:space="0"/>
              <w:bottom w:val="single" w:color="auto" w:sz="4" w:space="0"/>
              <w:right w:val="single" w:color="auto" w:sz="4" w:space="0"/>
            </w:tcBorders>
            <w:vAlign w:val="center"/>
          </w:tcPr>
          <w:p w14:paraId="5E866EF2">
            <w:pPr>
              <w:spacing w:line="360" w:lineRule="exact"/>
              <w:jc w:val="center"/>
              <w:rPr>
                <w:rFonts w:hint="eastAsia" w:ascii="宋体" w:hAnsi="宋体" w:eastAsia="宋体" w:cs="宋体"/>
                <w:b/>
                <w:sz w:val="24"/>
                <w:szCs w:val="24"/>
              </w:rPr>
            </w:pPr>
            <w:bookmarkStart w:id="90" w:name="_Hlk199839869"/>
            <w:r>
              <w:rPr>
                <w:rFonts w:hint="eastAsia" w:ascii="宋体" w:hAnsi="宋体" w:eastAsia="宋体" w:cs="宋体"/>
                <w:b/>
                <w:sz w:val="24"/>
                <w:szCs w:val="24"/>
              </w:rPr>
              <w:t>序号</w:t>
            </w:r>
          </w:p>
        </w:tc>
        <w:tc>
          <w:tcPr>
            <w:tcW w:w="3778" w:type="dxa"/>
            <w:tcBorders>
              <w:top w:val="single" w:color="auto" w:sz="4" w:space="0"/>
              <w:left w:val="single" w:color="auto" w:sz="4" w:space="0"/>
              <w:bottom w:val="single" w:color="auto" w:sz="4" w:space="0"/>
              <w:right w:val="single" w:color="auto" w:sz="4" w:space="0"/>
            </w:tcBorders>
            <w:vAlign w:val="center"/>
          </w:tcPr>
          <w:p w14:paraId="665B25A9">
            <w:pPr>
              <w:spacing w:line="360" w:lineRule="exact"/>
              <w:jc w:val="center"/>
              <w:rPr>
                <w:rFonts w:hint="eastAsia" w:ascii="宋体" w:hAnsi="宋体" w:eastAsia="宋体" w:cs="宋体"/>
                <w:b/>
                <w:sz w:val="24"/>
                <w:szCs w:val="24"/>
              </w:rPr>
            </w:pPr>
            <w:r>
              <w:rPr>
                <w:rFonts w:hint="eastAsia" w:ascii="宋体" w:hAnsi="宋体" w:eastAsia="宋体" w:cs="宋体"/>
                <w:b/>
                <w:sz w:val="24"/>
                <w:szCs w:val="24"/>
              </w:rPr>
              <w:t>品名</w:t>
            </w:r>
          </w:p>
        </w:tc>
        <w:tc>
          <w:tcPr>
            <w:tcW w:w="1556" w:type="dxa"/>
            <w:tcBorders>
              <w:top w:val="single" w:color="auto" w:sz="4" w:space="0"/>
              <w:left w:val="single" w:color="auto" w:sz="4" w:space="0"/>
              <w:bottom w:val="single" w:color="auto" w:sz="4" w:space="0"/>
              <w:right w:val="single" w:color="auto" w:sz="4" w:space="0"/>
            </w:tcBorders>
            <w:vAlign w:val="center"/>
          </w:tcPr>
          <w:p w14:paraId="51C0A5E0">
            <w:pPr>
              <w:spacing w:line="360" w:lineRule="exact"/>
              <w:jc w:val="center"/>
              <w:rPr>
                <w:rFonts w:hint="eastAsia" w:ascii="宋体" w:hAnsi="宋体" w:eastAsia="宋体" w:cs="宋体"/>
                <w:b/>
                <w:sz w:val="24"/>
                <w:szCs w:val="24"/>
              </w:rPr>
            </w:pPr>
            <w:r>
              <w:rPr>
                <w:rFonts w:hint="eastAsia" w:ascii="宋体" w:hAnsi="宋体" w:eastAsia="宋体" w:cs="宋体"/>
                <w:b/>
                <w:sz w:val="24"/>
                <w:szCs w:val="24"/>
              </w:rPr>
              <w:t>单位</w:t>
            </w:r>
          </w:p>
        </w:tc>
        <w:tc>
          <w:tcPr>
            <w:tcW w:w="1603" w:type="dxa"/>
            <w:tcBorders>
              <w:top w:val="single" w:color="auto" w:sz="4" w:space="0"/>
              <w:left w:val="single" w:color="auto" w:sz="4" w:space="0"/>
              <w:bottom w:val="single" w:color="auto" w:sz="4" w:space="0"/>
              <w:right w:val="single" w:color="auto" w:sz="4" w:space="0"/>
            </w:tcBorders>
            <w:vAlign w:val="center"/>
          </w:tcPr>
          <w:p w14:paraId="66A86847">
            <w:pPr>
              <w:spacing w:line="360" w:lineRule="exact"/>
              <w:jc w:val="center"/>
            </w:pPr>
            <w:r>
              <w:rPr>
                <w:rFonts w:hint="eastAsia" w:ascii="宋体" w:hAnsi="宋体" w:eastAsia="宋体" w:cs="宋体"/>
                <w:b/>
                <w:sz w:val="24"/>
                <w:szCs w:val="24"/>
              </w:rPr>
              <w:t>数量</w:t>
            </w:r>
          </w:p>
        </w:tc>
        <w:tc>
          <w:tcPr>
            <w:tcW w:w="1603" w:type="dxa"/>
            <w:tcBorders>
              <w:top w:val="single" w:color="auto" w:sz="4" w:space="0"/>
              <w:left w:val="single" w:color="auto" w:sz="4" w:space="0"/>
              <w:bottom w:val="single" w:color="auto" w:sz="4" w:space="0"/>
              <w:right w:val="single" w:color="auto" w:sz="4" w:space="0"/>
            </w:tcBorders>
            <w:vAlign w:val="center"/>
          </w:tcPr>
          <w:p w14:paraId="65B546D4">
            <w:pPr>
              <w:spacing w:line="360" w:lineRule="exact"/>
              <w:jc w:val="center"/>
              <w:rPr>
                <w:rFonts w:hint="eastAsia" w:ascii="宋体" w:hAnsi="宋体" w:eastAsia="宋体" w:cs="宋体"/>
                <w:b/>
                <w:sz w:val="24"/>
                <w:szCs w:val="24"/>
              </w:rPr>
            </w:pPr>
            <w:r>
              <w:rPr>
                <w:rFonts w:hint="eastAsia" w:ascii="宋体" w:hAnsi="宋体" w:eastAsia="宋体" w:cs="宋体"/>
                <w:b/>
                <w:sz w:val="24"/>
                <w:szCs w:val="24"/>
              </w:rPr>
              <w:t>备注</w:t>
            </w:r>
          </w:p>
        </w:tc>
      </w:tr>
      <w:tr w14:paraId="1CE78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4" w:type="dxa"/>
            <w:tcBorders>
              <w:top w:val="single" w:color="auto" w:sz="4" w:space="0"/>
              <w:left w:val="single" w:color="auto" w:sz="4" w:space="0"/>
              <w:bottom w:val="single" w:color="auto" w:sz="4" w:space="0"/>
              <w:right w:val="single" w:color="auto" w:sz="4" w:space="0"/>
            </w:tcBorders>
            <w:vAlign w:val="center"/>
          </w:tcPr>
          <w:p w14:paraId="07D57153">
            <w:pPr>
              <w:widowControl/>
              <w:jc w:val="center"/>
              <w:rPr>
                <w:rFonts w:hint="eastAsia" w:ascii="新宋体" w:hAnsi="新宋体" w:eastAsia="新宋体" w:cs="新宋体"/>
                <w:sz w:val="24"/>
                <w:szCs w:val="21"/>
              </w:rPr>
            </w:pPr>
            <w:r>
              <w:rPr>
                <w:rFonts w:hint="eastAsia" w:ascii="新宋体" w:hAnsi="新宋体" w:eastAsia="新宋体" w:cs="新宋体"/>
                <w:szCs w:val="21"/>
              </w:rPr>
              <w:t>1</w:t>
            </w:r>
          </w:p>
        </w:tc>
        <w:tc>
          <w:tcPr>
            <w:tcW w:w="3778" w:type="dxa"/>
            <w:tcBorders>
              <w:top w:val="single" w:color="auto" w:sz="4" w:space="0"/>
              <w:left w:val="single" w:color="auto" w:sz="4" w:space="0"/>
              <w:bottom w:val="single" w:color="auto" w:sz="4" w:space="0"/>
              <w:right w:val="single" w:color="auto" w:sz="4" w:space="0"/>
            </w:tcBorders>
            <w:shd w:val="clear" w:color="auto" w:fill="auto"/>
            <w:vAlign w:val="center"/>
          </w:tcPr>
          <w:p w14:paraId="22692B16">
            <w:pPr>
              <w:widowControl/>
              <w:jc w:val="center"/>
              <w:rPr>
                <w:rFonts w:hint="eastAsia" w:ascii="宋体" w:hAnsi="宋体" w:eastAsia="宋体" w:cs="宋体"/>
                <w:sz w:val="24"/>
                <w:szCs w:val="24"/>
              </w:rPr>
            </w:pPr>
            <w:r>
              <w:rPr>
                <w:rFonts w:hint="eastAsia" w:ascii="宋体" w:hAnsi="宋体" w:eastAsia="宋体" w:cs="宋体"/>
                <w:sz w:val="24"/>
                <w:szCs w:val="24"/>
              </w:rPr>
              <w:t>常服配套衬衫</w:t>
            </w:r>
          </w:p>
        </w:tc>
        <w:tc>
          <w:tcPr>
            <w:tcW w:w="1556" w:type="dxa"/>
            <w:tcBorders>
              <w:top w:val="single" w:color="auto" w:sz="4" w:space="0"/>
              <w:left w:val="single" w:color="auto" w:sz="4" w:space="0"/>
              <w:bottom w:val="single" w:color="auto" w:sz="4" w:space="0"/>
              <w:right w:val="single" w:color="auto" w:sz="4" w:space="0"/>
            </w:tcBorders>
          </w:tcPr>
          <w:p w14:paraId="37A6ABBB">
            <w:pPr>
              <w:widowControl/>
              <w:jc w:val="center"/>
              <w:rPr>
                <w:rFonts w:hint="eastAsia" w:ascii="宋体" w:hAnsi="宋体" w:eastAsia="宋体" w:cs="宋体"/>
                <w:sz w:val="24"/>
                <w:szCs w:val="24"/>
              </w:rPr>
            </w:pPr>
            <w:r>
              <w:rPr>
                <w:rFonts w:hint="eastAsia" w:ascii="宋体" w:hAnsi="宋体" w:eastAsia="宋体" w:cs="宋体"/>
                <w:sz w:val="24"/>
                <w:szCs w:val="24"/>
              </w:rPr>
              <w:t>件</w:t>
            </w:r>
          </w:p>
        </w:tc>
        <w:tc>
          <w:tcPr>
            <w:tcW w:w="1603" w:type="dxa"/>
            <w:tcBorders>
              <w:top w:val="single" w:color="auto" w:sz="4" w:space="0"/>
              <w:left w:val="single" w:color="auto" w:sz="4" w:space="0"/>
              <w:bottom w:val="single" w:color="auto" w:sz="4" w:space="0"/>
              <w:right w:val="single" w:color="auto" w:sz="4" w:space="0"/>
            </w:tcBorders>
            <w:shd w:val="clear" w:color="auto" w:fill="auto"/>
            <w:vAlign w:val="center"/>
          </w:tcPr>
          <w:p w14:paraId="1016FC61">
            <w:pPr>
              <w:widowControl/>
              <w:jc w:val="center"/>
              <w:rPr>
                <w:rFonts w:hint="eastAsia" w:ascii="宋体" w:hAnsi="宋体" w:eastAsia="宋体" w:cs="宋体"/>
                <w:sz w:val="24"/>
                <w:szCs w:val="24"/>
              </w:rPr>
            </w:pPr>
            <w:r>
              <w:rPr>
                <w:rFonts w:hint="eastAsia" w:ascii="宋体" w:hAnsi="宋体" w:eastAsia="宋体" w:cs="宋体"/>
                <w:sz w:val="24"/>
                <w:szCs w:val="24"/>
              </w:rPr>
              <w:t>1</w:t>
            </w:r>
          </w:p>
        </w:tc>
        <w:tc>
          <w:tcPr>
            <w:tcW w:w="1603" w:type="dxa"/>
            <w:tcBorders>
              <w:top w:val="single" w:color="auto" w:sz="4" w:space="0"/>
              <w:left w:val="single" w:color="auto" w:sz="4" w:space="0"/>
              <w:bottom w:val="single" w:color="auto" w:sz="4" w:space="0"/>
              <w:right w:val="single" w:color="auto" w:sz="4" w:space="0"/>
            </w:tcBorders>
            <w:shd w:val="clear" w:color="auto" w:fill="auto"/>
            <w:vAlign w:val="center"/>
          </w:tcPr>
          <w:p w14:paraId="5CDCC7BD">
            <w:pPr>
              <w:widowControl/>
              <w:jc w:val="center"/>
              <w:rPr>
                <w:rFonts w:hint="eastAsia" w:ascii="宋体" w:hAnsi="宋体" w:eastAsia="宋体" w:cs="宋体"/>
                <w:sz w:val="24"/>
                <w:szCs w:val="24"/>
              </w:rPr>
            </w:pPr>
            <w:r>
              <w:rPr>
                <w:rFonts w:hint="eastAsia" w:ascii="宋体" w:hAnsi="宋体" w:eastAsia="宋体" w:cs="宋体"/>
                <w:sz w:val="22"/>
              </w:rPr>
              <w:t>提供男款175尺码样衣</w:t>
            </w:r>
          </w:p>
        </w:tc>
      </w:tr>
      <w:tr w14:paraId="66440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4" w:type="dxa"/>
            <w:tcBorders>
              <w:top w:val="single" w:color="auto" w:sz="4" w:space="0"/>
              <w:left w:val="single" w:color="auto" w:sz="4" w:space="0"/>
              <w:bottom w:val="single" w:color="auto" w:sz="4" w:space="0"/>
              <w:right w:val="single" w:color="auto" w:sz="4" w:space="0"/>
            </w:tcBorders>
            <w:vAlign w:val="center"/>
          </w:tcPr>
          <w:p w14:paraId="7952DEFA">
            <w:pPr>
              <w:widowControl/>
              <w:jc w:val="center"/>
              <w:rPr>
                <w:rFonts w:hint="eastAsia" w:ascii="新宋体" w:hAnsi="新宋体" w:eastAsia="新宋体" w:cs="新宋体"/>
                <w:sz w:val="24"/>
                <w:szCs w:val="21"/>
              </w:rPr>
            </w:pPr>
            <w:r>
              <w:rPr>
                <w:rFonts w:hint="eastAsia" w:ascii="新宋体" w:hAnsi="新宋体" w:eastAsia="新宋体" w:cs="新宋体"/>
                <w:szCs w:val="21"/>
              </w:rPr>
              <w:t>2</w:t>
            </w:r>
          </w:p>
        </w:tc>
        <w:tc>
          <w:tcPr>
            <w:tcW w:w="3778" w:type="dxa"/>
            <w:tcBorders>
              <w:top w:val="single" w:color="auto" w:sz="4" w:space="0"/>
              <w:left w:val="single" w:color="auto" w:sz="4" w:space="0"/>
              <w:bottom w:val="single" w:color="auto" w:sz="4" w:space="0"/>
              <w:right w:val="single" w:color="auto" w:sz="4" w:space="0"/>
            </w:tcBorders>
            <w:shd w:val="clear" w:color="auto" w:fill="auto"/>
            <w:vAlign w:val="center"/>
          </w:tcPr>
          <w:p w14:paraId="7B410C89">
            <w:pPr>
              <w:widowControl/>
              <w:jc w:val="center"/>
              <w:rPr>
                <w:rFonts w:hint="eastAsia" w:ascii="宋体" w:hAnsi="宋体" w:eastAsia="宋体" w:cs="宋体"/>
                <w:sz w:val="24"/>
                <w:szCs w:val="24"/>
              </w:rPr>
            </w:pPr>
            <w:r>
              <w:rPr>
                <w:rFonts w:hint="eastAsia" w:ascii="宋体" w:hAnsi="宋体" w:eastAsia="宋体" w:cs="宋体"/>
                <w:sz w:val="24"/>
                <w:szCs w:val="24"/>
              </w:rPr>
              <w:t>长袖制式衬衫</w:t>
            </w:r>
          </w:p>
        </w:tc>
        <w:tc>
          <w:tcPr>
            <w:tcW w:w="1556" w:type="dxa"/>
            <w:tcBorders>
              <w:top w:val="single" w:color="auto" w:sz="4" w:space="0"/>
              <w:left w:val="single" w:color="auto" w:sz="4" w:space="0"/>
              <w:bottom w:val="single" w:color="auto" w:sz="4" w:space="0"/>
              <w:right w:val="single" w:color="auto" w:sz="4" w:space="0"/>
            </w:tcBorders>
          </w:tcPr>
          <w:p w14:paraId="098ADD62">
            <w:pPr>
              <w:widowControl/>
              <w:jc w:val="center"/>
              <w:rPr>
                <w:rFonts w:hint="eastAsia" w:ascii="宋体" w:hAnsi="宋体" w:eastAsia="宋体" w:cs="宋体"/>
                <w:sz w:val="24"/>
                <w:szCs w:val="24"/>
              </w:rPr>
            </w:pPr>
            <w:r>
              <w:rPr>
                <w:rFonts w:hint="eastAsia" w:ascii="宋体" w:hAnsi="宋体" w:eastAsia="宋体" w:cs="宋体"/>
                <w:sz w:val="24"/>
                <w:szCs w:val="24"/>
              </w:rPr>
              <w:t>件</w:t>
            </w:r>
          </w:p>
        </w:tc>
        <w:tc>
          <w:tcPr>
            <w:tcW w:w="1603" w:type="dxa"/>
            <w:tcBorders>
              <w:top w:val="single" w:color="auto" w:sz="4" w:space="0"/>
              <w:left w:val="single" w:color="auto" w:sz="4" w:space="0"/>
              <w:bottom w:val="single" w:color="auto" w:sz="4" w:space="0"/>
              <w:right w:val="single" w:color="auto" w:sz="4" w:space="0"/>
            </w:tcBorders>
            <w:shd w:val="clear" w:color="auto" w:fill="auto"/>
            <w:vAlign w:val="center"/>
          </w:tcPr>
          <w:p w14:paraId="2F5BA496">
            <w:pPr>
              <w:widowControl/>
              <w:jc w:val="center"/>
              <w:rPr>
                <w:rFonts w:hint="eastAsia" w:ascii="宋体" w:hAnsi="宋体" w:eastAsia="宋体" w:cs="宋体"/>
                <w:sz w:val="24"/>
                <w:szCs w:val="24"/>
              </w:rPr>
            </w:pPr>
            <w:r>
              <w:rPr>
                <w:rFonts w:hint="eastAsia" w:ascii="宋体" w:hAnsi="宋体" w:eastAsia="宋体" w:cs="宋体"/>
                <w:sz w:val="24"/>
                <w:szCs w:val="24"/>
              </w:rPr>
              <w:t>1</w:t>
            </w:r>
          </w:p>
        </w:tc>
        <w:tc>
          <w:tcPr>
            <w:tcW w:w="1603" w:type="dxa"/>
            <w:tcBorders>
              <w:top w:val="single" w:color="auto" w:sz="4" w:space="0"/>
              <w:left w:val="single" w:color="auto" w:sz="4" w:space="0"/>
              <w:bottom w:val="single" w:color="auto" w:sz="4" w:space="0"/>
              <w:right w:val="single" w:color="auto" w:sz="4" w:space="0"/>
            </w:tcBorders>
            <w:shd w:val="clear" w:color="auto" w:fill="auto"/>
            <w:vAlign w:val="center"/>
          </w:tcPr>
          <w:p w14:paraId="69C5D9DE">
            <w:pPr>
              <w:widowControl/>
              <w:jc w:val="center"/>
              <w:rPr>
                <w:rFonts w:hint="eastAsia" w:ascii="宋体" w:hAnsi="宋体" w:eastAsia="宋体" w:cs="宋体"/>
                <w:sz w:val="24"/>
                <w:szCs w:val="24"/>
              </w:rPr>
            </w:pPr>
            <w:r>
              <w:rPr>
                <w:rFonts w:hint="eastAsia" w:ascii="宋体" w:hAnsi="宋体" w:eastAsia="宋体" w:cs="宋体"/>
                <w:sz w:val="22"/>
              </w:rPr>
              <w:t>提供男款175尺码样衣</w:t>
            </w:r>
          </w:p>
        </w:tc>
      </w:tr>
      <w:tr w14:paraId="4DFF9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4" w:type="dxa"/>
            <w:tcBorders>
              <w:top w:val="single" w:color="auto" w:sz="4" w:space="0"/>
              <w:left w:val="single" w:color="auto" w:sz="4" w:space="0"/>
              <w:bottom w:val="single" w:color="auto" w:sz="4" w:space="0"/>
              <w:right w:val="single" w:color="auto" w:sz="4" w:space="0"/>
            </w:tcBorders>
            <w:vAlign w:val="center"/>
          </w:tcPr>
          <w:p w14:paraId="5C13E3B6">
            <w:pPr>
              <w:widowControl/>
              <w:jc w:val="center"/>
              <w:rPr>
                <w:rFonts w:hint="eastAsia" w:ascii="新宋体" w:hAnsi="新宋体" w:eastAsia="新宋体" w:cs="新宋体"/>
                <w:sz w:val="24"/>
                <w:szCs w:val="21"/>
              </w:rPr>
            </w:pPr>
            <w:r>
              <w:rPr>
                <w:rFonts w:hint="eastAsia" w:ascii="新宋体" w:hAnsi="新宋体" w:eastAsia="新宋体" w:cs="新宋体"/>
                <w:szCs w:val="21"/>
              </w:rPr>
              <w:t>3</w:t>
            </w:r>
          </w:p>
        </w:tc>
        <w:tc>
          <w:tcPr>
            <w:tcW w:w="3778" w:type="dxa"/>
            <w:tcBorders>
              <w:top w:val="single" w:color="auto" w:sz="4" w:space="0"/>
              <w:left w:val="single" w:color="auto" w:sz="4" w:space="0"/>
              <w:bottom w:val="single" w:color="auto" w:sz="4" w:space="0"/>
              <w:right w:val="single" w:color="auto" w:sz="4" w:space="0"/>
            </w:tcBorders>
            <w:shd w:val="clear" w:color="auto" w:fill="auto"/>
            <w:vAlign w:val="center"/>
          </w:tcPr>
          <w:p w14:paraId="0213B621">
            <w:pPr>
              <w:widowControl/>
              <w:jc w:val="center"/>
              <w:rPr>
                <w:rFonts w:hint="eastAsia" w:ascii="宋体" w:hAnsi="宋体" w:eastAsia="宋体" w:cs="宋体"/>
                <w:sz w:val="24"/>
                <w:szCs w:val="24"/>
              </w:rPr>
            </w:pPr>
            <w:r>
              <w:rPr>
                <w:rFonts w:hint="eastAsia" w:ascii="宋体" w:hAnsi="宋体" w:eastAsia="宋体" w:cs="宋体"/>
                <w:sz w:val="24"/>
                <w:szCs w:val="24"/>
              </w:rPr>
              <w:t>短袖制式衬衫</w:t>
            </w:r>
          </w:p>
        </w:tc>
        <w:tc>
          <w:tcPr>
            <w:tcW w:w="1556" w:type="dxa"/>
            <w:tcBorders>
              <w:top w:val="single" w:color="auto" w:sz="4" w:space="0"/>
              <w:left w:val="single" w:color="auto" w:sz="4" w:space="0"/>
              <w:bottom w:val="single" w:color="auto" w:sz="4" w:space="0"/>
              <w:right w:val="single" w:color="auto" w:sz="4" w:space="0"/>
            </w:tcBorders>
          </w:tcPr>
          <w:p w14:paraId="493ED0E0">
            <w:pPr>
              <w:widowControl/>
              <w:jc w:val="center"/>
              <w:rPr>
                <w:rFonts w:hint="eastAsia" w:ascii="宋体" w:hAnsi="宋体" w:eastAsia="宋体" w:cs="宋体"/>
                <w:sz w:val="24"/>
                <w:szCs w:val="24"/>
              </w:rPr>
            </w:pPr>
            <w:r>
              <w:rPr>
                <w:rFonts w:hint="eastAsia" w:ascii="宋体" w:hAnsi="宋体" w:eastAsia="宋体" w:cs="宋体"/>
                <w:sz w:val="24"/>
                <w:szCs w:val="24"/>
              </w:rPr>
              <w:t>件</w:t>
            </w:r>
          </w:p>
        </w:tc>
        <w:tc>
          <w:tcPr>
            <w:tcW w:w="1603" w:type="dxa"/>
            <w:tcBorders>
              <w:top w:val="single" w:color="auto" w:sz="4" w:space="0"/>
              <w:left w:val="single" w:color="auto" w:sz="4" w:space="0"/>
              <w:bottom w:val="single" w:color="auto" w:sz="4" w:space="0"/>
              <w:right w:val="single" w:color="auto" w:sz="4" w:space="0"/>
            </w:tcBorders>
            <w:shd w:val="clear" w:color="auto" w:fill="auto"/>
            <w:vAlign w:val="center"/>
          </w:tcPr>
          <w:p w14:paraId="09E006C2">
            <w:pPr>
              <w:widowControl/>
              <w:jc w:val="center"/>
              <w:rPr>
                <w:rFonts w:hint="eastAsia" w:ascii="宋体" w:hAnsi="宋体" w:eastAsia="宋体" w:cs="宋体"/>
                <w:sz w:val="24"/>
                <w:szCs w:val="24"/>
              </w:rPr>
            </w:pPr>
            <w:r>
              <w:rPr>
                <w:rFonts w:hint="eastAsia" w:ascii="宋体" w:hAnsi="宋体" w:eastAsia="宋体" w:cs="宋体"/>
                <w:sz w:val="24"/>
                <w:szCs w:val="24"/>
              </w:rPr>
              <w:t>1</w:t>
            </w:r>
          </w:p>
        </w:tc>
        <w:tc>
          <w:tcPr>
            <w:tcW w:w="1603" w:type="dxa"/>
            <w:tcBorders>
              <w:top w:val="single" w:color="auto" w:sz="4" w:space="0"/>
              <w:left w:val="single" w:color="auto" w:sz="4" w:space="0"/>
              <w:bottom w:val="single" w:color="auto" w:sz="4" w:space="0"/>
              <w:right w:val="single" w:color="auto" w:sz="4" w:space="0"/>
            </w:tcBorders>
            <w:shd w:val="clear" w:color="auto" w:fill="auto"/>
            <w:vAlign w:val="center"/>
          </w:tcPr>
          <w:p w14:paraId="727001BD">
            <w:pPr>
              <w:widowControl/>
              <w:jc w:val="center"/>
              <w:rPr>
                <w:rFonts w:hint="eastAsia" w:ascii="宋体" w:hAnsi="宋体" w:eastAsia="宋体" w:cs="宋体"/>
                <w:sz w:val="24"/>
                <w:szCs w:val="24"/>
              </w:rPr>
            </w:pPr>
            <w:r>
              <w:rPr>
                <w:rFonts w:hint="eastAsia" w:ascii="宋体" w:hAnsi="宋体" w:eastAsia="宋体" w:cs="宋体"/>
                <w:sz w:val="22"/>
              </w:rPr>
              <w:t>提供男款175尺码样衣</w:t>
            </w:r>
          </w:p>
        </w:tc>
      </w:tr>
      <w:tr w14:paraId="5B784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4" w:type="dxa"/>
            <w:tcBorders>
              <w:top w:val="single" w:color="auto" w:sz="4" w:space="0"/>
              <w:left w:val="single" w:color="auto" w:sz="4" w:space="0"/>
              <w:bottom w:val="single" w:color="auto" w:sz="4" w:space="0"/>
              <w:right w:val="single" w:color="auto" w:sz="4" w:space="0"/>
            </w:tcBorders>
            <w:vAlign w:val="center"/>
          </w:tcPr>
          <w:p w14:paraId="607E577B">
            <w:pPr>
              <w:widowControl/>
              <w:jc w:val="center"/>
              <w:rPr>
                <w:rFonts w:hint="eastAsia" w:ascii="新宋体" w:hAnsi="新宋体" w:eastAsia="新宋体" w:cs="新宋体"/>
                <w:sz w:val="24"/>
                <w:szCs w:val="21"/>
              </w:rPr>
            </w:pPr>
            <w:r>
              <w:rPr>
                <w:rFonts w:hint="eastAsia" w:ascii="新宋体" w:hAnsi="新宋体" w:eastAsia="新宋体" w:cs="新宋体"/>
                <w:szCs w:val="21"/>
              </w:rPr>
              <w:t>4</w:t>
            </w:r>
          </w:p>
        </w:tc>
        <w:tc>
          <w:tcPr>
            <w:tcW w:w="3778" w:type="dxa"/>
            <w:tcBorders>
              <w:top w:val="single" w:color="auto" w:sz="4" w:space="0"/>
              <w:left w:val="single" w:color="auto" w:sz="4" w:space="0"/>
              <w:bottom w:val="single" w:color="auto" w:sz="4" w:space="0"/>
              <w:right w:val="single" w:color="auto" w:sz="4" w:space="0"/>
            </w:tcBorders>
            <w:shd w:val="clear" w:color="auto" w:fill="auto"/>
            <w:vAlign w:val="center"/>
          </w:tcPr>
          <w:p w14:paraId="69EF046A">
            <w:pPr>
              <w:widowControl/>
              <w:jc w:val="center"/>
              <w:rPr>
                <w:rFonts w:hint="eastAsia" w:ascii="宋体" w:hAnsi="宋体" w:eastAsia="宋体" w:cs="宋体"/>
                <w:sz w:val="24"/>
                <w:szCs w:val="24"/>
              </w:rPr>
            </w:pPr>
            <w:r>
              <w:rPr>
                <w:rFonts w:hint="eastAsia" w:ascii="宋体" w:hAnsi="宋体" w:eastAsia="宋体" w:cs="宋体"/>
                <w:sz w:val="24"/>
                <w:szCs w:val="24"/>
              </w:rPr>
              <w:t>腰带</w:t>
            </w:r>
          </w:p>
        </w:tc>
        <w:tc>
          <w:tcPr>
            <w:tcW w:w="1556" w:type="dxa"/>
            <w:tcBorders>
              <w:top w:val="single" w:color="auto" w:sz="4" w:space="0"/>
              <w:left w:val="single" w:color="auto" w:sz="4" w:space="0"/>
              <w:bottom w:val="single" w:color="auto" w:sz="4" w:space="0"/>
              <w:right w:val="single" w:color="auto" w:sz="4" w:space="0"/>
            </w:tcBorders>
          </w:tcPr>
          <w:p w14:paraId="11894495">
            <w:pPr>
              <w:widowControl/>
              <w:jc w:val="center"/>
              <w:rPr>
                <w:rFonts w:hint="eastAsia" w:ascii="宋体" w:hAnsi="宋体" w:eastAsia="宋体" w:cs="宋体"/>
                <w:sz w:val="24"/>
                <w:szCs w:val="24"/>
              </w:rPr>
            </w:pPr>
            <w:r>
              <w:rPr>
                <w:rFonts w:hint="eastAsia" w:ascii="宋体" w:hAnsi="宋体" w:eastAsia="宋体" w:cs="宋体"/>
                <w:sz w:val="24"/>
                <w:szCs w:val="24"/>
              </w:rPr>
              <w:t>条</w:t>
            </w:r>
          </w:p>
        </w:tc>
        <w:tc>
          <w:tcPr>
            <w:tcW w:w="1603" w:type="dxa"/>
            <w:tcBorders>
              <w:top w:val="single" w:color="auto" w:sz="4" w:space="0"/>
              <w:left w:val="single" w:color="auto" w:sz="4" w:space="0"/>
              <w:bottom w:val="single" w:color="auto" w:sz="4" w:space="0"/>
              <w:right w:val="single" w:color="auto" w:sz="4" w:space="0"/>
            </w:tcBorders>
            <w:shd w:val="clear" w:color="auto" w:fill="auto"/>
            <w:vAlign w:val="center"/>
          </w:tcPr>
          <w:p w14:paraId="5A18B516">
            <w:pPr>
              <w:widowControl/>
              <w:jc w:val="center"/>
              <w:rPr>
                <w:rFonts w:hint="eastAsia" w:ascii="宋体" w:hAnsi="宋体" w:eastAsia="宋体" w:cs="宋体"/>
                <w:sz w:val="24"/>
                <w:szCs w:val="24"/>
              </w:rPr>
            </w:pPr>
            <w:r>
              <w:rPr>
                <w:rFonts w:hint="eastAsia" w:ascii="宋体" w:hAnsi="宋体" w:eastAsia="宋体" w:cs="宋体"/>
                <w:sz w:val="24"/>
                <w:szCs w:val="24"/>
              </w:rPr>
              <w:t>1</w:t>
            </w:r>
          </w:p>
        </w:tc>
        <w:tc>
          <w:tcPr>
            <w:tcW w:w="1603" w:type="dxa"/>
            <w:tcBorders>
              <w:top w:val="single" w:color="auto" w:sz="4" w:space="0"/>
              <w:left w:val="single" w:color="auto" w:sz="4" w:space="0"/>
              <w:bottom w:val="single" w:color="auto" w:sz="4" w:space="0"/>
              <w:right w:val="single" w:color="auto" w:sz="4" w:space="0"/>
            </w:tcBorders>
            <w:shd w:val="clear" w:color="auto" w:fill="auto"/>
            <w:vAlign w:val="center"/>
          </w:tcPr>
          <w:p w14:paraId="00E7E63C">
            <w:pPr>
              <w:widowControl/>
              <w:jc w:val="center"/>
              <w:rPr>
                <w:rFonts w:hint="eastAsia" w:ascii="宋体" w:hAnsi="宋体" w:eastAsia="宋体" w:cs="宋体"/>
                <w:sz w:val="22"/>
              </w:rPr>
            </w:pPr>
            <w:r>
              <w:rPr>
                <w:rFonts w:hint="eastAsia" w:ascii="宋体" w:hAnsi="宋体" w:eastAsia="宋体" w:cs="宋体"/>
                <w:sz w:val="22"/>
              </w:rPr>
              <w:t>提供男款</w:t>
            </w:r>
          </w:p>
        </w:tc>
      </w:tr>
      <w:tr w14:paraId="22552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4" w:type="dxa"/>
            <w:tcBorders>
              <w:top w:val="single" w:color="auto" w:sz="4" w:space="0"/>
              <w:left w:val="single" w:color="auto" w:sz="4" w:space="0"/>
              <w:bottom w:val="single" w:color="auto" w:sz="4" w:space="0"/>
              <w:right w:val="single" w:color="auto" w:sz="4" w:space="0"/>
            </w:tcBorders>
            <w:vAlign w:val="center"/>
          </w:tcPr>
          <w:p w14:paraId="310BBBFD">
            <w:pPr>
              <w:widowControl/>
              <w:jc w:val="center"/>
              <w:rPr>
                <w:rFonts w:hint="eastAsia" w:ascii="新宋体" w:hAnsi="新宋体" w:eastAsia="新宋体" w:cs="新宋体"/>
                <w:sz w:val="24"/>
                <w:szCs w:val="21"/>
              </w:rPr>
            </w:pPr>
            <w:r>
              <w:rPr>
                <w:rFonts w:hint="eastAsia" w:ascii="新宋体" w:hAnsi="新宋体" w:eastAsia="新宋体" w:cs="新宋体"/>
                <w:szCs w:val="21"/>
              </w:rPr>
              <w:t>5</w:t>
            </w:r>
          </w:p>
        </w:tc>
        <w:tc>
          <w:tcPr>
            <w:tcW w:w="3778" w:type="dxa"/>
            <w:tcBorders>
              <w:top w:val="single" w:color="auto" w:sz="4" w:space="0"/>
              <w:left w:val="single" w:color="auto" w:sz="4" w:space="0"/>
              <w:bottom w:val="single" w:color="auto" w:sz="4" w:space="0"/>
              <w:right w:val="single" w:color="auto" w:sz="4" w:space="0"/>
            </w:tcBorders>
            <w:shd w:val="clear" w:color="auto" w:fill="auto"/>
            <w:vAlign w:val="center"/>
          </w:tcPr>
          <w:p w14:paraId="2A37AF9B">
            <w:pPr>
              <w:widowControl/>
              <w:jc w:val="center"/>
              <w:rPr>
                <w:rFonts w:hint="eastAsia" w:ascii="宋体" w:hAnsi="宋体" w:eastAsia="宋体" w:cs="宋体"/>
                <w:sz w:val="24"/>
                <w:szCs w:val="24"/>
              </w:rPr>
            </w:pPr>
            <w:r>
              <w:rPr>
                <w:rFonts w:hint="eastAsia" w:ascii="宋体" w:hAnsi="宋体" w:eastAsia="宋体" w:cs="宋体"/>
                <w:sz w:val="24"/>
                <w:szCs w:val="24"/>
              </w:rPr>
              <w:t>软肩章</w:t>
            </w:r>
          </w:p>
        </w:tc>
        <w:tc>
          <w:tcPr>
            <w:tcW w:w="1556" w:type="dxa"/>
            <w:tcBorders>
              <w:top w:val="single" w:color="auto" w:sz="4" w:space="0"/>
              <w:left w:val="single" w:color="auto" w:sz="4" w:space="0"/>
              <w:bottom w:val="single" w:color="auto" w:sz="4" w:space="0"/>
              <w:right w:val="single" w:color="auto" w:sz="4" w:space="0"/>
            </w:tcBorders>
          </w:tcPr>
          <w:p w14:paraId="355886DB">
            <w:pPr>
              <w:widowControl/>
              <w:jc w:val="center"/>
              <w:rPr>
                <w:rFonts w:hint="eastAsia" w:ascii="宋体" w:hAnsi="宋体" w:eastAsia="宋体" w:cs="宋体"/>
                <w:sz w:val="24"/>
                <w:szCs w:val="24"/>
              </w:rPr>
            </w:pPr>
            <w:r>
              <w:rPr>
                <w:rFonts w:hint="eastAsia" w:ascii="宋体" w:hAnsi="宋体" w:eastAsia="宋体" w:cs="宋体"/>
                <w:sz w:val="24"/>
                <w:szCs w:val="24"/>
              </w:rPr>
              <w:t>副</w:t>
            </w:r>
          </w:p>
        </w:tc>
        <w:tc>
          <w:tcPr>
            <w:tcW w:w="1603" w:type="dxa"/>
            <w:tcBorders>
              <w:top w:val="single" w:color="auto" w:sz="4" w:space="0"/>
              <w:left w:val="single" w:color="auto" w:sz="4" w:space="0"/>
              <w:bottom w:val="single" w:color="auto" w:sz="4" w:space="0"/>
              <w:right w:val="single" w:color="auto" w:sz="4" w:space="0"/>
            </w:tcBorders>
            <w:shd w:val="clear" w:color="auto" w:fill="auto"/>
            <w:vAlign w:val="center"/>
          </w:tcPr>
          <w:p w14:paraId="203A4638">
            <w:pPr>
              <w:widowControl/>
              <w:jc w:val="center"/>
              <w:rPr>
                <w:rFonts w:hint="eastAsia" w:ascii="宋体" w:hAnsi="宋体" w:eastAsia="宋体" w:cs="宋体"/>
                <w:sz w:val="24"/>
                <w:szCs w:val="24"/>
              </w:rPr>
            </w:pPr>
            <w:r>
              <w:rPr>
                <w:rFonts w:hint="eastAsia" w:ascii="宋体" w:hAnsi="宋体" w:eastAsia="宋体" w:cs="宋体"/>
                <w:sz w:val="24"/>
                <w:szCs w:val="24"/>
              </w:rPr>
              <w:t>1</w:t>
            </w:r>
          </w:p>
        </w:tc>
        <w:tc>
          <w:tcPr>
            <w:tcW w:w="1603" w:type="dxa"/>
            <w:tcBorders>
              <w:top w:val="single" w:color="auto" w:sz="4" w:space="0"/>
              <w:left w:val="single" w:color="auto" w:sz="4" w:space="0"/>
              <w:bottom w:val="single" w:color="auto" w:sz="4" w:space="0"/>
              <w:right w:val="single" w:color="auto" w:sz="4" w:space="0"/>
            </w:tcBorders>
            <w:shd w:val="clear" w:color="auto" w:fill="auto"/>
            <w:vAlign w:val="center"/>
          </w:tcPr>
          <w:p w14:paraId="76A490D5">
            <w:pPr>
              <w:widowControl/>
              <w:jc w:val="center"/>
              <w:rPr>
                <w:rFonts w:hint="eastAsia" w:ascii="宋体" w:hAnsi="宋体" w:eastAsia="宋体" w:cs="宋体"/>
                <w:sz w:val="22"/>
              </w:rPr>
            </w:pPr>
            <w:r>
              <w:rPr>
                <w:rFonts w:hint="eastAsia" w:ascii="宋体" w:hAnsi="宋体" w:eastAsia="宋体" w:cs="宋体"/>
                <w:sz w:val="22"/>
              </w:rPr>
              <w:t>尺码按照通用规格</w:t>
            </w:r>
          </w:p>
        </w:tc>
      </w:tr>
      <w:tr w14:paraId="48218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4" w:type="dxa"/>
            <w:tcBorders>
              <w:top w:val="single" w:color="auto" w:sz="4" w:space="0"/>
              <w:left w:val="single" w:color="auto" w:sz="4" w:space="0"/>
              <w:bottom w:val="single" w:color="auto" w:sz="4" w:space="0"/>
              <w:right w:val="single" w:color="auto" w:sz="4" w:space="0"/>
            </w:tcBorders>
            <w:vAlign w:val="center"/>
          </w:tcPr>
          <w:p w14:paraId="37EA76C3">
            <w:pPr>
              <w:widowControl/>
              <w:jc w:val="center"/>
              <w:rPr>
                <w:rFonts w:hint="eastAsia" w:ascii="新宋体" w:hAnsi="新宋体" w:eastAsia="新宋体" w:cs="新宋体"/>
                <w:sz w:val="24"/>
                <w:szCs w:val="21"/>
              </w:rPr>
            </w:pPr>
            <w:r>
              <w:rPr>
                <w:rFonts w:hint="eastAsia" w:ascii="新宋体" w:hAnsi="新宋体" w:eastAsia="新宋体" w:cs="新宋体"/>
                <w:szCs w:val="21"/>
              </w:rPr>
              <w:t>6</w:t>
            </w:r>
          </w:p>
        </w:tc>
        <w:tc>
          <w:tcPr>
            <w:tcW w:w="3778" w:type="dxa"/>
            <w:tcBorders>
              <w:top w:val="single" w:color="auto" w:sz="4" w:space="0"/>
              <w:left w:val="single" w:color="auto" w:sz="4" w:space="0"/>
              <w:bottom w:val="single" w:color="auto" w:sz="4" w:space="0"/>
              <w:right w:val="single" w:color="auto" w:sz="4" w:space="0"/>
            </w:tcBorders>
            <w:shd w:val="clear" w:color="auto" w:fill="auto"/>
            <w:vAlign w:val="center"/>
          </w:tcPr>
          <w:p w14:paraId="38DAD661">
            <w:pPr>
              <w:widowControl/>
              <w:jc w:val="center"/>
              <w:rPr>
                <w:rFonts w:hint="eastAsia" w:ascii="宋体" w:hAnsi="宋体" w:eastAsia="宋体" w:cs="宋体"/>
                <w:sz w:val="24"/>
                <w:szCs w:val="24"/>
              </w:rPr>
            </w:pPr>
            <w:r>
              <w:rPr>
                <w:rFonts w:hint="eastAsia" w:ascii="宋体" w:hAnsi="宋体" w:eastAsia="宋体" w:cs="宋体"/>
                <w:sz w:val="24"/>
                <w:szCs w:val="24"/>
              </w:rPr>
              <w:t>套式肩章</w:t>
            </w:r>
          </w:p>
        </w:tc>
        <w:tc>
          <w:tcPr>
            <w:tcW w:w="1556" w:type="dxa"/>
            <w:tcBorders>
              <w:top w:val="single" w:color="auto" w:sz="4" w:space="0"/>
              <w:left w:val="single" w:color="auto" w:sz="4" w:space="0"/>
              <w:bottom w:val="single" w:color="auto" w:sz="4" w:space="0"/>
              <w:right w:val="single" w:color="auto" w:sz="4" w:space="0"/>
            </w:tcBorders>
          </w:tcPr>
          <w:p w14:paraId="3E5F2247">
            <w:pPr>
              <w:widowControl/>
              <w:jc w:val="center"/>
              <w:rPr>
                <w:rFonts w:hint="eastAsia" w:ascii="宋体" w:hAnsi="宋体" w:eastAsia="宋体" w:cs="宋体"/>
                <w:sz w:val="24"/>
                <w:szCs w:val="24"/>
              </w:rPr>
            </w:pPr>
            <w:r>
              <w:rPr>
                <w:rFonts w:hint="eastAsia" w:ascii="宋体" w:hAnsi="宋体" w:eastAsia="宋体" w:cs="宋体"/>
                <w:sz w:val="24"/>
                <w:szCs w:val="24"/>
              </w:rPr>
              <w:t>副</w:t>
            </w:r>
          </w:p>
        </w:tc>
        <w:tc>
          <w:tcPr>
            <w:tcW w:w="1603" w:type="dxa"/>
            <w:tcBorders>
              <w:top w:val="single" w:color="auto" w:sz="4" w:space="0"/>
              <w:left w:val="single" w:color="auto" w:sz="4" w:space="0"/>
              <w:bottom w:val="single" w:color="auto" w:sz="4" w:space="0"/>
              <w:right w:val="single" w:color="auto" w:sz="4" w:space="0"/>
            </w:tcBorders>
            <w:shd w:val="clear" w:color="auto" w:fill="auto"/>
            <w:vAlign w:val="center"/>
          </w:tcPr>
          <w:p w14:paraId="62B2CBDE">
            <w:pPr>
              <w:widowControl/>
              <w:jc w:val="center"/>
              <w:rPr>
                <w:rFonts w:hint="eastAsia" w:ascii="宋体" w:hAnsi="宋体" w:eastAsia="宋体" w:cs="宋体"/>
                <w:sz w:val="24"/>
                <w:szCs w:val="24"/>
              </w:rPr>
            </w:pPr>
            <w:r>
              <w:rPr>
                <w:rFonts w:hint="eastAsia" w:ascii="宋体" w:hAnsi="宋体" w:eastAsia="宋体" w:cs="宋体"/>
                <w:sz w:val="24"/>
                <w:szCs w:val="24"/>
              </w:rPr>
              <w:t>1</w:t>
            </w:r>
          </w:p>
        </w:tc>
        <w:tc>
          <w:tcPr>
            <w:tcW w:w="1603" w:type="dxa"/>
            <w:tcBorders>
              <w:top w:val="single" w:color="auto" w:sz="4" w:space="0"/>
              <w:left w:val="single" w:color="auto" w:sz="4" w:space="0"/>
              <w:bottom w:val="single" w:color="auto" w:sz="4" w:space="0"/>
              <w:right w:val="single" w:color="auto" w:sz="4" w:space="0"/>
            </w:tcBorders>
            <w:shd w:val="clear" w:color="auto" w:fill="auto"/>
            <w:vAlign w:val="center"/>
          </w:tcPr>
          <w:p w14:paraId="0043E7D5">
            <w:pPr>
              <w:widowControl/>
              <w:jc w:val="center"/>
              <w:rPr>
                <w:rFonts w:hint="eastAsia" w:ascii="宋体" w:hAnsi="宋体" w:eastAsia="宋体" w:cs="宋体"/>
                <w:sz w:val="22"/>
              </w:rPr>
            </w:pPr>
            <w:r>
              <w:rPr>
                <w:rFonts w:hint="eastAsia" w:ascii="宋体" w:hAnsi="宋体" w:eastAsia="宋体" w:cs="宋体"/>
                <w:sz w:val="22"/>
              </w:rPr>
              <w:t>尺码按照通用规格</w:t>
            </w:r>
          </w:p>
        </w:tc>
      </w:tr>
      <w:tr w14:paraId="036FA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4" w:type="dxa"/>
            <w:tcBorders>
              <w:top w:val="single" w:color="auto" w:sz="4" w:space="0"/>
              <w:left w:val="single" w:color="auto" w:sz="4" w:space="0"/>
              <w:bottom w:val="single" w:color="auto" w:sz="4" w:space="0"/>
              <w:right w:val="single" w:color="auto" w:sz="4" w:space="0"/>
            </w:tcBorders>
            <w:vAlign w:val="center"/>
          </w:tcPr>
          <w:p w14:paraId="48DAD1EE">
            <w:pPr>
              <w:widowControl/>
              <w:jc w:val="center"/>
              <w:rPr>
                <w:rFonts w:hint="eastAsia" w:ascii="新宋体" w:hAnsi="新宋体" w:eastAsia="新宋体" w:cs="新宋体"/>
                <w:sz w:val="24"/>
                <w:szCs w:val="21"/>
              </w:rPr>
            </w:pPr>
            <w:r>
              <w:rPr>
                <w:rFonts w:hint="eastAsia" w:ascii="新宋体" w:hAnsi="新宋体" w:eastAsia="新宋体" w:cs="新宋体"/>
                <w:szCs w:val="21"/>
              </w:rPr>
              <w:t>7</w:t>
            </w:r>
          </w:p>
        </w:tc>
        <w:tc>
          <w:tcPr>
            <w:tcW w:w="3778" w:type="dxa"/>
            <w:tcBorders>
              <w:top w:val="single" w:color="auto" w:sz="4" w:space="0"/>
              <w:left w:val="single" w:color="auto" w:sz="4" w:space="0"/>
              <w:bottom w:val="single" w:color="auto" w:sz="4" w:space="0"/>
              <w:right w:val="single" w:color="auto" w:sz="4" w:space="0"/>
            </w:tcBorders>
            <w:shd w:val="clear" w:color="auto" w:fill="auto"/>
            <w:vAlign w:val="center"/>
          </w:tcPr>
          <w:p w14:paraId="0DB4816A">
            <w:pPr>
              <w:widowControl/>
              <w:jc w:val="center"/>
              <w:rPr>
                <w:rFonts w:hint="eastAsia" w:ascii="宋体" w:hAnsi="宋体" w:eastAsia="宋体" w:cs="宋体"/>
                <w:sz w:val="24"/>
                <w:szCs w:val="24"/>
              </w:rPr>
            </w:pPr>
            <w:r>
              <w:rPr>
                <w:rFonts w:hint="eastAsia" w:ascii="宋体" w:hAnsi="宋体" w:eastAsia="宋体" w:cs="宋体"/>
                <w:sz w:val="24"/>
                <w:szCs w:val="24"/>
              </w:rPr>
              <w:t>软胸徽</w:t>
            </w:r>
          </w:p>
        </w:tc>
        <w:tc>
          <w:tcPr>
            <w:tcW w:w="1556" w:type="dxa"/>
            <w:tcBorders>
              <w:top w:val="single" w:color="auto" w:sz="4" w:space="0"/>
              <w:left w:val="single" w:color="auto" w:sz="4" w:space="0"/>
              <w:bottom w:val="single" w:color="auto" w:sz="4" w:space="0"/>
              <w:right w:val="single" w:color="auto" w:sz="4" w:space="0"/>
            </w:tcBorders>
          </w:tcPr>
          <w:p w14:paraId="60D56CD6">
            <w:pPr>
              <w:widowControl/>
              <w:jc w:val="center"/>
              <w:rPr>
                <w:rFonts w:hint="eastAsia" w:ascii="宋体" w:hAnsi="宋体" w:eastAsia="宋体" w:cs="宋体"/>
                <w:sz w:val="24"/>
                <w:szCs w:val="24"/>
              </w:rPr>
            </w:pPr>
            <w:r>
              <w:rPr>
                <w:rFonts w:hint="eastAsia" w:ascii="宋体" w:hAnsi="宋体" w:eastAsia="宋体" w:cs="宋体"/>
                <w:sz w:val="24"/>
                <w:szCs w:val="24"/>
              </w:rPr>
              <w:t>枚</w:t>
            </w:r>
          </w:p>
        </w:tc>
        <w:tc>
          <w:tcPr>
            <w:tcW w:w="1603" w:type="dxa"/>
            <w:tcBorders>
              <w:top w:val="single" w:color="auto" w:sz="4" w:space="0"/>
              <w:left w:val="single" w:color="auto" w:sz="4" w:space="0"/>
              <w:bottom w:val="single" w:color="auto" w:sz="4" w:space="0"/>
              <w:right w:val="single" w:color="auto" w:sz="4" w:space="0"/>
            </w:tcBorders>
            <w:shd w:val="clear" w:color="auto" w:fill="auto"/>
            <w:vAlign w:val="center"/>
          </w:tcPr>
          <w:p w14:paraId="76BD49D2">
            <w:pPr>
              <w:widowControl/>
              <w:jc w:val="center"/>
              <w:rPr>
                <w:rFonts w:hint="eastAsia" w:ascii="宋体" w:hAnsi="宋体" w:eastAsia="宋体" w:cs="宋体"/>
                <w:sz w:val="24"/>
                <w:szCs w:val="24"/>
              </w:rPr>
            </w:pPr>
            <w:r>
              <w:rPr>
                <w:rFonts w:hint="eastAsia" w:ascii="宋体" w:hAnsi="宋体" w:eastAsia="宋体" w:cs="宋体"/>
                <w:sz w:val="24"/>
                <w:szCs w:val="24"/>
              </w:rPr>
              <w:t>1</w:t>
            </w:r>
          </w:p>
        </w:tc>
        <w:tc>
          <w:tcPr>
            <w:tcW w:w="1603" w:type="dxa"/>
            <w:tcBorders>
              <w:top w:val="single" w:color="auto" w:sz="4" w:space="0"/>
              <w:left w:val="single" w:color="auto" w:sz="4" w:space="0"/>
              <w:bottom w:val="single" w:color="auto" w:sz="4" w:space="0"/>
              <w:right w:val="single" w:color="auto" w:sz="4" w:space="0"/>
            </w:tcBorders>
            <w:shd w:val="clear" w:color="auto" w:fill="auto"/>
            <w:vAlign w:val="center"/>
          </w:tcPr>
          <w:p w14:paraId="56C5F5B3">
            <w:pPr>
              <w:widowControl/>
              <w:jc w:val="center"/>
              <w:rPr>
                <w:rFonts w:hint="eastAsia" w:ascii="宋体" w:hAnsi="宋体" w:eastAsia="宋体" w:cs="宋体"/>
                <w:sz w:val="22"/>
              </w:rPr>
            </w:pPr>
            <w:r>
              <w:rPr>
                <w:rFonts w:hint="eastAsia" w:ascii="宋体" w:hAnsi="宋体" w:eastAsia="宋体" w:cs="宋体"/>
                <w:sz w:val="22"/>
              </w:rPr>
              <w:t>尺码按照通用规格</w:t>
            </w:r>
          </w:p>
        </w:tc>
      </w:tr>
      <w:tr w14:paraId="7E6AA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4" w:type="dxa"/>
            <w:tcBorders>
              <w:top w:val="single" w:color="auto" w:sz="4" w:space="0"/>
              <w:left w:val="single" w:color="auto" w:sz="4" w:space="0"/>
              <w:bottom w:val="single" w:color="auto" w:sz="4" w:space="0"/>
              <w:right w:val="single" w:color="auto" w:sz="4" w:space="0"/>
            </w:tcBorders>
            <w:vAlign w:val="center"/>
          </w:tcPr>
          <w:p w14:paraId="6DD8760B">
            <w:pPr>
              <w:widowControl/>
              <w:jc w:val="center"/>
              <w:rPr>
                <w:rFonts w:hint="eastAsia" w:ascii="新宋体" w:hAnsi="新宋体" w:eastAsia="新宋体" w:cs="新宋体"/>
                <w:sz w:val="24"/>
                <w:szCs w:val="21"/>
              </w:rPr>
            </w:pPr>
            <w:r>
              <w:rPr>
                <w:rFonts w:hint="eastAsia" w:ascii="新宋体" w:hAnsi="新宋体" w:eastAsia="新宋体" w:cs="新宋体"/>
                <w:szCs w:val="21"/>
              </w:rPr>
              <w:t>8</w:t>
            </w:r>
          </w:p>
        </w:tc>
        <w:tc>
          <w:tcPr>
            <w:tcW w:w="3778" w:type="dxa"/>
            <w:tcBorders>
              <w:top w:val="single" w:color="auto" w:sz="4" w:space="0"/>
              <w:left w:val="single" w:color="auto" w:sz="4" w:space="0"/>
              <w:bottom w:val="single" w:color="auto" w:sz="4" w:space="0"/>
              <w:right w:val="single" w:color="auto" w:sz="4" w:space="0"/>
            </w:tcBorders>
            <w:shd w:val="clear" w:color="auto" w:fill="auto"/>
            <w:vAlign w:val="center"/>
          </w:tcPr>
          <w:p w14:paraId="243573DE">
            <w:pPr>
              <w:widowControl/>
              <w:jc w:val="center"/>
              <w:rPr>
                <w:rFonts w:hint="eastAsia" w:ascii="宋体" w:hAnsi="宋体" w:eastAsia="宋体" w:cs="宋体"/>
                <w:sz w:val="24"/>
                <w:szCs w:val="24"/>
              </w:rPr>
            </w:pPr>
            <w:r>
              <w:rPr>
                <w:rFonts w:hint="eastAsia" w:ascii="宋体" w:hAnsi="宋体" w:eastAsia="宋体" w:cs="宋体"/>
                <w:sz w:val="24"/>
                <w:szCs w:val="24"/>
              </w:rPr>
              <w:t>软胸号</w:t>
            </w:r>
          </w:p>
        </w:tc>
        <w:tc>
          <w:tcPr>
            <w:tcW w:w="1556" w:type="dxa"/>
            <w:tcBorders>
              <w:top w:val="single" w:color="auto" w:sz="4" w:space="0"/>
              <w:left w:val="single" w:color="auto" w:sz="4" w:space="0"/>
              <w:bottom w:val="single" w:color="auto" w:sz="4" w:space="0"/>
              <w:right w:val="single" w:color="auto" w:sz="4" w:space="0"/>
            </w:tcBorders>
          </w:tcPr>
          <w:p w14:paraId="31AAC678">
            <w:pPr>
              <w:widowControl/>
              <w:jc w:val="center"/>
              <w:rPr>
                <w:rFonts w:hint="eastAsia" w:ascii="宋体" w:hAnsi="宋体" w:eastAsia="宋体" w:cs="宋体"/>
                <w:sz w:val="24"/>
                <w:szCs w:val="24"/>
              </w:rPr>
            </w:pPr>
            <w:r>
              <w:rPr>
                <w:rFonts w:hint="eastAsia" w:ascii="宋体" w:hAnsi="宋体" w:eastAsia="宋体" w:cs="宋体"/>
                <w:sz w:val="24"/>
                <w:szCs w:val="24"/>
              </w:rPr>
              <w:t>枚</w:t>
            </w:r>
          </w:p>
        </w:tc>
        <w:tc>
          <w:tcPr>
            <w:tcW w:w="1603" w:type="dxa"/>
            <w:tcBorders>
              <w:top w:val="single" w:color="auto" w:sz="4" w:space="0"/>
              <w:left w:val="single" w:color="auto" w:sz="4" w:space="0"/>
              <w:bottom w:val="single" w:color="auto" w:sz="4" w:space="0"/>
              <w:right w:val="single" w:color="auto" w:sz="4" w:space="0"/>
            </w:tcBorders>
            <w:shd w:val="clear" w:color="auto" w:fill="auto"/>
            <w:vAlign w:val="center"/>
          </w:tcPr>
          <w:p w14:paraId="7F8CB39F">
            <w:pPr>
              <w:widowControl/>
              <w:jc w:val="center"/>
              <w:rPr>
                <w:rFonts w:hint="eastAsia" w:ascii="宋体" w:hAnsi="宋体" w:eastAsia="宋体" w:cs="宋体"/>
                <w:sz w:val="24"/>
                <w:szCs w:val="24"/>
              </w:rPr>
            </w:pPr>
            <w:r>
              <w:rPr>
                <w:rFonts w:hint="eastAsia" w:ascii="宋体" w:hAnsi="宋体" w:eastAsia="宋体" w:cs="宋体"/>
                <w:sz w:val="24"/>
                <w:szCs w:val="24"/>
              </w:rPr>
              <w:t>1</w:t>
            </w:r>
          </w:p>
        </w:tc>
        <w:tc>
          <w:tcPr>
            <w:tcW w:w="1603" w:type="dxa"/>
            <w:tcBorders>
              <w:top w:val="single" w:color="auto" w:sz="4" w:space="0"/>
              <w:left w:val="single" w:color="auto" w:sz="4" w:space="0"/>
              <w:bottom w:val="single" w:color="auto" w:sz="4" w:space="0"/>
              <w:right w:val="single" w:color="auto" w:sz="4" w:space="0"/>
            </w:tcBorders>
            <w:shd w:val="clear" w:color="auto" w:fill="auto"/>
            <w:vAlign w:val="center"/>
          </w:tcPr>
          <w:p w14:paraId="53D3C648">
            <w:pPr>
              <w:widowControl/>
              <w:jc w:val="center"/>
              <w:rPr>
                <w:rFonts w:hint="eastAsia" w:ascii="宋体" w:hAnsi="宋体" w:eastAsia="宋体" w:cs="宋体"/>
                <w:sz w:val="22"/>
              </w:rPr>
            </w:pPr>
            <w:r>
              <w:rPr>
                <w:rFonts w:hint="eastAsia" w:ascii="宋体" w:hAnsi="宋体" w:eastAsia="宋体" w:cs="宋体"/>
                <w:sz w:val="22"/>
              </w:rPr>
              <w:t>尺码按照通用规格</w:t>
            </w:r>
          </w:p>
        </w:tc>
      </w:tr>
      <w:bookmarkEnd w:id="90"/>
    </w:tbl>
    <w:p w14:paraId="5D3589DB">
      <w:pPr>
        <w:snapToGrid w:val="0"/>
        <w:spacing w:line="360" w:lineRule="auto"/>
        <w:ind w:firstLine="482" w:firstLineChars="200"/>
        <w:rPr>
          <w:rFonts w:hint="eastAsia" w:ascii="宋体" w:hAnsi="宋体" w:eastAsia="宋体"/>
          <w:b/>
          <w:sz w:val="24"/>
        </w:rPr>
      </w:pPr>
      <w:r>
        <w:rPr>
          <w:rFonts w:hint="eastAsia" w:ascii="宋体" w:hAnsi="宋体" w:cs="宋体"/>
          <w:b/>
          <w:bCs/>
          <w:sz w:val="24"/>
          <w:szCs w:val="24"/>
        </w:rPr>
        <w:t>1、磋商响应</w:t>
      </w:r>
      <w:r>
        <w:rPr>
          <w:rFonts w:hint="eastAsia" w:ascii="宋体" w:hAnsi="宋体" w:eastAsia="宋体" w:cs="宋体"/>
          <w:b/>
          <w:bCs/>
          <w:sz w:val="24"/>
          <w:szCs w:val="24"/>
        </w:rPr>
        <w:t>时供应商须按“样品目录清单”的要求提供样品</w:t>
      </w:r>
      <w:r>
        <w:rPr>
          <w:rFonts w:hint="eastAsia" w:ascii="宋体" w:hAnsi="宋体" w:eastAsia="宋体"/>
          <w:b/>
          <w:sz w:val="24"/>
        </w:rPr>
        <w:t>。</w:t>
      </w:r>
    </w:p>
    <w:p w14:paraId="69F66C80">
      <w:pPr>
        <w:snapToGrid w:val="0"/>
        <w:spacing w:line="360" w:lineRule="auto"/>
        <w:ind w:firstLine="482" w:firstLineChars="200"/>
      </w:pPr>
      <w:r>
        <w:rPr>
          <w:rFonts w:hint="eastAsia" w:ascii="宋体" w:hAnsi="宋体" w:eastAsia="宋体"/>
          <w:b/>
          <w:sz w:val="24"/>
        </w:rPr>
        <w:t>2、磋商响应供应商提供的样品与示例图基本保持一致，细节可有所不同，布料选择必须符合或高于项目需求的要求。</w:t>
      </w:r>
    </w:p>
    <w:p w14:paraId="2DAD5174">
      <w:pPr>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3、所有样品须满足磋商文件要求，且样品（包含内口袋和纽扣等服装的任何地方）不能出现供应商的任何标志、标记，如：品牌、生产厂家、供应商名称、型号等，否则商务技术标中“样品”得0分。供应商自行承担样品的加工制作、包装、运输等费用。</w:t>
      </w:r>
    </w:p>
    <w:p w14:paraId="6D1A98A5">
      <w:pPr>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4、供应商在递交磋商响应文件的同时，将样品递交给采购代理机构。开标结束后，未成交供应商的样品及时撤回，否则，样品发生任何损坏、损失由供应商自行承担，采购单位或采购代理机构不负保管责任；成交供应商的样品交由采购单位封存，将作为所有产品供货的依据。</w:t>
      </w:r>
    </w:p>
    <w:p w14:paraId="305ED30D">
      <w:pPr>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5、供应商未提供样品或提供的样品不全或样品提供不符合要求的，商务技术标中“样品”得0分</w:t>
      </w:r>
      <w:r>
        <w:rPr>
          <w:rFonts w:hint="eastAsia" w:ascii="宋体" w:hAnsi="宋体" w:eastAsia="宋体" w:cs="宋体"/>
          <w:b/>
          <w:bCs/>
          <w:sz w:val="24"/>
          <w:szCs w:val="24"/>
          <w:lang w:val="zh-CN"/>
        </w:rPr>
        <w:t>。</w:t>
      </w:r>
    </w:p>
    <w:p w14:paraId="40D35CC9">
      <w:pPr>
        <w:pStyle w:val="3"/>
        <w:snapToGrid w:val="0"/>
        <w:spacing w:after="0" w:line="360" w:lineRule="auto"/>
        <w:ind w:firstLine="480"/>
        <w:rPr>
          <w:rFonts w:hint="eastAsia" w:ascii="宋体" w:hAnsi="宋体" w:eastAsia="宋体" w:cs="宋体"/>
          <w:b/>
          <w:kern w:val="2"/>
          <w:sz w:val="24"/>
          <w:szCs w:val="24"/>
        </w:rPr>
      </w:pPr>
      <w:r>
        <w:rPr>
          <w:rFonts w:hint="eastAsia" w:ascii="宋体" w:hAnsi="宋体" w:eastAsia="宋体" w:cs="宋体"/>
          <w:b/>
          <w:kern w:val="2"/>
          <w:sz w:val="24"/>
          <w:szCs w:val="24"/>
        </w:rPr>
        <w:t>6、递交样品时间及地点：投标人须将样品于2025年07月11日14时00分至14时30分递交至南通市崇川区外环东路12号惠科智创园2楼南侧，样品接收人：孙女士，联系方式：15906295903。</w:t>
      </w:r>
    </w:p>
    <w:p w14:paraId="079B544E">
      <w:pPr>
        <w:pStyle w:val="3"/>
        <w:snapToGrid w:val="0"/>
        <w:spacing w:after="0" w:line="360" w:lineRule="auto"/>
        <w:ind w:firstLine="480"/>
        <w:rPr>
          <w:rFonts w:hint="eastAsia" w:ascii="宋体" w:hAnsi="宋体" w:eastAsia="宋体" w:cs="宋体"/>
          <w:color w:val="000000"/>
          <w:sz w:val="24"/>
          <w:szCs w:val="24"/>
        </w:rPr>
      </w:pPr>
      <w:r>
        <w:rPr>
          <w:rFonts w:hint="eastAsia" w:ascii="宋体" w:hAnsi="宋体" w:eastAsia="宋体" w:cs="宋体"/>
          <w:b/>
          <w:kern w:val="2"/>
          <w:sz w:val="24"/>
          <w:szCs w:val="24"/>
        </w:rPr>
        <w:t>四、交货时间、地点、要求及运输、装卸、安全费用</w:t>
      </w:r>
    </w:p>
    <w:p w14:paraId="6CFDDA2C">
      <w:pPr>
        <w:pStyle w:val="6"/>
        <w:snapToGrid w:val="0"/>
        <w:spacing w:line="360" w:lineRule="auto"/>
        <w:ind w:right="-315" w:rightChars="-150" w:firstLine="540" w:firstLineChars="225"/>
        <w:rPr>
          <w:rFonts w:hint="eastAsia" w:hAnsi="宋体" w:eastAsia="宋体" w:cs="宋体"/>
          <w:color w:val="000000"/>
          <w:sz w:val="24"/>
          <w:szCs w:val="24"/>
        </w:rPr>
      </w:pPr>
      <w:r>
        <w:rPr>
          <w:rFonts w:hint="eastAsia" w:hAnsi="宋体" w:eastAsia="宋体" w:cs="宋体"/>
          <w:color w:val="000000"/>
          <w:sz w:val="24"/>
          <w:szCs w:val="24"/>
        </w:rPr>
        <w:t>1、交货时间：</w:t>
      </w:r>
      <w:r>
        <w:rPr>
          <w:rFonts w:hint="eastAsia" w:hAnsi="宋体" w:eastAsia="宋体" w:cs="宋体"/>
          <w:sz w:val="24"/>
          <w:szCs w:val="24"/>
        </w:rPr>
        <w:t>中标通知公示期结束后30日内交货至采购单位指定地点，且通过采购单位验收</w:t>
      </w:r>
      <w:r>
        <w:rPr>
          <w:rFonts w:hint="eastAsia" w:hAnsi="宋体" w:eastAsia="宋体" w:cs="宋体"/>
          <w:color w:val="000000"/>
          <w:sz w:val="24"/>
          <w:szCs w:val="24"/>
        </w:rPr>
        <w:t>。</w:t>
      </w:r>
      <w:r>
        <w:rPr>
          <w:rFonts w:hint="eastAsia" w:hAnsi="宋体" w:cs="宋体"/>
          <w:color w:val="000000"/>
          <w:sz w:val="24"/>
          <w:szCs w:val="24"/>
        </w:rPr>
        <w:t>成交供应商</w:t>
      </w:r>
      <w:r>
        <w:rPr>
          <w:rFonts w:hint="eastAsia" w:hAnsi="宋体" w:eastAsia="宋体" w:cs="宋体"/>
          <w:color w:val="000000"/>
          <w:sz w:val="24"/>
          <w:szCs w:val="24"/>
        </w:rPr>
        <w:t>逾期交货的，逾期期间每天承担合同总金额5%的违约金，</w:t>
      </w:r>
      <w:r>
        <w:rPr>
          <w:rFonts w:hint="eastAsia" w:hAnsi="宋体" w:eastAsia="宋体" w:cs="宋体"/>
          <w:sz w:val="24"/>
          <w:szCs w:val="24"/>
        </w:rPr>
        <w:t>同时承担采购单位因此遭致的损失费用</w:t>
      </w:r>
      <w:r>
        <w:rPr>
          <w:rFonts w:hint="eastAsia" w:hAnsi="宋体" w:eastAsia="宋体" w:cs="宋体"/>
          <w:color w:val="000000"/>
          <w:sz w:val="24"/>
          <w:szCs w:val="24"/>
        </w:rPr>
        <w:t>。</w:t>
      </w:r>
    </w:p>
    <w:p w14:paraId="61A7BFC5">
      <w:pPr>
        <w:pStyle w:val="6"/>
        <w:snapToGrid w:val="0"/>
        <w:spacing w:line="360" w:lineRule="auto"/>
        <w:ind w:right="-315" w:rightChars="-150" w:firstLine="480" w:firstLineChars="200"/>
        <w:rPr>
          <w:rFonts w:hint="eastAsia" w:hAnsi="宋体" w:eastAsia="宋体" w:cs="宋体"/>
          <w:color w:val="000000"/>
          <w:sz w:val="24"/>
          <w:szCs w:val="24"/>
        </w:rPr>
      </w:pPr>
      <w:r>
        <w:rPr>
          <w:rFonts w:hint="eastAsia" w:hAnsi="宋体" w:eastAsia="宋体" w:cs="宋体"/>
          <w:color w:val="000000"/>
          <w:sz w:val="24"/>
          <w:szCs w:val="24"/>
        </w:rPr>
        <w:t>2、交货地点和要求：</w:t>
      </w:r>
      <w:r>
        <w:rPr>
          <w:rFonts w:hAnsi="宋体" w:eastAsia="宋体" w:cs="宋体"/>
          <w:color w:val="000000"/>
          <w:sz w:val="24"/>
          <w:szCs w:val="24"/>
        </w:rPr>
        <w:t>货物在规定的交付期限内由乙方送达甲方指定的地点且甲方实质签收即可视为货物已交付。乙方应将配发到个人的所有货物以个人为单位先进行独立包装，包装盒（袋）上须注明产品名称、部门、姓名、尺寸、生产日期等明细</w:t>
      </w:r>
      <w:r>
        <w:rPr>
          <w:rFonts w:hint="eastAsia" w:hAnsi="宋体" w:eastAsia="宋体" w:cs="宋体"/>
          <w:color w:val="000000"/>
          <w:sz w:val="24"/>
          <w:szCs w:val="24"/>
        </w:rPr>
        <w:t>。</w:t>
      </w:r>
      <w:r>
        <w:rPr>
          <w:rFonts w:hAnsi="宋体" w:eastAsia="宋体" w:cs="宋体"/>
          <w:color w:val="000000"/>
          <w:sz w:val="24"/>
          <w:szCs w:val="24"/>
        </w:rPr>
        <w:t>然后按部门进行汇总包装，分类包装的费用包含在招标金额中。如未按照包装要求进行包装，甲方有权拒收，由此引发的货损、货差及运费等相关费用由乙方承担。</w:t>
      </w:r>
    </w:p>
    <w:p w14:paraId="7B74D715">
      <w:pPr>
        <w:pStyle w:val="6"/>
        <w:snapToGrid w:val="0"/>
        <w:spacing w:line="360" w:lineRule="auto"/>
        <w:ind w:left="-420" w:leftChars="-200" w:right="-315" w:rightChars="-150" w:firstLine="960" w:firstLineChars="400"/>
        <w:rPr>
          <w:rFonts w:hint="eastAsia" w:hAnsi="宋体" w:eastAsia="宋体" w:cs="宋体"/>
          <w:color w:val="000000"/>
          <w:sz w:val="24"/>
          <w:szCs w:val="24"/>
        </w:rPr>
      </w:pPr>
      <w:r>
        <w:rPr>
          <w:rFonts w:hint="eastAsia" w:hAnsi="宋体" w:eastAsia="宋体" w:cs="宋体"/>
          <w:color w:val="000000"/>
          <w:sz w:val="24"/>
          <w:szCs w:val="24"/>
        </w:rPr>
        <w:t>3、运输、装卸、安全费用：</w:t>
      </w:r>
      <w:r>
        <w:rPr>
          <w:rFonts w:hint="eastAsia" w:hAnsi="宋体" w:eastAsia="宋体" w:cs="宋体"/>
          <w:sz w:val="24"/>
          <w:szCs w:val="24"/>
        </w:rPr>
        <w:t>包含在</w:t>
      </w:r>
      <w:r>
        <w:rPr>
          <w:rFonts w:hint="eastAsia" w:hAnsi="宋体" w:eastAsia="宋体" w:cs="宋体"/>
          <w:bCs/>
          <w:sz w:val="24"/>
          <w:szCs w:val="24"/>
        </w:rPr>
        <w:t>磋商</w:t>
      </w:r>
      <w:r>
        <w:rPr>
          <w:rFonts w:hint="eastAsia" w:hAnsi="宋体" w:eastAsia="宋体" w:cs="宋体"/>
          <w:sz w:val="24"/>
          <w:szCs w:val="24"/>
        </w:rPr>
        <w:t>响应单价和总价中，</w:t>
      </w:r>
      <w:r>
        <w:rPr>
          <w:rFonts w:hint="eastAsia" w:hAnsi="宋体" w:eastAsia="宋体" w:cs="宋体"/>
          <w:color w:val="000000"/>
          <w:sz w:val="24"/>
          <w:szCs w:val="24"/>
        </w:rPr>
        <w:t>成交供应商承担。</w:t>
      </w:r>
    </w:p>
    <w:p w14:paraId="4C6C3DC2">
      <w:pPr>
        <w:pStyle w:val="6"/>
        <w:snapToGrid w:val="0"/>
        <w:spacing w:line="360" w:lineRule="auto"/>
        <w:ind w:right="-315" w:rightChars="-150" w:firstLine="540" w:firstLineChars="225"/>
        <w:rPr>
          <w:rFonts w:hint="eastAsia" w:hAnsi="宋体" w:eastAsia="宋体" w:cs="宋体"/>
          <w:sz w:val="24"/>
          <w:szCs w:val="24"/>
        </w:rPr>
      </w:pPr>
      <w:r>
        <w:rPr>
          <w:rFonts w:hint="eastAsia" w:hAnsi="宋体" w:eastAsia="宋体" w:cs="宋体"/>
          <w:color w:val="000000"/>
          <w:sz w:val="24"/>
          <w:szCs w:val="24"/>
        </w:rPr>
        <w:t>4、</w:t>
      </w:r>
      <w:r>
        <w:rPr>
          <w:rFonts w:hint="eastAsia" w:hAnsi="宋体" w:eastAsia="宋体" w:cs="宋体"/>
          <w:kern w:val="2"/>
          <w:sz w:val="24"/>
          <w:szCs w:val="24"/>
        </w:rPr>
        <w:t>如因采购单位实际需求，供货数量发生变化，成交供应商须无条件满足采购单位需求，确保供货质量；结算时按采购单位验收合格的实际数量进行结算，合同单价不变。</w:t>
      </w:r>
    </w:p>
    <w:p w14:paraId="6F8A2280">
      <w:pPr>
        <w:snapToGrid w:val="0"/>
        <w:spacing w:line="360" w:lineRule="auto"/>
        <w:ind w:firstLine="482" w:firstLineChars="200"/>
        <w:outlineLvl w:val="1"/>
        <w:rPr>
          <w:rFonts w:hint="eastAsia" w:ascii="宋体" w:hAnsi="宋体" w:eastAsia="宋体" w:cs="宋体"/>
          <w:color w:val="000000"/>
          <w:sz w:val="24"/>
          <w:szCs w:val="24"/>
        </w:rPr>
      </w:pPr>
      <w:r>
        <w:rPr>
          <w:rFonts w:hint="eastAsia" w:ascii="宋体" w:hAnsi="宋体" w:eastAsia="宋体" w:cs="宋体"/>
          <w:b/>
          <w:bCs/>
          <w:sz w:val="24"/>
          <w:szCs w:val="24"/>
        </w:rPr>
        <w:t>五、质量要求</w:t>
      </w:r>
      <w:r>
        <w:rPr>
          <w:rFonts w:hint="eastAsia" w:ascii="宋体" w:hAnsi="宋体" w:eastAsia="宋体" w:cs="宋体"/>
          <w:color w:val="000000"/>
          <w:sz w:val="24"/>
          <w:szCs w:val="24"/>
        </w:rPr>
        <w:t xml:space="preserve"> </w:t>
      </w:r>
    </w:p>
    <w:p w14:paraId="215A7F57">
      <w:pPr>
        <w:snapToGrid w:val="0"/>
        <w:spacing w:line="360" w:lineRule="auto"/>
        <w:ind w:firstLine="480" w:firstLineChars="20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1、成交供应商须按照《服装标志、包装、运输和贮存》（FZ/T80002-2016）标准运输和包装。</w:t>
      </w:r>
    </w:p>
    <w:p w14:paraId="27D3E361">
      <w:pPr>
        <w:snapToGrid w:val="0"/>
        <w:spacing w:line="360" w:lineRule="auto"/>
        <w:ind w:firstLine="480" w:firstLineChars="20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2、成交供应商</w:t>
      </w:r>
      <w:r>
        <w:rPr>
          <w:rFonts w:hint="eastAsia" w:ascii="宋体" w:hAnsi="宋体" w:eastAsia="宋体" w:cs="宋体"/>
          <w:color w:val="000000"/>
          <w:sz w:val="24"/>
          <w:szCs w:val="24"/>
          <w:lang w:val="zh-CN"/>
        </w:rPr>
        <w:t>应保证</w:t>
      </w:r>
      <w:r>
        <w:rPr>
          <w:rFonts w:hint="eastAsia" w:ascii="宋体" w:hAnsi="宋体" w:eastAsia="宋体" w:cs="宋体"/>
          <w:color w:val="000000"/>
          <w:sz w:val="24"/>
          <w:szCs w:val="24"/>
        </w:rPr>
        <w:t>所有货物都</w:t>
      </w:r>
      <w:r>
        <w:rPr>
          <w:rFonts w:hint="eastAsia" w:ascii="宋体" w:hAnsi="宋体" w:eastAsia="宋体" w:cs="宋体"/>
          <w:color w:val="000000"/>
          <w:sz w:val="24"/>
          <w:szCs w:val="24"/>
          <w:lang w:val="zh-CN"/>
        </w:rPr>
        <w:t>是全新、未使用过的原厂合格产品，并完全符合</w:t>
      </w:r>
      <w:r>
        <w:rPr>
          <w:rFonts w:hint="eastAsia" w:ascii="宋体" w:hAnsi="宋体" w:eastAsia="宋体" w:cs="宋体"/>
          <w:color w:val="000000"/>
          <w:sz w:val="24"/>
          <w:szCs w:val="24"/>
        </w:rPr>
        <w:t>磋商</w:t>
      </w:r>
      <w:r>
        <w:rPr>
          <w:rFonts w:hint="eastAsia" w:ascii="宋体" w:hAnsi="宋体" w:eastAsia="宋体" w:cs="宋体"/>
          <w:color w:val="000000"/>
          <w:sz w:val="24"/>
          <w:szCs w:val="24"/>
          <w:lang w:val="zh-CN"/>
        </w:rPr>
        <w:t>文件规定的质量、规格、</w:t>
      </w:r>
      <w:r>
        <w:rPr>
          <w:rFonts w:hint="eastAsia" w:ascii="宋体" w:hAnsi="宋体" w:eastAsia="宋体" w:cs="宋体"/>
          <w:color w:val="000000"/>
          <w:sz w:val="24"/>
          <w:szCs w:val="24"/>
        </w:rPr>
        <w:t>参数</w:t>
      </w:r>
      <w:r>
        <w:rPr>
          <w:rFonts w:hint="eastAsia" w:ascii="宋体" w:hAnsi="宋体" w:eastAsia="宋体" w:cs="宋体"/>
          <w:color w:val="000000"/>
          <w:sz w:val="24"/>
          <w:szCs w:val="24"/>
          <w:lang w:val="zh-CN"/>
        </w:rPr>
        <w:t>和</w:t>
      </w:r>
      <w:r>
        <w:rPr>
          <w:rFonts w:hint="eastAsia" w:ascii="宋体" w:hAnsi="宋体" w:eastAsia="宋体" w:cs="宋体"/>
          <w:color w:val="000000"/>
          <w:sz w:val="24"/>
          <w:szCs w:val="24"/>
        </w:rPr>
        <w:t>性能</w:t>
      </w:r>
      <w:r>
        <w:rPr>
          <w:rFonts w:hint="eastAsia" w:ascii="宋体" w:hAnsi="宋体" w:eastAsia="宋体" w:cs="宋体"/>
          <w:color w:val="000000"/>
          <w:sz w:val="24"/>
          <w:szCs w:val="24"/>
          <w:lang w:val="zh-CN"/>
        </w:rPr>
        <w:t>的要求。验收过程中发现产品不符合上述要求的，将视作不合格产品，使用方有权终止合同，造成的一切损失由</w:t>
      </w:r>
      <w:r>
        <w:rPr>
          <w:rFonts w:hint="eastAsia" w:ascii="宋体" w:hAnsi="宋体" w:eastAsia="宋体" w:cs="宋体"/>
          <w:color w:val="000000"/>
          <w:sz w:val="24"/>
          <w:szCs w:val="24"/>
        </w:rPr>
        <w:t>成交供应商</w:t>
      </w:r>
      <w:r>
        <w:rPr>
          <w:rFonts w:hint="eastAsia" w:ascii="宋体" w:hAnsi="宋体" w:eastAsia="宋体" w:cs="宋体"/>
          <w:color w:val="000000"/>
          <w:sz w:val="24"/>
          <w:szCs w:val="24"/>
          <w:lang w:val="zh-CN"/>
        </w:rPr>
        <w:t>承担。</w:t>
      </w:r>
    </w:p>
    <w:p w14:paraId="06C6D19D">
      <w:pPr>
        <w:snapToGrid w:val="0"/>
        <w:spacing w:line="360" w:lineRule="auto"/>
        <w:ind w:firstLine="480" w:firstLineChars="20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3、成交供应商应保证提供的产品不得侵犯第三方专利权、商标权和设计权、版权等。否则，成交供应商应负全部责任，并承担由此引起的一切后果。</w:t>
      </w:r>
    </w:p>
    <w:p w14:paraId="1464318E">
      <w:pPr>
        <w:pStyle w:val="4"/>
        <w:snapToGrid w:val="0"/>
        <w:spacing w:after="0" w:line="360" w:lineRule="auto"/>
        <w:ind w:firstLineChars="200"/>
        <w:textAlignment w:val="baseline"/>
        <w:rPr>
          <w:rFonts w:hint="eastAsia" w:ascii="宋体" w:hAnsi="宋体" w:eastAsia="宋体" w:cs="宋体"/>
        </w:rPr>
      </w:pPr>
      <w:r>
        <w:rPr>
          <w:rFonts w:hint="eastAsia" w:ascii="宋体" w:hAnsi="宋体" w:eastAsia="宋体" w:cs="宋体"/>
          <w:color w:val="000000"/>
        </w:rPr>
        <w:t>4、</w:t>
      </w:r>
      <w:r>
        <w:rPr>
          <w:rFonts w:hint="eastAsia" w:ascii="宋体" w:hAnsi="宋体" w:eastAsia="宋体" w:cs="宋体"/>
          <w:bCs/>
        </w:rPr>
        <w:t>成交产品的技术标准按国家标准执行，无国家标准的，按行业标准执行，无国家和行业标准的，按企业标准执行；但在磋商文件中有特别要求的，按磋商文件中规定的要求执行，并且符合相关法律、法规规定的要求。</w:t>
      </w:r>
    </w:p>
    <w:p w14:paraId="62CDCCEE">
      <w:pPr>
        <w:snapToGrid w:val="0"/>
        <w:spacing w:line="360" w:lineRule="auto"/>
        <w:ind w:firstLine="484" w:firstLineChars="202"/>
        <w:textAlignment w:val="baseline"/>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bCs/>
          <w:sz w:val="24"/>
          <w:szCs w:val="24"/>
        </w:rPr>
        <w:t>成交供应商</w:t>
      </w:r>
      <w:r>
        <w:rPr>
          <w:rFonts w:hint="eastAsia" w:ascii="宋体" w:hAnsi="宋体" w:eastAsia="宋体" w:cs="宋体"/>
          <w:sz w:val="24"/>
          <w:szCs w:val="24"/>
        </w:rPr>
        <w:t>提供的设备必须为原包装，在送交采购单位验收前不得拆箱。</w:t>
      </w:r>
    </w:p>
    <w:p w14:paraId="0C3BB715">
      <w:pPr>
        <w:snapToGrid w:val="0"/>
        <w:spacing w:line="360" w:lineRule="auto"/>
        <w:ind w:firstLine="484" w:firstLineChars="202"/>
        <w:textAlignment w:val="baseline"/>
        <w:rPr>
          <w:rFonts w:hint="eastAsia" w:ascii="宋体" w:hAnsi="宋体" w:eastAsia="宋体" w:cs="宋体"/>
          <w:color w:val="000000"/>
          <w:sz w:val="24"/>
          <w:szCs w:val="24"/>
        </w:rPr>
      </w:pPr>
      <w:r>
        <w:rPr>
          <w:rFonts w:hint="eastAsia" w:ascii="宋体" w:hAnsi="宋体" w:eastAsia="宋体" w:cs="宋体"/>
          <w:sz w:val="24"/>
          <w:szCs w:val="24"/>
        </w:rPr>
        <w:t>6、每一个包装箱内应附有出厂标准配置的有关技术、质量、三包等资料。</w:t>
      </w:r>
    </w:p>
    <w:p w14:paraId="69EB5454">
      <w:pPr>
        <w:snapToGrid w:val="0"/>
        <w:spacing w:line="360" w:lineRule="auto"/>
        <w:ind w:firstLine="484" w:firstLineChars="202"/>
        <w:textAlignment w:val="baseline"/>
        <w:rPr>
          <w:rFonts w:hint="eastAsia" w:ascii="宋体" w:hAnsi="宋体" w:eastAsia="宋体" w:cs="宋体"/>
          <w:sz w:val="24"/>
          <w:szCs w:val="24"/>
        </w:rPr>
      </w:pPr>
      <w:r>
        <w:rPr>
          <w:rFonts w:hint="eastAsia" w:ascii="宋体" w:hAnsi="宋体" w:eastAsia="宋体" w:cs="宋体"/>
          <w:color w:val="000000"/>
          <w:sz w:val="24"/>
          <w:szCs w:val="24"/>
        </w:rPr>
        <w:t>7、成</w:t>
      </w:r>
      <w:r>
        <w:rPr>
          <w:rFonts w:hint="eastAsia" w:ascii="宋体" w:hAnsi="宋体" w:eastAsia="宋体" w:cs="宋体"/>
          <w:sz w:val="24"/>
          <w:szCs w:val="24"/>
        </w:rPr>
        <w:t>交供应商必须保证所提供的产品符合国家相应质量要求，所有产品必须具备产品合格证书</w:t>
      </w:r>
      <w:r>
        <w:rPr>
          <w:rFonts w:hint="eastAsia" w:ascii="宋体" w:hAnsi="宋体" w:eastAsia="宋体" w:cs="宋体"/>
          <w:sz w:val="24"/>
          <w:szCs w:val="24"/>
          <w:lang w:val="zh-CN"/>
        </w:rPr>
        <w:t>和检测报告</w:t>
      </w:r>
      <w:r>
        <w:rPr>
          <w:rFonts w:hint="eastAsia" w:ascii="宋体" w:hAnsi="宋体" w:eastAsia="宋体" w:cs="宋体"/>
          <w:sz w:val="24"/>
          <w:szCs w:val="24"/>
        </w:rPr>
        <w:t>，并随货同行。</w:t>
      </w:r>
    </w:p>
    <w:p w14:paraId="040F0119">
      <w:pPr>
        <w:snapToGrid w:val="0"/>
        <w:spacing w:line="360" w:lineRule="auto"/>
        <w:ind w:firstLine="484" w:firstLineChars="202"/>
        <w:textAlignment w:val="baseline"/>
        <w:rPr>
          <w:rFonts w:hint="eastAsia" w:ascii="宋体" w:hAnsi="宋体" w:eastAsia="宋体" w:cs="宋体"/>
          <w:sz w:val="24"/>
          <w:szCs w:val="24"/>
        </w:rPr>
      </w:pPr>
      <w:r>
        <w:rPr>
          <w:rFonts w:hint="eastAsia" w:ascii="宋体" w:hAnsi="宋体" w:eastAsia="宋体" w:cs="宋体"/>
          <w:sz w:val="24"/>
          <w:szCs w:val="24"/>
        </w:rPr>
        <w:t>8、成交供应商所提供的物资如出现质量问题，应及时且无条件负责更换为合格产品。</w:t>
      </w:r>
    </w:p>
    <w:p w14:paraId="4EA9C2BF">
      <w:pPr>
        <w:snapToGrid w:val="0"/>
        <w:spacing w:line="360" w:lineRule="auto"/>
        <w:ind w:firstLine="484" w:firstLineChars="202"/>
        <w:textAlignment w:val="baseline"/>
        <w:rPr>
          <w:rFonts w:hint="eastAsia" w:ascii="宋体" w:hAnsi="宋体" w:eastAsia="宋体" w:cs="宋体"/>
          <w:sz w:val="24"/>
          <w:szCs w:val="24"/>
        </w:rPr>
      </w:pPr>
      <w:r>
        <w:rPr>
          <w:rFonts w:hint="eastAsia" w:ascii="宋体" w:hAnsi="宋体" w:eastAsia="宋体" w:cs="宋体"/>
          <w:sz w:val="24"/>
          <w:szCs w:val="24"/>
        </w:rPr>
        <w:t>9、成交供应商所供货物最终验收后，应对由于设计、工艺或材料的缺陷而发生的任何不足或故障负责，并承担由此引起的一切后果。</w:t>
      </w:r>
    </w:p>
    <w:p w14:paraId="61A0E8BC">
      <w:pPr>
        <w:snapToGrid w:val="0"/>
        <w:spacing w:line="360" w:lineRule="auto"/>
        <w:ind w:firstLine="484" w:firstLineChars="202"/>
        <w:textAlignment w:val="baseline"/>
        <w:rPr>
          <w:rFonts w:hint="eastAsia" w:ascii="宋体" w:hAnsi="宋体" w:eastAsia="宋体" w:cs="宋体"/>
          <w:sz w:val="24"/>
          <w:szCs w:val="24"/>
        </w:rPr>
      </w:pPr>
      <w:r>
        <w:rPr>
          <w:rFonts w:hint="eastAsia" w:ascii="宋体" w:hAnsi="宋体" w:eastAsia="宋体" w:cs="宋体"/>
          <w:sz w:val="24"/>
          <w:szCs w:val="24"/>
        </w:rPr>
        <w:t>10、</w:t>
      </w:r>
      <w:r>
        <w:rPr>
          <w:rFonts w:hint="eastAsia" w:ascii="宋体" w:hAnsi="宋体" w:eastAsia="宋体" w:cs="宋体"/>
          <w:sz w:val="24"/>
          <w:szCs w:val="24"/>
          <w:lang w:val="zh-CN"/>
        </w:rPr>
        <w:t>在</w:t>
      </w:r>
      <w:r>
        <w:rPr>
          <w:rFonts w:hint="eastAsia" w:ascii="宋体" w:hAnsi="宋体" w:eastAsia="宋体" w:cs="宋体"/>
          <w:sz w:val="24"/>
          <w:szCs w:val="24"/>
        </w:rPr>
        <w:t>质保期</w:t>
      </w:r>
      <w:r>
        <w:rPr>
          <w:rFonts w:hint="eastAsia" w:ascii="宋体" w:hAnsi="宋体" w:eastAsia="宋体" w:cs="宋体"/>
          <w:sz w:val="24"/>
          <w:szCs w:val="24"/>
          <w:lang w:val="zh-CN"/>
        </w:rPr>
        <w:t>内，</w:t>
      </w:r>
      <w:r>
        <w:rPr>
          <w:rFonts w:hint="eastAsia" w:ascii="宋体" w:hAnsi="宋体" w:eastAsia="宋体" w:cs="宋体"/>
          <w:sz w:val="24"/>
          <w:szCs w:val="24"/>
        </w:rPr>
        <w:t>成交供应商</w:t>
      </w:r>
      <w:r>
        <w:rPr>
          <w:rFonts w:hint="eastAsia" w:ascii="宋体" w:hAnsi="宋体" w:eastAsia="宋体" w:cs="宋体"/>
          <w:sz w:val="24"/>
          <w:szCs w:val="24"/>
          <w:lang w:val="zh-CN"/>
        </w:rPr>
        <w:t>应对本项目出现的质量问题负责处理解决并承担一切费用</w:t>
      </w:r>
      <w:r>
        <w:rPr>
          <w:rFonts w:hint="eastAsia" w:ascii="宋体" w:hAnsi="宋体" w:eastAsia="宋体" w:cs="宋体"/>
          <w:sz w:val="24"/>
          <w:szCs w:val="24"/>
        </w:rPr>
        <w:t>。</w:t>
      </w:r>
    </w:p>
    <w:p w14:paraId="750D5BD8">
      <w:pPr>
        <w:snapToGrid w:val="0"/>
        <w:spacing w:line="360" w:lineRule="auto"/>
        <w:ind w:firstLine="484" w:firstLineChars="202"/>
        <w:textAlignment w:val="baseline"/>
        <w:rPr>
          <w:rFonts w:hint="eastAsia" w:ascii="宋体" w:hAnsi="宋体" w:eastAsia="宋体" w:cs="宋体"/>
          <w:sz w:val="24"/>
          <w:szCs w:val="24"/>
        </w:rPr>
      </w:pPr>
      <w:r>
        <w:rPr>
          <w:rFonts w:hint="eastAsia" w:ascii="宋体" w:hAnsi="宋体" w:eastAsia="宋体" w:cs="宋体"/>
          <w:sz w:val="24"/>
          <w:szCs w:val="24"/>
        </w:rPr>
        <w:t>11、成交供应商应采取必要的安全措施保证货物的运输及安装的安全，并承担货物的运输及安装过程中产生的风险。</w:t>
      </w:r>
    </w:p>
    <w:p w14:paraId="1C896EB9">
      <w:pPr>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rPr>
        <w:t>12、全部货物的外包装必须采用防漏、防潮、防震、防锈、防盗和考虑到可能会发生的野蛮装卸等长途运输及多次装卸之需要。如因成交供应商包装不当以及其它原因造成损坏或丢失，应由成交供应商负一切责任。</w:t>
      </w:r>
    </w:p>
    <w:p w14:paraId="5F696F6B">
      <w:pPr>
        <w:snapToGrid w:val="0"/>
        <w:spacing w:line="360" w:lineRule="auto"/>
        <w:ind w:firstLine="460" w:firstLineChars="192"/>
        <w:outlineLvl w:val="1"/>
        <w:rPr>
          <w:rFonts w:hint="eastAsia" w:ascii="宋体" w:hAnsi="宋体" w:eastAsia="宋体" w:cs="宋体"/>
          <w:b/>
          <w:kern w:val="2"/>
          <w:sz w:val="24"/>
          <w:szCs w:val="24"/>
        </w:rPr>
      </w:pPr>
      <w:r>
        <w:rPr>
          <w:rFonts w:hint="eastAsia" w:ascii="宋体" w:hAnsi="宋体" w:eastAsia="宋体" w:cs="宋体"/>
          <w:sz w:val="24"/>
          <w:szCs w:val="24"/>
        </w:rPr>
        <w:t>13、成交供应商应对货物质量、安全全面负责，如成交供应商原因造成质量、安全事故，成交供应商承担一切法律责任。</w:t>
      </w:r>
    </w:p>
    <w:p w14:paraId="6AE44F42">
      <w:pPr>
        <w:snapToGrid w:val="0"/>
        <w:spacing w:line="360" w:lineRule="auto"/>
        <w:ind w:firstLine="463" w:firstLineChars="192"/>
        <w:outlineLvl w:val="1"/>
        <w:rPr>
          <w:rFonts w:hint="eastAsia" w:ascii="宋体" w:hAnsi="宋体" w:eastAsia="宋体" w:cs="宋体"/>
          <w:b/>
          <w:bCs/>
          <w:sz w:val="24"/>
          <w:szCs w:val="24"/>
        </w:rPr>
      </w:pPr>
      <w:r>
        <w:rPr>
          <w:rFonts w:hint="eastAsia" w:ascii="宋体" w:hAnsi="宋体" w:eastAsia="宋体" w:cs="宋体"/>
          <w:b/>
          <w:kern w:val="2"/>
          <w:sz w:val="24"/>
          <w:szCs w:val="24"/>
        </w:rPr>
        <w:t>六、验收</w:t>
      </w:r>
    </w:p>
    <w:p w14:paraId="53C18CB0">
      <w:pPr>
        <w:pStyle w:val="3"/>
        <w:snapToGrid w:val="0"/>
        <w:spacing w:after="0" w:line="360" w:lineRule="auto"/>
        <w:ind w:firstLine="480"/>
        <w:rPr>
          <w:rFonts w:hint="eastAsia" w:ascii="宋体" w:hAnsi="宋体" w:eastAsia="宋体" w:cs="宋体"/>
          <w:sz w:val="24"/>
          <w:szCs w:val="24"/>
        </w:rPr>
      </w:pPr>
      <w:r>
        <w:rPr>
          <w:rFonts w:hint="eastAsia" w:ascii="宋体" w:hAnsi="宋体" w:eastAsia="宋体" w:cs="宋体"/>
          <w:bCs/>
          <w:sz w:val="24"/>
          <w:szCs w:val="24"/>
        </w:rPr>
        <w:t>1、</w:t>
      </w:r>
      <w:r>
        <w:rPr>
          <w:rFonts w:hint="eastAsia" w:ascii="宋体" w:hAnsi="宋体" w:eastAsia="宋体" w:cs="宋体"/>
          <w:color w:val="000000"/>
          <w:sz w:val="24"/>
          <w:szCs w:val="24"/>
        </w:rPr>
        <w:t>成交供应商</w:t>
      </w:r>
      <w:r>
        <w:rPr>
          <w:rFonts w:hint="eastAsia" w:ascii="宋体" w:hAnsi="宋体" w:eastAsia="宋体" w:cs="宋体"/>
          <w:sz w:val="24"/>
          <w:szCs w:val="24"/>
        </w:rPr>
        <w:t>在提供</w:t>
      </w:r>
      <w:r>
        <w:rPr>
          <w:rFonts w:hint="eastAsia" w:ascii="宋体" w:hAnsi="宋体" w:cs="宋体"/>
          <w:sz w:val="24"/>
          <w:szCs w:val="24"/>
        </w:rPr>
        <w:t>货物</w:t>
      </w:r>
      <w:r>
        <w:rPr>
          <w:rFonts w:hint="eastAsia" w:ascii="宋体" w:hAnsi="宋体" w:eastAsia="宋体" w:cs="宋体"/>
          <w:sz w:val="24"/>
          <w:szCs w:val="24"/>
        </w:rPr>
        <w:t>的同时，须根据磋商文件要求，提供具有资质的检测机构出具的每款服装面料的合格的检测报告，检测报告应具有且不限于以下技术指标：纤维含量、纱支、克重、甲醛含量、PH值、异味、可分解致癌芳香胺染料、色牢度、起球等。相关技术指标应达到或优于项目需求及国家纺织品基本安全技术规范的要求。检测费用由成</w:t>
      </w:r>
      <w:r>
        <w:rPr>
          <w:rFonts w:hint="eastAsia" w:ascii="宋体" w:hAnsi="宋体" w:eastAsia="宋体" w:cs="宋体"/>
          <w:color w:val="000000"/>
          <w:sz w:val="24"/>
          <w:szCs w:val="24"/>
        </w:rPr>
        <w:t>交供应商</w:t>
      </w:r>
      <w:r>
        <w:rPr>
          <w:rFonts w:hint="eastAsia" w:ascii="宋体" w:hAnsi="宋体" w:eastAsia="宋体" w:cs="宋体"/>
          <w:sz w:val="24"/>
          <w:szCs w:val="24"/>
        </w:rPr>
        <w:t>自行承担，若无法提供检测报告或提供的检测报告不符合采购单位要求的，采购单位有权终止合同，造成的一切损失由</w:t>
      </w:r>
      <w:r>
        <w:rPr>
          <w:rFonts w:hint="eastAsia" w:ascii="宋体" w:hAnsi="宋体" w:eastAsia="宋体" w:cs="宋体"/>
          <w:color w:val="000000"/>
          <w:sz w:val="24"/>
          <w:szCs w:val="24"/>
        </w:rPr>
        <w:t>成交供应商</w:t>
      </w:r>
      <w:r>
        <w:rPr>
          <w:rFonts w:hint="eastAsia" w:ascii="宋体" w:hAnsi="宋体" w:eastAsia="宋体" w:cs="宋体"/>
          <w:sz w:val="24"/>
          <w:szCs w:val="24"/>
        </w:rPr>
        <w:t>承担。</w:t>
      </w:r>
    </w:p>
    <w:p w14:paraId="433F2390">
      <w:pPr>
        <w:snapToGrid w:val="0"/>
        <w:spacing w:line="360" w:lineRule="auto"/>
        <w:ind w:firstLine="460" w:firstLineChars="192"/>
        <w:rPr>
          <w:rFonts w:hint="eastAsia" w:ascii="宋体" w:hAnsi="宋体" w:eastAsia="宋体" w:cs="宋体"/>
          <w:bCs/>
          <w:sz w:val="24"/>
          <w:szCs w:val="24"/>
        </w:rPr>
      </w:pPr>
      <w:r>
        <w:rPr>
          <w:rFonts w:hint="eastAsia" w:ascii="宋体" w:hAnsi="宋体" w:eastAsia="宋体" w:cs="宋体"/>
          <w:bCs/>
          <w:sz w:val="24"/>
          <w:szCs w:val="24"/>
        </w:rPr>
        <w:t>2、成交供应商所供服装在通过专项验收时，应对由于设计、工艺或材料的缺陷而发生的任何不足或故障负责，并承担由此引起的一切后果。</w:t>
      </w:r>
    </w:p>
    <w:p w14:paraId="68442D2B">
      <w:pPr>
        <w:snapToGrid w:val="0"/>
        <w:spacing w:line="360" w:lineRule="auto"/>
        <w:ind w:firstLine="460" w:firstLineChars="192"/>
        <w:rPr>
          <w:rFonts w:hint="eastAsia" w:ascii="宋体" w:hAnsi="宋体" w:eastAsia="宋体" w:cs="宋体"/>
          <w:bCs/>
          <w:sz w:val="24"/>
          <w:szCs w:val="24"/>
        </w:rPr>
      </w:pPr>
      <w:r>
        <w:rPr>
          <w:rFonts w:hint="eastAsia" w:ascii="宋体" w:hAnsi="宋体" w:eastAsia="宋体" w:cs="宋体"/>
          <w:bCs/>
          <w:sz w:val="24"/>
          <w:szCs w:val="24"/>
        </w:rPr>
        <w:t>3、对于检测不合格的货物，采购单位将无条件退回，成交供应商承担因此涉及到的所有费用。同时采购单位认定为成交供应商自身的原因而导致的该结果，有权单方面解除采购合同。</w:t>
      </w:r>
    </w:p>
    <w:p w14:paraId="1A85AD01">
      <w:pPr>
        <w:snapToGrid w:val="0"/>
        <w:spacing w:line="360" w:lineRule="auto"/>
        <w:ind w:firstLine="460" w:firstLineChars="192"/>
        <w:rPr>
          <w:rFonts w:hint="eastAsia" w:ascii="宋体" w:hAnsi="宋体" w:eastAsia="宋体" w:cs="宋体"/>
          <w:bCs/>
          <w:sz w:val="24"/>
          <w:szCs w:val="24"/>
        </w:rPr>
      </w:pPr>
      <w:r>
        <w:rPr>
          <w:rFonts w:hint="eastAsia" w:ascii="宋体" w:hAnsi="宋体" w:eastAsia="宋体" w:cs="宋体"/>
          <w:bCs/>
          <w:sz w:val="24"/>
          <w:szCs w:val="24"/>
        </w:rPr>
        <w:t>4、验收过程中发现产品不符合要求的，采购单位有权拒收未通过验收的货物，同时采购单位亦有权终止合同，造成的一切损失由成交供应商承担。</w:t>
      </w:r>
    </w:p>
    <w:p w14:paraId="154AC5CC">
      <w:pPr>
        <w:snapToGrid w:val="0"/>
        <w:spacing w:line="360" w:lineRule="auto"/>
        <w:ind w:firstLine="460" w:firstLineChars="192"/>
        <w:rPr>
          <w:sz w:val="24"/>
          <w:szCs w:val="24"/>
        </w:rPr>
      </w:pPr>
      <w:r>
        <w:rPr>
          <w:rFonts w:hint="eastAsia" w:ascii="宋体" w:hAnsi="宋体" w:eastAsia="宋体" w:cs="宋体"/>
          <w:bCs/>
          <w:sz w:val="24"/>
          <w:szCs w:val="24"/>
        </w:rPr>
        <w:t>5、在采购单位收到成交供应商提供的服装后，采购单位有权送南通市市场监督管理局进行抽样检验，如在抽检过程中成交供应商不能到场配合的，将视采购单位为其委托单位配合抽检，并在相关文书签字确认。采购单位认为有必要的情况下，可采取公证抽样取证办法。如检验结果不符合磋商文件要求、国家强制标准，采购单位有权要求其整改，如整改仍不到位，将视作验收不合格，终止双方合同，款项不予支付。因质量检测发生的所有费用由成交供应商承担。</w:t>
      </w:r>
    </w:p>
    <w:p w14:paraId="7092F30E">
      <w:pPr>
        <w:snapToGrid w:val="0"/>
        <w:spacing w:line="360" w:lineRule="auto"/>
        <w:ind w:firstLine="482" w:firstLineChars="200"/>
        <w:outlineLvl w:val="1"/>
        <w:rPr>
          <w:rFonts w:hint="eastAsia" w:ascii="宋体" w:hAnsi="宋体" w:eastAsia="宋体" w:cs="宋体"/>
          <w:bCs/>
          <w:color w:val="000000"/>
          <w:sz w:val="24"/>
          <w:szCs w:val="24"/>
        </w:rPr>
      </w:pPr>
      <w:r>
        <w:rPr>
          <w:rFonts w:hint="eastAsia" w:ascii="宋体" w:hAnsi="宋体" w:eastAsia="宋体" w:cs="宋体"/>
          <w:b/>
          <w:sz w:val="24"/>
          <w:szCs w:val="24"/>
        </w:rPr>
        <w:t xml:space="preserve">七、售后服务要求 </w:t>
      </w:r>
      <w:r>
        <w:rPr>
          <w:rFonts w:hint="eastAsia" w:ascii="宋体" w:hAnsi="宋体" w:eastAsia="宋体" w:cs="宋体"/>
          <w:sz w:val="24"/>
          <w:szCs w:val="24"/>
        </w:rPr>
        <w:t xml:space="preserve"> </w:t>
      </w:r>
    </w:p>
    <w:p w14:paraId="50835905">
      <w:pPr>
        <w:snapToGrid w:val="0"/>
        <w:spacing w:line="360" w:lineRule="auto"/>
        <w:ind w:firstLine="484" w:firstLineChars="202"/>
        <w:rPr>
          <w:rFonts w:hint="eastAsia" w:ascii="宋体" w:hAnsi="宋体" w:eastAsia="宋体" w:cs="宋体"/>
          <w:color w:val="000000"/>
          <w:sz w:val="24"/>
          <w:szCs w:val="24"/>
        </w:rPr>
      </w:pPr>
      <w:r>
        <w:rPr>
          <w:rFonts w:hint="eastAsia" w:ascii="宋体" w:hAnsi="宋体" w:cs="宋体"/>
          <w:color w:val="000000"/>
          <w:sz w:val="24"/>
          <w:szCs w:val="24"/>
        </w:rPr>
        <w:t>1</w:t>
      </w:r>
      <w:r>
        <w:rPr>
          <w:rFonts w:hint="eastAsia" w:ascii="宋体" w:hAnsi="宋体" w:eastAsia="宋体" w:cs="宋体"/>
          <w:color w:val="000000"/>
          <w:sz w:val="24"/>
          <w:szCs w:val="24"/>
        </w:rPr>
        <w:t>、本项目免费质保期：自验收合格之日起1年（12个月）。</w:t>
      </w:r>
    </w:p>
    <w:p w14:paraId="59FAF53F">
      <w:pPr>
        <w:snapToGrid w:val="0"/>
        <w:spacing w:line="360" w:lineRule="auto"/>
        <w:ind w:firstLine="480" w:firstLineChars="200"/>
        <w:rPr>
          <w:rFonts w:hint="eastAsia" w:ascii="宋体" w:hAnsi="宋体" w:eastAsia="宋体" w:cs="宋体"/>
          <w:bCs/>
          <w:sz w:val="24"/>
          <w:szCs w:val="24"/>
        </w:rPr>
      </w:pPr>
      <w:r>
        <w:rPr>
          <w:rFonts w:hint="eastAsia" w:ascii="宋体" w:hAnsi="宋体" w:cs="宋体"/>
          <w:bCs/>
          <w:sz w:val="24"/>
          <w:szCs w:val="24"/>
        </w:rPr>
        <w:t>2</w:t>
      </w:r>
      <w:r>
        <w:rPr>
          <w:rFonts w:hint="eastAsia" w:ascii="宋体" w:hAnsi="宋体" w:eastAsia="宋体" w:cs="宋体"/>
          <w:bCs/>
          <w:sz w:val="24"/>
          <w:szCs w:val="24"/>
        </w:rPr>
        <w:t>、</w:t>
      </w:r>
      <w:r>
        <w:rPr>
          <w:rFonts w:hint="eastAsia" w:ascii="宋体" w:hAnsi="宋体" w:eastAsia="宋体" w:cs="宋体"/>
          <w:color w:val="000000"/>
          <w:sz w:val="24"/>
          <w:szCs w:val="24"/>
        </w:rPr>
        <w:t>成交供应商</w:t>
      </w:r>
      <w:r>
        <w:rPr>
          <w:rFonts w:hint="eastAsia" w:ascii="宋体" w:hAnsi="宋体" w:eastAsia="宋体" w:cs="宋体"/>
          <w:bCs/>
          <w:sz w:val="24"/>
          <w:szCs w:val="24"/>
        </w:rPr>
        <w:t>提供上门量体服务，包含测量 身高、肩宽、袖长、胸围、腰围、臀围等指标，请</w:t>
      </w:r>
      <w:r>
        <w:rPr>
          <w:rFonts w:hint="eastAsia" w:ascii="宋体" w:hAnsi="宋体" w:eastAsia="宋体" w:cs="宋体"/>
          <w:color w:val="000000"/>
          <w:sz w:val="24"/>
          <w:szCs w:val="24"/>
        </w:rPr>
        <w:t>成交供应商</w:t>
      </w:r>
      <w:r>
        <w:rPr>
          <w:rFonts w:hint="eastAsia" w:ascii="宋体" w:hAnsi="宋体" w:eastAsia="宋体" w:cs="宋体"/>
          <w:bCs/>
          <w:sz w:val="24"/>
          <w:szCs w:val="24"/>
        </w:rPr>
        <w:t>配备充足人力，提前与采购单位联系，合理安排时间与路线，尺码统计工作需在合同签订后2天内完成。</w:t>
      </w:r>
    </w:p>
    <w:p w14:paraId="0B9F6953">
      <w:pPr>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color w:val="000000"/>
          <w:sz w:val="24"/>
          <w:szCs w:val="24"/>
        </w:rPr>
        <w:t>3、成交供应商</w:t>
      </w:r>
      <w:r>
        <w:rPr>
          <w:rFonts w:hint="eastAsia" w:ascii="宋体" w:hAnsi="宋体" w:eastAsia="宋体" w:cs="宋体"/>
          <w:bCs/>
          <w:sz w:val="24"/>
          <w:szCs w:val="24"/>
        </w:rPr>
        <w:t>售后服务需确保工作时间（上午8：00-12：00，下午2：00-6：00），有工作人员上班，以确保尺码调换的顺畅性。</w:t>
      </w:r>
    </w:p>
    <w:p w14:paraId="7D985D28">
      <w:pPr>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4、服装到货后，</w:t>
      </w:r>
      <w:r>
        <w:rPr>
          <w:rFonts w:hint="eastAsia" w:ascii="宋体" w:hAnsi="宋体" w:eastAsia="宋体" w:cs="宋体"/>
          <w:color w:val="000000"/>
          <w:sz w:val="24"/>
          <w:szCs w:val="24"/>
        </w:rPr>
        <w:t>采购单位</w:t>
      </w:r>
      <w:r>
        <w:rPr>
          <w:rFonts w:hint="eastAsia" w:ascii="宋体" w:hAnsi="宋体" w:eastAsia="宋体" w:cs="宋体"/>
          <w:bCs/>
          <w:sz w:val="24"/>
          <w:szCs w:val="24"/>
        </w:rPr>
        <w:t>若提出问题，如错、损、漏和达不到质量要求的面料，实行包退、包换、包补足，其费用及损失由成交供应商承担。</w:t>
      </w:r>
    </w:p>
    <w:p w14:paraId="593AB6B9">
      <w:pPr>
        <w:snapToGrid w:val="0"/>
        <w:spacing w:line="360" w:lineRule="auto"/>
        <w:ind w:firstLine="484" w:firstLineChars="202"/>
        <w:rPr>
          <w:rFonts w:hint="eastAsia" w:ascii="宋体" w:hAnsi="宋体" w:eastAsia="宋体" w:cs="宋体"/>
          <w:color w:val="000000"/>
          <w:sz w:val="24"/>
          <w:szCs w:val="24"/>
        </w:rPr>
      </w:pPr>
      <w:r>
        <w:rPr>
          <w:rFonts w:hint="eastAsia" w:ascii="宋体" w:hAnsi="宋体" w:eastAsia="宋体" w:cs="宋体"/>
          <w:color w:val="000000"/>
          <w:sz w:val="24"/>
          <w:szCs w:val="24"/>
        </w:rPr>
        <w:t>5、吊卡未剪、未穿过、未洗涤过的服装尺码不合的，成交供应商须免费更换，</w:t>
      </w:r>
      <w:r>
        <w:rPr>
          <w:rFonts w:hint="eastAsia" w:ascii="宋体" w:hAnsi="宋体" w:eastAsia="宋体" w:cs="宋体"/>
          <w:bCs/>
          <w:sz w:val="24"/>
          <w:szCs w:val="24"/>
        </w:rPr>
        <w:t>直到满意为止</w:t>
      </w:r>
      <w:r>
        <w:rPr>
          <w:rFonts w:hint="eastAsia" w:ascii="宋体" w:hAnsi="宋体" w:eastAsia="宋体" w:cs="宋体"/>
          <w:color w:val="000000"/>
          <w:sz w:val="24"/>
          <w:szCs w:val="24"/>
        </w:rPr>
        <w:t>。</w:t>
      </w:r>
    </w:p>
    <w:p w14:paraId="3C80C654">
      <w:pPr>
        <w:snapToGrid w:val="0"/>
        <w:spacing w:line="360" w:lineRule="auto"/>
        <w:ind w:firstLine="484" w:firstLineChars="202"/>
        <w:rPr>
          <w:rFonts w:hint="eastAsia" w:ascii="宋体" w:hAnsi="宋体" w:eastAsia="宋体" w:cs="宋体"/>
          <w:color w:val="000000"/>
          <w:sz w:val="24"/>
          <w:szCs w:val="24"/>
        </w:rPr>
      </w:pPr>
      <w:r>
        <w:rPr>
          <w:rFonts w:hint="eastAsia" w:ascii="宋体" w:hAnsi="宋体" w:eastAsia="宋体" w:cs="宋体"/>
          <w:color w:val="000000"/>
          <w:sz w:val="24"/>
          <w:szCs w:val="24"/>
        </w:rPr>
        <w:t>6、采购单位打开包装时，如发现服装严重开线、变形、色染不均匀、有明显破损和油渍的，成交供应商须免费更换，</w:t>
      </w:r>
      <w:r>
        <w:rPr>
          <w:rFonts w:hint="eastAsia" w:ascii="宋体" w:hAnsi="宋体" w:eastAsia="宋体" w:cs="宋体"/>
          <w:bCs/>
          <w:sz w:val="24"/>
          <w:szCs w:val="24"/>
        </w:rPr>
        <w:t>直到满意为止</w:t>
      </w:r>
      <w:r>
        <w:rPr>
          <w:rFonts w:hint="eastAsia" w:ascii="宋体" w:hAnsi="宋体" w:eastAsia="宋体" w:cs="宋体"/>
          <w:color w:val="000000"/>
          <w:sz w:val="24"/>
          <w:szCs w:val="24"/>
        </w:rPr>
        <w:t>。</w:t>
      </w:r>
    </w:p>
    <w:p w14:paraId="3345464E">
      <w:pPr>
        <w:snapToGrid w:val="0"/>
        <w:spacing w:line="360" w:lineRule="auto"/>
        <w:ind w:firstLine="484" w:firstLineChars="202"/>
      </w:pPr>
      <w:r>
        <w:rPr>
          <w:rFonts w:hint="eastAsia" w:ascii="宋体" w:hAnsi="宋体" w:eastAsia="宋体" w:cs="宋体"/>
          <w:color w:val="000000"/>
          <w:sz w:val="24"/>
          <w:szCs w:val="24"/>
        </w:rPr>
        <w:t>7、采购单位人员第一次正常洗涤时，如发现服装严重脱色、变形，成交供应商须免费更换，</w:t>
      </w:r>
      <w:r>
        <w:rPr>
          <w:rFonts w:hint="eastAsia" w:ascii="宋体" w:hAnsi="宋体" w:eastAsia="宋体" w:cs="宋体"/>
          <w:bCs/>
          <w:sz w:val="24"/>
          <w:szCs w:val="24"/>
        </w:rPr>
        <w:t>直到满意为止</w:t>
      </w:r>
      <w:r>
        <w:rPr>
          <w:rFonts w:hint="eastAsia" w:ascii="宋体" w:hAnsi="宋体" w:eastAsia="宋体" w:cs="宋体"/>
          <w:color w:val="000000"/>
          <w:sz w:val="24"/>
          <w:szCs w:val="24"/>
        </w:rPr>
        <w:t>。</w:t>
      </w:r>
    </w:p>
    <w:p w14:paraId="03A6E43F">
      <w:pPr>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color w:val="000000"/>
          <w:sz w:val="24"/>
          <w:szCs w:val="24"/>
        </w:rPr>
        <w:t>8、采购单位</w:t>
      </w:r>
      <w:r>
        <w:rPr>
          <w:rFonts w:hint="eastAsia" w:ascii="宋体" w:hAnsi="宋体" w:eastAsia="宋体" w:cs="宋体"/>
          <w:bCs/>
          <w:sz w:val="24"/>
          <w:szCs w:val="24"/>
        </w:rPr>
        <w:t>如有人员变动，需新增服装时，成交供应商应再次派人员前来量体，并确保新做服装与原做服装颜色、品质保持一致。</w:t>
      </w:r>
    </w:p>
    <w:p w14:paraId="348F0A6C">
      <w:pPr>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9、所供服装的返修率可控制在5%以内。如有穿着不适合，成交供应商无条件修改，直到满意为止，返修交货时间须控制在15天以内。</w:t>
      </w:r>
    </w:p>
    <w:p w14:paraId="6E8F9A49">
      <w:pPr>
        <w:snapToGrid w:val="0"/>
        <w:spacing w:line="360" w:lineRule="auto"/>
        <w:ind w:firstLine="482" w:firstLineChars="200"/>
        <w:textAlignment w:val="baseline"/>
        <w:rPr>
          <w:rFonts w:hint="eastAsia" w:ascii="宋体" w:hAnsi="宋体" w:eastAsia="宋体" w:cs="宋体"/>
          <w:sz w:val="24"/>
          <w:szCs w:val="24"/>
        </w:rPr>
      </w:pPr>
      <w:r>
        <w:rPr>
          <w:rFonts w:hint="eastAsia" w:ascii="宋体" w:hAnsi="宋体" w:eastAsia="宋体" w:cs="宋体"/>
          <w:b/>
          <w:bCs/>
          <w:sz w:val="24"/>
          <w:szCs w:val="24"/>
        </w:rPr>
        <w:t>八、付款方式</w:t>
      </w:r>
    </w:p>
    <w:p w14:paraId="161EE68C">
      <w:pPr>
        <w:adjustRightInd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签订合同后采购人支付30%的合同款。中标人供货完成且通过采购人验收后，支付至合同金额（按照实际采购人数结算总额）的100%。（成交人须与南通市交通运输综合行政执法支队和南通市通州区交通运输综合执法大队分别签订合同、根据成交单价与实际采购数量与各采购单位按实结算。供应商需提供符合规定的完税发票。）</w:t>
      </w:r>
    </w:p>
    <w:p w14:paraId="3A7F3E6F">
      <w:pPr>
        <w:adjustRightInd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（2）由采购人负责结算，在付款前，供应商必须开具全额发票给采购人（附详细清单）。</w:t>
      </w:r>
    </w:p>
    <w:p w14:paraId="3E8AFD4B">
      <w:p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九、履约保证金</w:t>
      </w:r>
    </w:p>
    <w:p w14:paraId="7523FF55">
      <w:pPr>
        <w:snapToGrid w:val="0"/>
        <w:spacing w:line="360" w:lineRule="auto"/>
        <w:ind w:firstLine="480" w:firstLineChars="200"/>
        <w:outlineLvl w:val="1"/>
        <w:rPr>
          <w:rFonts w:hint="eastAsia" w:ascii="宋体" w:hAnsi="宋体" w:eastAsia="宋体" w:cs="宋体"/>
          <w:sz w:val="24"/>
          <w:szCs w:val="24"/>
        </w:rPr>
      </w:pPr>
      <w:r>
        <w:rPr>
          <w:rFonts w:hint="eastAsia" w:ascii="宋体" w:hAnsi="宋体" w:eastAsia="宋体" w:cs="宋体"/>
          <w:sz w:val="24"/>
          <w:szCs w:val="24"/>
        </w:rPr>
        <w:t>本项目不涉及</w:t>
      </w:r>
    </w:p>
    <w:p w14:paraId="01075EF6">
      <w:pPr>
        <w:numPr>
          <w:ilvl w:val="0"/>
          <w:numId w:val="3"/>
        </w:numPr>
        <w:snapToGrid w:val="0"/>
        <w:spacing w:line="360" w:lineRule="auto"/>
        <w:ind w:firstLine="482" w:firstLineChars="200"/>
        <w:jc w:val="left"/>
        <w:textAlignment w:val="baseline"/>
        <w:rPr>
          <w:rFonts w:hint="eastAsia" w:ascii="宋体" w:hAnsi="宋体" w:eastAsia="宋体" w:cs="宋体"/>
          <w:b/>
          <w:bCs/>
          <w:sz w:val="24"/>
          <w:szCs w:val="24"/>
        </w:rPr>
      </w:pPr>
      <w:r>
        <w:rPr>
          <w:rFonts w:hint="eastAsia" w:ascii="宋体" w:hAnsi="宋体" w:eastAsia="宋体" w:cs="宋体"/>
          <w:b/>
          <w:bCs/>
          <w:sz w:val="24"/>
          <w:szCs w:val="24"/>
        </w:rPr>
        <w:t>磋商报价</w:t>
      </w:r>
    </w:p>
    <w:p w14:paraId="12D2B93E">
      <w:pPr>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bCs/>
          <w:sz w:val="24"/>
          <w:szCs w:val="24"/>
        </w:rPr>
        <w:t>1、本项目磋商报价为固定单价报价，该价格一次性包定。</w:t>
      </w:r>
      <w:r>
        <w:rPr>
          <w:rFonts w:hint="eastAsia" w:ascii="宋体" w:hAnsi="宋体" w:eastAsia="宋体" w:cs="宋体"/>
          <w:sz w:val="24"/>
          <w:szCs w:val="24"/>
        </w:rPr>
        <w:t>磋商报价（以人民币计价）应包括但不限于所有与本项目实施有关的所有费用，包括所有的设计费、开模费、制版费、面料费、辅料费、上门服务费（含量体、取衣、送衣）、加工制作费、保管费、包装费、更换及返工费、机械费、人工费、检测费、运输到指定地点的装运费用（含装卸力资）、成品保护费、原材料涨价风险费、售后服务费、办公设备费、管理费、利润、税金、政策性文件规定及为达到采购人要求所包含的所有风险、责任等各项费用。各供应商应根据磋商文件要求，并充分考虑市场，自行核算成本报价。</w:t>
      </w:r>
    </w:p>
    <w:p w14:paraId="39194A01">
      <w:pPr>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rPr>
        <w:t xml:space="preserve">2、本项目报价采用单价固定、总价可调的方式进行投标报价，报价时不得修改数量，实际供货数量如有调整，按实结算。同时，中标单位的中标单价在合同实施期间不因市场变化因素而变动。磋商响应供应商应按照磋商文件中采购项目服务要求规定的内容、责任范围进行报价。磋商响应报价应包含履行合同所有相关服务所需的全部费用。磋商响应报价中不得缺漏磋商文件所要求的内容，否则，被视为包含在磋商报价中。 </w:t>
      </w:r>
    </w:p>
    <w:p w14:paraId="1A38DC79">
      <w:pPr>
        <w:snapToGrid w:val="0"/>
        <w:spacing w:line="360" w:lineRule="auto"/>
        <w:ind w:firstLine="482" w:firstLineChars="200"/>
        <w:textAlignment w:val="baseline"/>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十一、其他</w:t>
      </w:r>
    </w:p>
    <w:p w14:paraId="126ED07F">
      <w:pPr>
        <w:pStyle w:val="2"/>
        <w:keepNext w:val="0"/>
        <w:keepLines w:val="0"/>
        <w:snapToGrid w:val="0"/>
        <w:spacing w:before="0" w:after="0"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其他未尽事宜按磋商文件相关规定执行。如磋商文件或合同文件未提及，则由双方协商解决处理。</w:t>
      </w:r>
    </w:p>
    <w:p w14:paraId="40415700">
      <w:pPr>
        <w:snapToGrid w:val="0"/>
        <w:spacing w:line="360" w:lineRule="auto"/>
        <w:ind w:firstLine="482" w:firstLineChars="200"/>
        <w:rPr>
          <w:rFonts w:hint="eastAsia" w:ascii="宋体" w:hAnsi="宋体" w:eastAsia="宋体" w:cs="宋体"/>
          <w:b/>
          <w:sz w:val="24"/>
          <w:szCs w:val="24"/>
        </w:rPr>
      </w:pPr>
    </w:p>
    <w:p w14:paraId="25B3840D">
      <w:pPr>
        <w:snapToGrid w:val="0"/>
        <w:spacing w:line="360" w:lineRule="auto"/>
        <w:ind w:firstLine="482" w:firstLineChars="200"/>
        <w:rPr>
          <w:rFonts w:hint="eastAsia" w:ascii="宋体" w:hAnsi="宋体" w:eastAsia="宋体" w:cs="宋体"/>
          <w:b/>
          <w:sz w:val="24"/>
          <w:szCs w:val="24"/>
        </w:rPr>
      </w:pPr>
    </w:p>
    <w:p w14:paraId="72DDB385">
      <w:pPr>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本《项目需求》是合同的重要组成部分，如成交供应商在响应文件中的承诺等条件优于本《项目需求》，则按成交供应商的响应文件执行。</w:t>
      </w:r>
    </w:p>
    <w:p w14:paraId="3E3CFC7D">
      <w:pPr>
        <w:snapToGrid w:val="0"/>
        <w:spacing w:line="360" w:lineRule="auto"/>
        <w:ind w:firstLine="480"/>
        <w:rPr>
          <w:rFonts w:hint="eastAsia" w:ascii="宋体" w:hAnsi="宋体" w:eastAsia="宋体" w:cs="宋体"/>
          <w:sz w:val="24"/>
          <w:szCs w:val="24"/>
        </w:rPr>
      </w:pPr>
    </w:p>
    <w:p w14:paraId="44AF14F6">
      <w:pPr>
        <w:spacing w:line="360" w:lineRule="auto"/>
        <w:rPr>
          <w:rFonts w:hint="eastAsia" w:ascii="宋体" w:hAnsi="宋体" w:eastAsia="宋体" w:cs="宋体"/>
          <w:b/>
          <w:bCs/>
          <w:w w:val="80"/>
          <w:kern w:val="2"/>
          <w:sz w:val="24"/>
          <w:szCs w:val="24"/>
        </w:rPr>
      </w:pPr>
      <w:r>
        <w:rPr>
          <w:rFonts w:hint="eastAsia" w:ascii="宋体" w:hAnsi="宋体" w:eastAsia="宋体" w:cs="宋体"/>
          <w:b/>
          <w:bCs/>
          <w:w w:val="80"/>
          <w:kern w:val="2"/>
          <w:sz w:val="24"/>
          <w:szCs w:val="24"/>
        </w:rPr>
        <w:br w:type="page"/>
      </w:r>
    </w:p>
    <w:p w14:paraId="0BC3FB23">
      <w:pPr>
        <w:snapToGrid w:val="0"/>
        <w:spacing w:before="240" w:line="360" w:lineRule="auto"/>
        <w:ind w:firstLine="707" w:firstLineChars="200"/>
        <w:jc w:val="center"/>
        <w:rPr>
          <w:rFonts w:hint="eastAsia" w:ascii="宋体" w:hAnsi="宋体" w:eastAsia="宋体" w:cs="宋体"/>
          <w:b/>
          <w:bCs/>
          <w:w w:val="80"/>
          <w:kern w:val="2"/>
          <w:sz w:val="44"/>
          <w:szCs w:val="44"/>
        </w:rPr>
      </w:pPr>
      <w:r>
        <w:rPr>
          <w:rFonts w:hint="eastAsia" w:ascii="宋体" w:hAnsi="宋体" w:eastAsia="宋体" w:cs="宋体"/>
          <w:b/>
          <w:bCs/>
          <w:w w:val="80"/>
          <w:kern w:val="2"/>
          <w:sz w:val="44"/>
          <w:szCs w:val="44"/>
        </w:rPr>
        <w:t>第四</w:t>
      </w:r>
      <w:bookmarkStart w:id="91" w:name="_Toc37322565"/>
      <w:bookmarkStart w:id="92" w:name="_Toc85627670"/>
      <w:bookmarkStart w:id="93" w:name="_Toc43217893"/>
      <w:bookmarkStart w:id="94" w:name="_Toc182848996"/>
      <w:bookmarkStart w:id="95" w:name="_Toc38121794"/>
      <w:r>
        <w:rPr>
          <w:rFonts w:hint="eastAsia" w:ascii="宋体" w:hAnsi="宋体" w:eastAsia="宋体" w:cs="宋体"/>
          <w:b/>
          <w:bCs/>
          <w:w w:val="80"/>
          <w:kern w:val="2"/>
          <w:sz w:val="44"/>
          <w:szCs w:val="44"/>
        </w:rPr>
        <w:t xml:space="preserve">部分 </w:t>
      </w:r>
      <w:bookmarkEnd w:id="91"/>
      <w:bookmarkEnd w:id="92"/>
      <w:bookmarkEnd w:id="93"/>
      <w:bookmarkEnd w:id="94"/>
      <w:bookmarkEnd w:id="95"/>
      <w:r>
        <w:rPr>
          <w:rFonts w:hint="eastAsia" w:ascii="宋体" w:hAnsi="宋体" w:eastAsia="宋体" w:cs="宋体"/>
          <w:b/>
          <w:bCs/>
          <w:w w:val="80"/>
          <w:kern w:val="2"/>
          <w:sz w:val="44"/>
          <w:szCs w:val="44"/>
        </w:rPr>
        <w:t>评审方法和评审标准</w:t>
      </w:r>
    </w:p>
    <w:p w14:paraId="7886120D">
      <w:pPr>
        <w:adjustRightInd w:val="0"/>
        <w:snapToGrid w:val="0"/>
        <w:spacing w:line="360" w:lineRule="auto"/>
        <w:ind w:firstLine="482" w:firstLineChars="200"/>
        <w:jc w:val="left"/>
        <w:textAlignment w:val="baseline"/>
        <w:rPr>
          <w:rFonts w:hint="eastAsia" w:ascii="宋体" w:hAnsi="宋体" w:eastAsia="宋体" w:cs="宋体"/>
          <w:b/>
          <w:sz w:val="24"/>
        </w:rPr>
      </w:pPr>
      <w:bookmarkStart w:id="96" w:name="OLE_LINK2"/>
      <w:bookmarkStart w:id="97" w:name="OLE_LINK1"/>
      <w:r>
        <w:rPr>
          <w:rFonts w:hint="eastAsia" w:ascii="宋体" w:hAnsi="宋体" w:eastAsia="宋体" w:cs="宋体"/>
          <w:b/>
          <w:sz w:val="24"/>
        </w:rPr>
        <w:t>一、磋商方式</w:t>
      </w:r>
    </w:p>
    <w:p w14:paraId="4A6F8099">
      <w:pPr>
        <w:tabs>
          <w:tab w:val="left" w:pos="3585"/>
        </w:tabs>
        <w:adjustRightInd w:val="0"/>
        <w:snapToGrid w:val="0"/>
        <w:spacing w:line="360" w:lineRule="auto"/>
        <w:ind w:firstLine="460" w:firstLineChars="192"/>
        <w:rPr>
          <w:rFonts w:hint="eastAsia" w:ascii="宋体" w:hAnsi="宋体" w:eastAsia="宋体" w:cs="宋体"/>
          <w:sz w:val="24"/>
        </w:rPr>
      </w:pPr>
      <w:r>
        <w:rPr>
          <w:rFonts w:hint="eastAsia" w:ascii="宋体" w:hAnsi="宋体" w:eastAsia="宋体" w:cs="宋体"/>
          <w:sz w:val="24"/>
        </w:rPr>
        <w:t>项目磋商活动模式：本项目采用现场开标模式。</w:t>
      </w:r>
    </w:p>
    <w:p w14:paraId="32A53B6F">
      <w:pPr>
        <w:adjustRightInd w:val="0"/>
        <w:snapToGrid w:val="0"/>
        <w:spacing w:line="360" w:lineRule="auto"/>
        <w:ind w:firstLine="482" w:firstLineChars="200"/>
        <w:jc w:val="left"/>
        <w:textAlignment w:val="baseline"/>
        <w:rPr>
          <w:rFonts w:hint="eastAsia" w:ascii="宋体" w:hAnsi="宋体" w:eastAsia="宋体" w:cs="宋体"/>
          <w:b/>
          <w:sz w:val="24"/>
        </w:rPr>
      </w:pPr>
      <w:r>
        <w:rPr>
          <w:rFonts w:hint="eastAsia" w:ascii="宋体" w:hAnsi="宋体" w:eastAsia="宋体" w:cs="宋体"/>
          <w:b/>
          <w:sz w:val="24"/>
        </w:rPr>
        <w:t>二、磋商程序及评审方法和标准</w:t>
      </w:r>
    </w:p>
    <w:p w14:paraId="07E5E09A">
      <w:pPr>
        <w:adjustRightInd w:val="0"/>
        <w:snapToGrid w:val="0"/>
        <w:spacing w:line="360" w:lineRule="auto"/>
        <w:ind w:firstLine="592" w:firstLineChars="247"/>
        <w:rPr>
          <w:rFonts w:hint="eastAsia" w:ascii="宋体" w:hAnsi="宋体" w:eastAsia="宋体" w:cs="宋体"/>
          <w:bCs/>
          <w:sz w:val="24"/>
        </w:rPr>
      </w:pPr>
      <w:r>
        <w:rPr>
          <w:rFonts w:hint="eastAsia" w:ascii="宋体" w:hAnsi="宋体" w:eastAsia="宋体" w:cs="宋体"/>
          <w:bCs/>
          <w:sz w:val="24"/>
        </w:rPr>
        <w:t>评审方法：综合评分法，经磋商确定最终采购需求和提交最后报价的供应商后，由磋商小组采用综合评分法对提交最后报价的供应商的响应文件和最后报价进行综合评分。</w:t>
      </w:r>
    </w:p>
    <w:p w14:paraId="18E62E2B">
      <w:pPr>
        <w:adjustRightInd w:val="0"/>
        <w:snapToGrid w:val="0"/>
        <w:spacing w:line="360" w:lineRule="auto"/>
        <w:ind w:firstLine="600" w:firstLineChars="250"/>
        <w:rPr>
          <w:rFonts w:hint="eastAsia" w:ascii="宋体" w:hAnsi="宋体" w:eastAsia="宋体" w:cs="宋体"/>
          <w:bCs/>
          <w:sz w:val="24"/>
        </w:rPr>
      </w:pPr>
      <w:r>
        <w:rPr>
          <w:rFonts w:hint="eastAsia" w:ascii="宋体" w:hAnsi="宋体" w:eastAsia="宋体" w:cs="宋体"/>
          <w:bCs/>
          <w:sz w:val="24"/>
        </w:rPr>
        <w:t xml:space="preserve">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  </w:t>
      </w:r>
    </w:p>
    <w:p w14:paraId="5185E044">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商务技术部分评审结束后进入最后报价环节，最后报价将作为评审价。在代理机构通知最终报价后，所有的响应供应商须在15分钟内填写并提交最后报价，未在规定时间内提交最后报价的，视作无效响应处理。</w:t>
      </w:r>
    </w:p>
    <w:p w14:paraId="17F976D5">
      <w:pPr>
        <w:tabs>
          <w:tab w:val="left" w:pos="900"/>
        </w:tabs>
        <w:adjustRightInd w:val="0"/>
        <w:snapToGrid w:val="0"/>
        <w:spacing w:line="360" w:lineRule="auto"/>
        <w:ind w:firstLine="477" w:firstLineChars="199"/>
        <w:rPr>
          <w:rFonts w:hint="eastAsia" w:ascii="宋体" w:hAnsi="宋体" w:eastAsia="宋体" w:cs="宋体"/>
          <w:bCs/>
          <w:sz w:val="24"/>
        </w:rPr>
      </w:pPr>
      <w:r>
        <w:rPr>
          <w:rFonts w:hint="eastAsia" w:ascii="宋体" w:hAnsi="宋体" w:eastAsia="宋体" w:cs="宋体"/>
          <w:bCs/>
          <w:sz w:val="24"/>
        </w:rPr>
        <w:t>最后报价是供应商响应文件的有效组成部分，提交最后报价的供应商不得少于3家。只有市场竞争不充分的科研项目,以及需要扶持的科技成果和政府购买服务项目 (含政府和社会资本合作项目),在采购过程中符合要求的供应商(社会资本)只有2家的竞争性磋商采购活动可以继续进行。采购过程中符合要求的供应商(社会资本)只有1家的,采购单位(项目实施机构)或者采购代理机构应当终止竞争性磋商采购活动，发布项目终止公告并说明原因,重新开展采购活动。</w:t>
      </w:r>
    </w:p>
    <w:p w14:paraId="585092F5">
      <w:pPr>
        <w:adjustRightInd w:val="0"/>
        <w:snapToGrid w:val="0"/>
        <w:spacing w:line="360" w:lineRule="auto"/>
        <w:ind w:firstLine="555"/>
        <w:rPr>
          <w:rFonts w:hint="eastAsia" w:ascii="宋体" w:hAnsi="宋体" w:eastAsia="宋体" w:cs="宋体"/>
          <w:sz w:val="24"/>
        </w:rPr>
      </w:pPr>
      <w:r>
        <w:rPr>
          <w:rFonts w:hint="eastAsia" w:ascii="宋体" w:hAnsi="宋体" w:eastAsia="宋体" w:cs="宋体"/>
          <w:sz w:val="24"/>
        </w:rPr>
        <w:t>供应商商务技术部分和价格部分的合计分值，为该供应商的评审总得分。</w:t>
      </w:r>
    </w:p>
    <w:p w14:paraId="2622A915">
      <w:pPr>
        <w:adjustRightInd w:val="0"/>
        <w:snapToGrid w:val="0"/>
        <w:spacing w:line="360" w:lineRule="auto"/>
        <w:ind w:firstLine="555"/>
      </w:pPr>
      <w:r>
        <w:rPr>
          <w:rFonts w:hint="eastAsia" w:ascii="宋体" w:hAnsi="宋体" w:eastAsia="宋体" w:cs="宋体"/>
          <w:bCs/>
          <w:sz w:val="24"/>
        </w:rPr>
        <w:t>评标结果按评审总得分由高到低顺序排列。总得分相同的，按最终报价由低到高顺序排列，总得分和最终报价均相同的并列，磋商响应文件满足磋商文件全部实质性要求，且按照评审因素的量化指标评审得分最高的供应商为成交候选人。若仍相同的，则由采购单位代表采取现场抽签的方式确定成交候选人。</w:t>
      </w:r>
    </w:p>
    <w:p w14:paraId="1ABD4992">
      <w:pPr>
        <w:adjustRightInd w:val="0"/>
        <w:snapToGrid w:val="0"/>
        <w:spacing w:line="360" w:lineRule="auto"/>
        <w:ind w:firstLine="555"/>
        <w:rPr>
          <w:rFonts w:hint="eastAsia" w:ascii="宋体" w:hAnsi="宋体" w:eastAsia="宋体" w:cs="宋体"/>
          <w:sz w:val="24"/>
        </w:rPr>
      </w:pPr>
      <w:r>
        <w:rPr>
          <w:rFonts w:hint="eastAsia" w:ascii="宋体" w:hAnsi="宋体" w:eastAsia="宋体" w:cs="宋体"/>
          <w:sz w:val="24"/>
        </w:rPr>
        <w:t>评委在认真审阅响应文件的基础上，根据各响应文件的响应程度独立评判，不得统一打分。</w:t>
      </w:r>
    </w:p>
    <w:p w14:paraId="6ABC2FB1">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（一）采购单位（代表）对供应商资格进行审查。</w:t>
      </w:r>
    </w:p>
    <w:p w14:paraId="507E8858">
      <w:pPr>
        <w:adjustRightInd w:val="0"/>
        <w:snapToGrid w:val="0"/>
        <w:spacing w:line="360" w:lineRule="auto"/>
        <w:ind w:firstLine="494" w:firstLineChars="206"/>
        <w:rPr>
          <w:rFonts w:hint="eastAsia" w:ascii="宋体" w:hAnsi="宋体" w:eastAsia="宋体" w:cs="宋体"/>
          <w:sz w:val="24"/>
        </w:rPr>
      </w:pPr>
      <w:r>
        <w:rPr>
          <w:rFonts w:hint="eastAsia" w:ascii="宋体" w:hAnsi="宋体" w:eastAsia="宋体" w:cs="宋体"/>
          <w:sz w:val="24"/>
        </w:rPr>
        <w:t>供应商资格不合格的，其响应文件判定为无效响应文件。</w:t>
      </w:r>
    </w:p>
    <w:p w14:paraId="21417927">
      <w:pPr>
        <w:adjustRightInd w:val="0"/>
        <w:snapToGrid w:val="0"/>
        <w:spacing w:line="360" w:lineRule="auto"/>
        <w:ind w:firstLine="482" w:firstLineChars="200"/>
        <w:jc w:val="left"/>
        <w:rPr>
          <w:rFonts w:hint="eastAsia" w:ascii="宋体" w:hAnsi="宋体" w:eastAsia="宋体" w:cs="宋体"/>
          <w:b/>
          <w:sz w:val="24"/>
        </w:rPr>
      </w:pPr>
      <w:r>
        <w:rPr>
          <w:rFonts w:hint="eastAsia" w:ascii="宋体" w:hAnsi="宋体" w:eastAsia="宋体" w:cs="宋体"/>
          <w:b/>
          <w:sz w:val="24"/>
        </w:rPr>
        <w:t>（二）磋商小组对符合资格供应商的响应文件进行符合性审查。</w:t>
      </w:r>
    </w:p>
    <w:p w14:paraId="67D19732">
      <w:pPr>
        <w:adjustRightInd w:val="0"/>
        <w:snapToGrid w:val="0"/>
        <w:spacing w:line="360" w:lineRule="auto"/>
        <w:ind w:firstLine="494" w:firstLineChars="206"/>
        <w:rPr>
          <w:rFonts w:hint="eastAsia" w:ascii="宋体" w:hAnsi="宋体" w:eastAsia="宋体" w:cs="宋体"/>
          <w:sz w:val="24"/>
        </w:rPr>
      </w:pPr>
      <w:r>
        <w:rPr>
          <w:rFonts w:hint="eastAsia" w:ascii="宋体" w:hAnsi="宋体" w:eastAsia="宋体" w:cs="宋体"/>
          <w:sz w:val="24"/>
        </w:rPr>
        <w:t xml:space="preserve">未通过符合性审查的响应文件，将被判为不满足磋商文件实质性要求。 </w:t>
      </w:r>
    </w:p>
    <w:p w14:paraId="6EA244AF">
      <w:pPr>
        <w:numPr>
          <w:ilvl w:val="0"/>
          <w:numId w:val="4"/>
        </w:numPr>
        <w:adjustRightInd w:val="0"/>
        <w:snapToGrid w:val="0"/>
        <w:spacing w:line="360" w:lineRule="auto"/>
        <w:ind w:firstLine="496" w:firstLineChars="206"/>
        <w:rPr>
          <w:rFonts w:hint="eastAsia" w:ascii="宋体" w:hAnsi="宋体" w:eastAsia="宋体" w:cs="宋体"/>
          <w:b/>
          <w:sz w:val="24"/>
          <w:lang w:val="zh-CN"/>
        </w:rPr>
      </w:pPr>
      <w:r>
        <w:rPr>
          <w:rFonts w:hint="eastAsia" w:ascii="宋体" w:hAnsi="宋体" w:eastAsia="宋体" w:cs="宋体"/>
          <w:b/>
          <w:sz w:val="24"/>
        </w:rPr>
        <w:t>商务技术分</w:t>
      </w:r>
      <w:r>
        <w:rPr>
          <w:rFonts w:hint="eastAsia" w:ascii="宋体" w:hAnsi="宋体" w:eastAsia="宋体" w:cs="宋体"/>
          <w:b/>
          <w:sz w:val="24"/>
          <w:lang w:val="zh-CN"/>
        </w:rPr>
        <w:t>：</w:t>
      </w:r>
      <w:r>
        <w:rPr>
          <w:rFonts w:hint="eastAsia" w:ascii="宋体" w:hAnsi="宋体" w:eastAsia="宋体" w:cs="宋体"/>
          <w:b/>
          <w:sz w:val="24"/>
        </w:rPr>
        <w:t>70</w:t>
      </w:r>
      <w:r>
        <w:rPr>
          <w:rFonts w:hint="eastAsia" w:ascii="宋体" w:hAnsi="宋体" w:eastAsia="宋体" w:cs="宋体"/>
          <w:b/>
          <w:sz w:val="24"/>
          <w:lang w:val="zh-CN"/>
        </w:rPr>
        <w:t>分</w:t>
      </w:r>
    </w:p>
    <w:p w14:paraId="6231E083">
      <w:pPr>
        <w:snapToGrid w:val="0"/>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各供应商得分为磋商小组成员评分的算术平均分，分值保留小数点后两位。</w:t>
      </w:r>
    </w:p>
    <w:tbl>
      <w:tblPr>
        <w:tblStyle w:val="12"/>
        <w:tblW w:w="10065"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159"/>
        <w:gridCol w:w="7488"/>
        <w:gridCol w:w="851"/>
      </w:tblGrid>
      <w:tr w14:paraId="17863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567" w:type="dxa"/>
            <w:tcBorders>
              <w:top w:val="single" w:color="auto" w:sz="4" w:space="0"/>
              <w:left w:val="single" w:color="auto" w:sz="4" w:space="0"/>
              <w:bottom w:val="single" w:color="auto" w:sz="4" w:space="0"/>
              <w:right w:val="single" w:color="auto" w:sz="4" w:space="0"/>
            </w:tcBorders>
            <w:vAlign w:val="center"/>
          </w:tcPr>
          <w:p w14:paraId="2E7EF402">
            <w:pPr>
              <w:snapToGrid w:val="0"/>
              <w:spacing w:line="360" w:lineRule="auto"/>
              <w:jc w:val="center"/>
              <w:rPr>
                <w:rFonts w:hint="eastAsia" w:ascii="宋体" w:hAnsi="宋体" w:eastAsia="宋体" w:cs="微软雅黑"/>
                <w:szCs w:val="21"/>
              </w:rPr>
            </w:pPr>
            <w:r>
              <w:rPr>
                <w:rFonts w:hint="eastAsia" w:ascii="宋体" w:hAnsi="宋体" w:eastAsia="宋体" w:cs="微软雅黑"/>
                <w:szCs w:val="21"/>
              </w:rPr>
              <w:t>序号</w:t>
            </w:r>
          </w:p>
        </w:tc>
        <w:tc>
          <w:tcPr>
            <w:tcW w:w="8647" w:type="dxa"/>
            <w:gridSpan w:val="2"/>
            <w:tcBorders>
              <w:top w:val="single" w:color="auto" w:sz="4" w:space="0"/>
              <w:left w:val="nil"/>
              <w:bottom w:val="single" w:color="auto" w:sz="4" w:space="0"/>
              <w:right w:val="single" w:color="auto" w:sz="4" w:space="0"/>
            </w:tcBorders>
            <w:vAlign w:val="center"/>
          </w:tcPr>
          <w:p w14:paraId="5763B236">
            <w:pPr>
              <w:snapToGrid w:val="0"/>
              <w:spacing w:line="360" w:lineRule="auto"/>
              <w:jc w:val="center"/>
              <w:rPr>
                <w:rFonts w:hint="eastAsia" w:ascii="宋体" w:hAnsi="宋体" w:eastAsia="宋体" w:cs="等线"/>
                <w:szCs w:val="21"/>
              </w:rPr>
            </w:pPr>
            <w:r>
              <w:rPr>
                <w:rFonts w:hint="eastAsia" w:ascii="宋体" w:hAnsi="宋体" w:eastAsia="宋体" w:cs="微软雅黑"/>
                <w:szCs w:val="21"/>
              </w:rPr>
              <w:t>评</w:t>
            </w:r>
            <w:r>
              <w:rPr>
                <w:rFonts w:hint="eastAsia" w:ascii="宋体" w:hAnsi="宋体" w:eastAsia="宋体" w:cs="等线"/>
                <w:szCs w:val="21"/>
              </w:rPr>
              <w:t>分</w:t>
            </w:r>
            <w:r>
              <w:rPr>
                <w:rFonts w:hint="eastAsia" w:ascii="宋体" w:hAnsi="宋体" w:eastAsia="宋体" w:cs="微软雅黑"/>
                <w:szCs w:val="21"/>
              </w:rPr>
              <w:t>标</w:t>
            </w:r>
            <w:r>
              <w:rPr>
                <w:rFonts w:hint="eastAsia" w:ascii="宋体" w:hAnsi="宋体" w:eastAsia="宋体" w:cs="等线"/>
                <w:szCs w:val="21"/>
              </w:rPr>
              <w:t>准</w:t>
            </w:r>
          </w:p>
        </w:tc>
        <w:tc>
          <w:tcPr>
            <w:tcW w:w="851" w:type="dxa"/>
            <w:tcBorders>
              <w:top w:val="single" w:color="auto" w:sz="4" w:space="0"/>
              <w:left w:val="nil"/>
              <w:bottom w:val="single" w:color="auto" w:sz="4" w:space="0"/>
              <w:right w:val="single" w:color="auto" w:sz="4" w:space="0"/>
            </w:tcBorders>
            <w:vAlign w:val="center"/>
          </w:tcPr>
          <w:p w14:paraId="26B8B861">
            <w:pPr>
              <w:snapToGrid w:val="0"/>
              <w:spacing w:line="360" w:lineRule="auto"/>
              <w:jc w:val="center"/>
              <w:rPr>
                <w:rFonts w:hint="eastAsia" w:ascii="宋体" w:hAnsi="宋体" w:eastAsia="宋体" w:cs="微软雅黑"/>
                <w:szCs w:val="21"/>
              </w:rPr>
            </w:pPr>
            <w:r>
              <w:rPr>
                <w:rFonts w:hint="eastAsia" w:ascii="宋体" w:hAnsi="宋体" w:eastAsia="宋体" w:cs="微软雅黑"/>
                <w:szCs w:val="21"/>
              </w:rPr>
              <w:t>分值</w:t>
            </w:r>
          </w:p>
        </w:tc>
      </w:tr>
      <w:tr w14:paraId="2430C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567" w:type="dxa"/>
            <w:tcBorders>
              <w:top w:val="single" w:color="auto" w:sz="4" w:space="0"/>
              <w:left w:val="single" w:color="auto" w:sz="4" w:space="0"/>
              <w:bottom w:val="single" w:color="auto" w:sz="4" w:space="0"/>
              <w:right w:val="single" w:color="auto" w:sz="4" w:space="0"/>
            </w:tcBorders>
            <w:vAlign w:val="center"/>
          </w:tcPr>
          <w:p w14:paraId="1302A689">
            <w:pPr>
              <w:spacing w:line="360" w:lineRule="auto"/>
              <w:jc w:val="center"/>
              <w:rPr>
                <w:rFonts w:hint="eastAsia" w:ascii="宋体" w:hAnsi="宋体" w:eastAsia="宋体" w:cs="微软雅黑"/>
                <w:szCs w:val="21"/>
              </w:rPr>
            </w:pPr>
            <w:r>
              <w:rPr>
                <w:rFonts w:hint="eastAsia" w:ascii="宋体" w:hAnsi="宋体" w:eastAsia="宋体" w:cs="微软雅黑"/>
                <w:szCs w:val="21"/>
              </w:rPr>
              <w:t>1</w:t>
            </w:r>
          </w:p>
        </w:tc>
        <w:tc>
          <w:tcPr>
            <w:tcW w:w="1159" w:type="dxa"/>
            <w:tcBorders>
              <w:top w:val="single" w:color="auto" w:sz="4" w:space="0"/>
              <w:left w:val="nil"/>
              <w:bottom w:val="single" w:color="auto" w:sz="4" w:space="0"/>
              <w:right w:val="single" w:color="auto" w:sz="4" w:space="0"/>
            </w:tcBorders>
            <w:vAlign w:val="center"/>
          </w:tcPr>
          <w:p w14:paraId="67BB9B27">
            <w:pPr>
              <w:spacing w:line="360" w:lineRule="auto"/>
              <w:jc w:val="center"/>
              <w:rPr>
                <w:rFonts w:hint="eastAsia" w:ascii="宋体" w:hAnsi="宋体" w:eastAsia="宋体" w:cs="等线"/>
                <w:szCs w:val="21"/>
              </w:rPr>
            </w:pPr>
            <w:r>
              <w:rPr>
                <w:rFonts w:hint="eastAsia" w:ascii="宋体" w:hAnsi="宋体" w:eastAsia="宋体" w:cs="微软雅黑"/>
                <w:szCs w:val="21"/>
              </w:rPr>
              <w:t>销</w:t>
            </w:r>
            <w:r>
              <w:rPr>
                <w:rFonts w:hint="eastAsia" w:ascii="宋体" w:hAnsi="宋体" w:eastAsia="宋体" w:cs="等线"/>
                <w:szCs w:val="21"/>
              </w:rPr>
              <w:t>售</w:t>
            </w:r>
            <w:r>
              <w:rPr>
                <w:rFonts w:hint="eastAsia" w:ascii="宋体" w:hAnsi="宋体" w:eastAsia="宋体" w:cs="微软雅黑"/>
                <w:szCs w:val="21"/>
              </w:rPr>
              <w:t>业绩</w:t>
            </w:r>
          </w:p>
          <w:p w14:paraId="233C08A7">
            <w:pPr>
              <w:spacing w:line="360" w:lineRule="auto"/>
              <w:jc w:val="center"/>
              <w:rPr>
                <w:rFonts w:hint="eastAsia" w:ascii="宋体" w:hAnsi="宋体" w:eastAsia="宋体" w:cs="Times New Roman"/>
                <w:szCs w:val="21"/>
              </w:rPr>
            </w:pPr>
            <w:r>
              <w:rPr>
                <w:rFonts w:hint="eastAsia" w:ascii="宋体" w:hAnsi="宋体" w:eastAsia="宋体" w:cs="Times New Roman"/>
                <w:szCs w:val="21"/>
              </w:rPr>
              <w:t>4</w:t>
            </w:r>
            <w:r>
              <w:rPr>
                <w:rFonts w:hint="eastAsia" w:ascii="宋体" w:hAnsi="宋体" w:eastAsia="宋体" w:cs="等线"/>
                <w:szCs w:val="21"/>
              </w:rPr>
              <w:t>分</w:t>
            </w:r>
          </w:p>
        </w:tc>
        <w:tc>
          <w:tcPr>
            <w:tcW w:w="7488" w:type="dxa"/>
            <w:tcBorders>
              <w:top w:val="single" w:color="auto" w:sz="4" w:space="0"/>
              <w:left w:val="nil"/>
              <w:bottom w:val="single" w:color="auto" w:sz="4" w:space="0"/>
              <w:right w:val="single" w:color="auto" w:sz="4" w:space="0"/>
            </w:tcBorders>
            <w:vAlign w:val="center"/>
          </w:tcPr>
          <w:p w14:paraId="5124AE35">
            <w:pPr>
              <w:widowControl/>
              <w:spacing w:line="360" w:lineRule="auto"/>
              <w:jc w:val="left"/>
              <w:rPr>
                <w:rFonts w:hint="eastAsia" w:ascii="宋体" w:hAnsi="宋体" w:eastAsia="宋体" w:cs="Times New Roman"/>
                <w:szCs w:val="21"/>
              </w:rPr>
            </w:pPr>
            <w:r>
              <w:rPr>
                <w:rFonts w:hint="eastAsia" w:ascii="宋体" w:hAnsi="宋体" w:eastAsia="宋体" w:cs="Times New Roman"/>
                <w:szCs w:val="21"/>
              </w:rPr>
              <w:t>供</w:t>
            </w:r>
            <w:r>
              <w:rPr>
                <w:rFonts w:hint="eastAsia" w:ascii="宋体" w:hAnsi="宋体" w:eastAsia="宋体" w:cs="微软雅黑"/>
                <w:szCs w:val="21"/>
              </w:rPr>
              <w:t>应</w:t>
            </w:r>
            <w:r>
              <w:rPr>
                <w:rFonts w:hint="eastAsia" w:ascii="宋体" w:hAnsi="宋体" w:eastAsia="宋体" w:cs="Times New Roman"/>
                <w:szCs w:val="21"/>
              </w:rPr>
              <w:t>商</w:t>
            </w:r>
            <w:r>
              <w:rPr>
                <w:rFonts w:hint="eastAsia" w:ascii="宋体" w:hAnsi="宋体" w:eastAsia="宋体" w:cs="等线"/>
                <w:szCs w:val="21"/>
              </w:rPr>
              <w:t>自2022年6月1日至今，</w:t>
            </w:r>
            <w:r>
              <w:rPr>
                <w:rFonts w:hint="eastAsia" w:ascii="宋体" w:hAnsi="宋体" w:eastAsia="宋体" w:cs="等线"/>
                <w:color w:val="000000" w:themeColor="text1"/>
                <w:szCs w:val="21"/>
                <w14:textFill>
                  <w14:solidFill>
                    <w14:schemeClr w14:val="tx1"/>
                  </w14:solidFill>
                </w14:textFill>
              </w:rPr>
              <w:t>承担过服装类业绩合同复印件，</w:t>
            </w:r>
            <w:r>
              <w:rPr>
                <w:rFonts w:hint="eastAsia" w:ascii="宋体" w:hAnsi="宋体" w:eastAsia="宋体" w:cs="等线"/>
                <w:szCs w:val="21"/>
              </w:rPr>
              <w:t>日期以</w:t>
            </w:r>
            <w:r>
              <w:rPr>
                <w:rFonts w:hint="eastAsia" w:ascii="宋体" w:hAnsi="宋体" w:eastAsia="宋体" w:cs="微软雅黑"/>
                <w:szCs w:val="21"/>
              </w:rPr>
              <w:t>签订</w:t>
            </w:r>
            <w:r>
              <w:rPr>
                <w:rFonts w:hint="eastAsia" w:ascii="宋体" w:hAnsi="宋体" w:eastAsia="宋体" w:cs="等线"/>
                <w:szCs w:val="21"/>
              </w:rPr>
              <w:t>日期</w:t>
            </w:r>
            <w:r>
              <w:rPr>
                <w:rFonts w:hint="eastAsia" w:ascii="宋体" w:hAnsi="宋体" w:eastAsia="宋体" w:cs="微软雅黑"/>
                <w:szCs w:val="21"/>
              </w:rPr>
              <w:t>为</w:t>
            </w:r>
            <w:r>
              <w:rPr>
                <w:rFonts w:hint="eastAsia" w:ascii="宋体" w:hAnsi="宋体" w:eastAsia="宋体" w:cs="等线"/>
                <w:szCs w:val="21"/>
              </w:rPr>
              <w:t>准；每有一份得</w:t>
            </w:r>
            <w:r>
              <w:rPr>
                <w:rFonts w:hint="eastAsia" w:ascii="宋体" w:hAnsi="宋体" w:eastAsia="宋体" w:cs="Times New Roman"/>
                <w:szCs w:val="21"/>
              </w:rPr>
              <w:t>1</w:t>
            </w:r>
            <w:r>
              <w:rPr>
                <w:rFonts w:hint="eastAsia" w:ascii="宋体" w:hAnsi="宋体" w:eastAsia="宋体" w:cs="等线"/>
                <w:szCs w:val="21"/>
              </w:rPr>
              <w:t>分；此</w:t>
            </w:r>
            <w:r>
              <w:rPr>
                <w:rFonts w:hint="eastAsia" w:ascii="宋体" w:hAnsi="宋体" w:eastAsia="宋体" w:cs="微软雅黑"/>
                <w:szCs w:val="21"/>
              </w:rPr>
              <w:t>项</w:t>
            </w:r>
            <w:r>
              <w:rPr>
                <w:rFonts w:hint="eastAsia" w:ascii="宋体" w:hAnsi="宋体" w:eastAsia="宋体" w:cs="等线"/>
                <w:szCs w:val="21"/>
              </w:rPr>
              <w:t>最高得</w:t>
            </w:r>
            <w:r>
              <w:rPr>
                <w:rFonts w:hint="eastAsia" w:ascii="宋体" w:hAnsi="宋体" w:eastAsia="宋体" w:cs="Times New Roman"/>
                <w:szCs w:val="21"/>
              </w:rPr>
              <w:t>4</w:t>
            </w:r>
            <w:r>
              <w:rPr>
                <w:rFonts w:hint="eastAsia" w:ascii="宋体" w:hAnsi="宋体" w:eastAsia="宋体" w:cs="等线"/>
                <w:szCs w:val="21"/>
              </w:rPr>
              <w:t>分，提供</w:t>
            </w:r>
            <w:r>
              <w:rPr>
                <w:rFonts w:hint="eastAsia" w:ascii="宋体" w:hAnsi="宋体" w:eastAsia="宋体" w:cs="微软雅黑"/>
                <w:szCs w:val="21"/>
              </w:rPr>
              <w:t>业绩</w:t>
            </w:r>
            <w:r>
              <w:rPr>
                <w:rFonts w:hint="eastAsia" w:ascii="宋体" w:hAnsi="宋体" w:eastAsia="宋体" w:cs="等线"/>
                <w:szCs w:val="21"/>
              </w:rPr>
              <w:t>合同复印件。</w:t>
            </w:r>
            <w:r>
              <w:rPr>
                <w:rFonts w:hint="eastAsia" w:ascii="宋体" w:hAnsi="宋体" w:eastAsia="宋体" w:cs="等线"/>
                <w:b/>
                <w:bCs/>
                <w:szCs w:val="21"/>
              </w:rPr>
              <w:t>（提供合同复印件，加盖投</w:t>
            </w:r>
            <w:r>
              <w:rPr>
                <w:rFonts w:hint="eastAsia" w:ascii="宋体" w:hAnsi="宋体" w:eastAsia="宋体" w:cs="微软雅黑"/>
                <w:b/>
                <w:bCs/>
                <w:szCs w:val="21"/>
              </w:rPr>
              <w:t>标</w:t>
            </w:r>
            <w:r>
              <w:rPr>
                <w:rFonts w:hint="eastAsia" w:ascii="宋体" w:hAnsi="宋体" w:eastAsia="宋体" w:cs="等线"/>
                <w:b/>
                <w:bCs/>
                <w:szCs w:val="21"/>
              </w:rPr>
              <w:t>人公章）</w:t>
            </w:r>
          </w:p>
        </w:tc>
        <w:tc>
          <w:tcPr>
            <w:tcW w:w="851" w:type="dxa"/>
            <w:tcBorders>
              <w:top w:val="single" w:color="auto" w:sz="4" w:space="0"/>
              <w:left w:val="nil"/>
              <w:bottom w:val="single" w:color="auto" w:sz="4" w:space="0"/>
              <w:right w:val="single" w:color="auto" w:sz="4" w:space="0"/>
            </w:tcBorders>
            <w:vAlign w:val="center"/>
          </w:tcPr>
          <w:p w14:paraId="073C024C">
            <w:pPr>
              <w:widowControl/>
              <w:spacing w:line="360" w:lineRule="auto"/>
              <w:jc w:val="center"/>
              <w:rPr>
                <w:rFonts w:hint="eastAsia" w:ascii="宋体" w:hAnsi="宋体" w:eastAsia="宋体" w:cs="Times New Roman"/>
                <w:kern w:val="2"/>
                <w:szCs w:val="21"/>
              </w:rPr>
            </w:pPr>
            <w:r>
              <w:rPr>
                <w:rFonts w:hint="eastAsia" w:ascii="宋体" w:hAnsi="宋体" w:eastAsia="宋体" w:cs="Times New Roman"/>
                <w:szCs w:val="21"/>
              </w:rPr>
              <w:t>4</w:t>
            </w:r>
          </w:p>
        </w:tc>
      </w:tr>
      <w:tr w14:paraId="0B2D7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567" w:type="dxa"/>
            <w:tcBorders>
              <w:top w:val="single" w:color="auto" w:sz="4" w:space="0"/>
              <w:left w:val="single" w:color="auto" w:sz="4" w:space="0"/>
              <w:bottom w:val="single" w:color="auto" w:sz="4" w:space="0"/>
              <w:right w:val="single" w:color="auto" w:sz="4" w:space="0"/>
            </w:tcBorders>
            <w:vAlign w:val="center"/>
          </w:tcPr>
          <w:p w14:paraId="7E0EBEF7">
            <w:pPr>
              <w:spacing w:line="360" w:lineRule="auto"/>
              <w:jc w:val="center"/>
              <w:rPr>
                <w:rFonts w:hint="eastAsia" w:ascii="宋体" w:hAnsi="宋体" w:eastAsia="宋体" w:cs="等线"/>
                <w:szCs w:val="21"/>
              </w:rPr>
            </w:pPr>
            <w:r>
              <w:rPr>
                <w:rFonts w:hint="eastAsia" w:ascii="宋体" w:hAnsi="宋体" w:eastAsia="宋体" w:cs="等线"/>
                <w:szCs w:val="21"/>
              </w:rPr>
              <w:t>2</w:t>
            </w:r>
          </w:p>
        </w:tc>
        <w:tc>
          <w:tcPr>
            <w:tcW w:w="1159" w:type="dxa"/>
            <w:tcBorders>
              <w:top w:val="single" w:color="auto" w:sz="4" w:space="0"/>
              <w:left w:val="nil"/>
              <w:bottom w:val="single" w:color="auto" w:sz="4" w:space="0"/>
              <w:right w:val="single" w:color="auto" w:sz="4" w:space="0"/>
            </w:tcBorders>
            <w:vAlign w:val="center"/>
          </w:tcPr>
          <w:p w14:paraId="16C10451">
            <w:pPr>
              <w:spacing w:line="360" w:lineRule="auto"/>
              <w:jc w:val="center"/>
              <w:rPr>
                <w:rFonts w:hint="eastAsia" w:ascii="宋体" w:hAnsi="宋体" w:eastAsia="宋体" w:cs="Times New Roman"/>
                <w:szCs w:val="21"/>
              </w:rPr>
            </w:pPr>
            <w:r>
              <w:rPr>
                <w:rFonts w:hint="eastAsia" w:ascii="宋体" w:hAnsi="宋体" w:eastAsia="宋体" w:cs="等线"/>
                <w:szCs w:val="21"/>
              </w:rPr>
              <w:t>体系</w:t>
            </w:r>
            <w:r>
              <w:rPr>
                <w:rFonts w:hint="eastAsia" w:ascii="宋体" w:hAnsi="宋体" w:eastAsia="宋体" w:cs="微软雅黑"/>
                <w:szCs w:val="21"/>
              </w:rPr>
              <w:t>认证</w:t>
            </w:r>
          </w:p>
          <w:p w14:paraId="05CF5133">
            <w:pPr>
              <w:spacing w:line="360" w:lineRule="auto"/>
              <w:jc w:val="center"/>
              <w:rPr>
                <w:rFonts w:hint="eastAsia" w:ascii="宋体" w:hAnsi="宋体" w:eastAsia="宋体" w:cs="等线"/>
                <w:szCs w:val="21"/>
              </w:rPr>
            </w:pPr>
            <w:r>
              <w:rPr>
                <w:rFonts w:hint="eastAsia" w:ascii="宋体" w:hAnsi="宋体" w:eastAsia="宋体" w:cs="等线"/>
                <w:szCs w:val="21"/>
              </w:rPr>
              <w:t>4分</w:t>
            </w:r>
          </w:p>
        </w:tc>
        <w:tc>
          <w:tcPr>
            <w:tcW w:w="7488" w:type="dxa"/>
            <w:tcBorders>
              <w:top w:val="single" w:color="auto" w:sz="4" w:space="0"/>
              <w:left w:val="nil"/>
              <w:bottom w:val="single" w:color="auto" w:sz="4" w:space="0"/>
              <w:right w:val="single" w:color="auto" w:sz="4" w:space="0"/>
            </w:tcBorders>
            <w:vAlign w:val="center"/>
          </w:tcPr>
          <w:p w14:paraId="7D6AC6B9">
            <w:pPr>
              <w:spacing w:line="360" w:lineRule="auto"/>
              <w:jc w:val="left"/>
              <w:rPr>
                <w:rFonts w:hint="eastAsia" w:ascii="宋体" w:hAnsi="宋体" w:eastAsia="宋体" w:cs="等线"/>
                <w:szCs w:val="21"/>
              </w:rPr>
            </w:pPr>
            <w:r>
              <w:rPr>
                <w:rFonts w:hint="eastAsia" w:ascii="宋体" w:hAnsi="宋体" w:eastAsia="宋体" w:cs="等线"/>
                <w:szCs w:val="21"/>
              </w:rPr>
              <w:t>供</w:t>
            </w:r>
            <w:r>
              <w:rPr>
                <w:rFonts w:hint="eastAsia" w:ascii="宋体" w:hAnsi="宋体" w:eastAsia="宋体" w:cs="微软雅黑"/>
                <w:szCs w:val="21"/>
              </w:rPr>
              <w:t>应</w:t>
            </w:r>
            <w:r>
              <w:rPr>
                <w:rFonts w:hint="eastAsia" w:ascii="宋体" w:hAnsi="宋体" w:eastAsia="宋体" w:cs="等线"/>
                <w:szCs w:val="21"/>
              </w:rPr>
              <w:t>商提供</w:t>
            </w:r>
            <w:r>
              <w:rPr>
                <w:rFonts w:hint="eastAsia" w:ascii="宋体" w:hAnsi="宋体" w:eastAsia="宋体" w:cs="微软雅黑"/>
                <w:szCs w:val="21"/>
              </w:rPr>
              <w:t>质</w:t>
            </w:r>
            <w:r>
              <w:rPr>
                <w:rFonts w:hint="eastAsia" w:ascii="宋体" w:hAnsi="宋体" w:eastAsia="宋体" w:cs="等线"/>
                <w:szCs w:val="21"/>
              </w:rPr>
              <w:t>量管理体系</w:t>
            </w:r>
            <w:r>
              <w:rPr>
                <w:rFonts w:hint="eastAsia" w:ascii="宋体" w:hAnsi="宋体" w:eastAsia="宋体" w:cs="微软雅黑"/>
                <w:szCs w:val="21"/>
              </w:rPr>
              <w:t>认证证书</w:t>
            </w:r>
            <w:r>
              <w:rPr>
                <w:rFonts w:hint="eastAsia" w:ascii="宋体" w:hAnsi="宋体" w:eastAsia="宋体" w:cs="等线"/>
                <w:szCs w:val="21"/>
              </w:rPr>
              <w:t>、</w:t>
            </w:r>
            <w:r>
              <w:rPr>
                <w:rFonts w:hint="eastAsia" w:ascii="宋体" w:hAnsi="宋体" w:eastAsia="宋体" w:cs="微软雅黑"/>
                <w:szCs w:val="21"/>
              </w:rPr>
              <w:t>环</w:t>
            </w:r>
            <w:r>
              <w:rPr>
                <w:rFonts w:hint="eastAsia" w:ascii="宋体" w:hAnsi="宋体" w:eastAsia="宋体" w:cs="等线"/>
                <w:szCs w:val="21"/>
              </w:rPr>
              <w:t>境管理体系</w:t>
            </w:r>
            <w:r>
              <w:rPr>
                <w:rFonts w:hint="eastAsia" w:ascii="宋体" w:hAnsi="宋体" w:eastAsia="宋体" w:cs="微软雅黑"/>
                <w:szCs w:val="21"/>
              </w:rPr>
              <w:t>认证证书</w:t>
            </w:r>
            <w:r>
              <w:rPr>
                <w:rFonts w:hint="eastAsia" w:ascii="宋体" w:hAnsi="宋体" w:eastAsia="宋体" w:cs="等线"/>
                <w:szCs w:val="21"/>
              </w:rPr>
              <w:t>、</w:t>
            </w:r>
            <w:r>
              <w:rPr>
                <w:rFonts w:hint="eastAsia" w:ascii="宋体" w:hAnsi="宋体" w:eastAsia="宋体" w:cs="微软雅黑"/>
                <w:szCs w:val="21"/>
              </w:rPr>
              <w:t>职业</w:t>
            </w:r>
            <w:r>
              <w:rPr>
                <w:rFonts w:hint="eastAsia" w:ascii="宋体" w:hAnsi="宋体" w:eastAsia="宋体" w:cs="等线"/>
                <w:szCs w:val="21"/>
              </w:rPr>
              <w:t>健康安全管理体系</w:t>
            </w:r>
            <w:r>
              <w:rPr>
                <w:rFonts w:hint="eastAsia" w:ascii="宋体" w:hAnsi="宋体" w:eastAsia="宋体" w:cs="微软雅黑"/>
                <w:szCs w:val="21"/>
              </w:rPr>
              <w:t>认证证书</w:t>
            </w:r>
            <w:r>
              <w:rPr>
                <w:rFonts w:hint="eastAsia" w:ascii="宋体" w:hAnsi="宋体" w:eastAsia="宋体" w:cs="等线"/>
                <w:szCs w:val="21"/>
              </w:rPr>
              <w:t>、售后服</w:t>
            </w:r>
            <w:r>
              <w:rPr>
                <w:rFonts w:hint="eastAsia" w:ascii="宋体" w:hAnsi="宋体" w:eastAsia="宋体" w:cs="微软雅黑"/>
                <w:szCs w:val="21"/>
              </w:rPr>
              <w:t>务</w:t>
            </w:r>
            <w:r>
              <w:rPr>
                <w:rFonts w:hint="eastAsia" w:ascii="宋体" w:hAnsi="宋体" w:eastAsia="宋体" w:cs="等线"/>
                <w:szCs w:val="21"/>
              </w:rPr>
              <w:t>体系</w:t>
            </w:r>
            <w:r>
              <w:rPr>
                <w:rFonts w:hint="eastAsia" w:ascii="宋体" w:hAnsi="宋体" w:eastAsia="宋体" w:cs="微软雅黑"/>
                <w:szCs w:val="21"/>
              </w:rPr>
              <w:t>认证证书</w:t>
            </w:r>
            <w:r>
              <w:rPr>
                <w:rFonts w:hint="eastAsia" w:ascii="宋体" w:hAnsi="宋体" w:eastAsia="宋体" w:cs="等线"/>
                <w:szCs w:val="21"/>
              </w:rPr>
              <w:t>，有1个得1分，此</w:t>
            </w:r>
            <w:r>
              <w:rPr>
                <w:rFonts w:hint="eastAsia" w:ascii="宋体" w:hAnsi="宋体" w:eastAsia="宋体" w:cs="微软雅黑"/>
                <w:szCs w:val="21"/>
              </w:rPr>
              <w:t>项</w:t>
            </w:r>
            <w:r>
              <w:rPr>
                <w:rFonts w:hint="eastAsia" w:ascii="宋体" w:hAnsi="宋体" w:eastAsia="宋体" w:cs="等线"/>
                <w:szCs w:val="21"/>
              </w:rPr>
              <w:t>最高得</w:t>
            </w:r>
            <w:r>
              <w:rPr>
                <w:rFonts w:hint="eastAsia" w:ascii="宋体" w:hAnsi="宋体" w:eastAsia="宋体" w:cs="Times New Roman"/>
                <w:szCs w:val="21"/>
              </w:rPr>
              <w:t>4</w:t>
            </w:r>
            <w:r>
              <w:rPr>
                <w:rFonts w:hint="eastAsia" w:ascii="宋体" w:hAnsi="宋体" w:eastAsia="宋体" w:cs="等线"/>
                <w:szCs w:val="21"/>
              </w:rPr>
              <w:t>分。（提供</w:t>
            </w:r>
            <w:r>
              <w:rPr>
                <w:rFonts w:hint="eastAsia" w:ascii="宋体" w:hAnsi="宋体" w:eastAsia="宋体" w:cs="微软雅黑"/>
                <w:szCs w:val="21"/>
              </w:rPr>
              <w:t>证</w:t>
            </w:r>
            <w:r>
              <w:rPr>
                <w:rFonts w:hint="eastAsia" w:ascii="宋体" w:hAnsi="宋体" w:eastAsia="宋体" w:cs="等线"/>
                <w:szCs w:val="21"/>
              </w:rPr>
              <w:t>明文件复印件）</w:t>
            </w:r>
          </w:p>
        </w:tc>
        <w:tc>
          <w:tcPr>
            <w:tcW w:w="851" w:type="dxa"/>
            <w:tcBorders>
              <w:top w:val="single" w:color="auto" w:sz="4" w:space="0"/>
              <w:left w:val="nil"/>
              <w:bottom w:val="single" w:color="auto" w:sz="4" w:space="0"/>
              <w:right w:val="single" w:color="auto" w:sz="4" w:space="0"/>
            </w:tcBorders>
            <w:vAlign w:val="center"/>
          </w:tcPr>
          <w:p w14:paraId="0456A611">
            <w:pPr>
              <w:spacing w:line="360" w:lineRule="auto"/>
              <w:jc w:val="center"/>
              <w:rPr>
                <w:rFonts w:hint="eastAsia" w:ascii="宋体" w:hAnsi="宋体" w:eastAsia="宋体" w:cs="等线"/>
                <w:szCs w:val="21"/>
              </w:rPr>
            </w:pPr>
            <w:r>
              <w:rPr>
                <w:rFonts w:hint="eastAsia" w:ascii="宋体" w:hAnsi="宋体" w:eastAsia="宋体" w:cs="等线"/>
                <w:szCs w:val="21"/>
              </w:rPr>
              <w:t>4</w:t>
            </w:r>
          </w:p>
        </w:tc>
      </w:tr>
      <w:tr w14:paraId="2F7C3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567" w:type="dxa"/>
            <w:tcBorders>
              <w:top w:val="single" w:color="auto" w:sz="4" w:space="0"/>
              <w:left w:val="single" w:color="auto" w:sz="4" w:space="0"/>
              <w:bottom w:val="single" w:color="auto" w:sz="4" w:space="0"/>
              <w:right w:val="single" w:color="auto" w:sz="4" w:space="0"/>
            </w:tcBorders>
            <w:vAlign w:val="center"/>
          </w:tcPr>
          <w:p w14:paraId="6ADCF127">
            <w:pPr>
              <w:spacing w:line="360" w:lineRule="auto"/>
              <w:jc w:val="center"/>
              <w:rPr>
                <w:rFonts w:hint="eastAsia" w:ascii="宋体" w:hAnsi="宋体" w:eastAsia="宋体" w:cs="等线"/>
                <w:szCs w:val="21"/>
              </w:rPr>
            </w:pPr>
            <w:r>
              <w:rPr>
                <w:rFonts w:hint="eastAsia" w:ascii="宋体" w:hAnsi="宋体" w:eastAsia="宋体" w:cs="等线"/>
                <w:szCs w:val="21"/>
              </w:rPr>
              <w:t>3</w:t>
            </w:r>
          </w:p>
        </w:tc>
        <w:tc>
          <w:tcPr>
            <w:tcW w:w="1159" w:type="dxa"/>
            <w:tcBorders>
              <w:top w:val="single" w:color="auto" w:sz="4" w:space="0"/>
              <w:left w:val="nil"/>
              <w:bottom w:val="single" w:color="auto" w:sz="4" w:space="0"/>
              <w:right w:val="single" w:color="auto" w:sz="4" w:space="0"/>
            </w:tcBorders>
            <w:vAlign w:val="center"/>
          </w:tcPr>
          <w:p w14:paraId="391C4EE4">
            <w:pPr>
              <w:spacing w:line="360" w:lineRule="auto"/>
              <w:jc w:val="center"/>
              <w:rPr>
                <w:rFonts w:hint="eastAsia" w:ascii="宋体" w:hAnsi="宋体" w:eastAsia="宋体" w:cs="等线"/>
                <w:szCs w:val="21"/>
              </w:rPr>
            </w:pPr>
            <w:r>
              <w:rPr>
                <w:rFonts w:hint="eastAsia" w:ascii="宋体" w:hAnsi="宋体" w:eastAsia="宋体" w:cs="等线"/>
                <w:szCs w:val="21"/>
              </w:rPr>
              <w:t>生产能力</w:t>
            </w:r>
          </w:p>
          <w:p w14:paraId="0E0B660F">
            <w:pPr>
              <w:pStyle w:val="11"/>
              <w:ind w:firstLine="200"/>
            </w:pPr>
            <w:r>
              <w:rPr>
                <w:rFonts w:hint="eastAsia" w:ascii="宋体" w:hAnsi="宋体" w:eastAsia="宋体" w:cs="等线"/>
                <w:szCs w:val="21"/>
              </w:rPr>
              <w:t>5分</w:t>
            </w:r>
          </w:p>
        </w:tc>
        <w:tc>
          <w:tcPr>
            <w:tcW w:w="7488" w:type="dxa"/>
            <w:tcBorders>
              <w:top w:val="single" w:color="auto" w:sz="4" w:space="0"/>
              <w:left w:val="nil"/>
              <w:bottom w:val="single" w:color="auto" w:sz="4" w:space="0"/>
              <w:right w:val="single" w:color="auto" w:sz="4" w:space="0"/>
            </w:tcBorders>
            <w:vAlign w:val="center"/>
          </w:tcPr>
          <w:p w14:paraId="66571022">
            <w:pPr>
              <w:spacing w:line="360" w:lineRule="auto"/>
              <w:jc w:val="left"/>
              <w:rPr>
                <w:rFonts w:hint="eastAsia" w:ascii="宋体" w:hAnsi="宋体" w:eastAsia="宋体" w:cs="等线"/>
                <w:szCs w:val="21"/>
              </w:rPr>
            </w:pPr>
            <w:r>
              <w:rPr>
                <w:rFonts w:hint="eastAsia" w:ascii="宋体" w:hAnsi="宋体" w:eastAsia="宋体" w:cs="等线"/>
                <w:szCs w:val="21"/>
              </w:rPr>
              <w:t>投标人提供的生产设备先进齐全、技术成熟稳定、拥有配套的智能流水线、CAD自动设计系统、CAM自动裁剪系统、自动绱袖机、立体全套整烫流水线、压胶机等，从设备先进性和种类完整性两方面评判，优秀得5分，良好得2分，差不得分。（须提供设备购置发票复印件和设备安装在投标企业现场的经纬度照片，经纬度照片中有本企业logo，logo可以体现在墙上、展板上、机器上、工人衣服上等）设备清单、实物照片、购置发票或者合同复印件加盖投标人公章。）</w:t>
            </w:r>
          </w:p>
        </w:tc>
        <w:tc>
          <w:tcPr>
            <w:tcW w:w="851" w:type="dxa"/>
            <w:tcBorders>
              <w:top w:val="single" w:color="auto" w:sz="4" w:space="0"/>
              <w:left w:val="nil"/>
              <w:bottom w:val="single" w:color="auto" w:sz="4" w:space="0"/>
              <w:right w:val="single" w:color="auto" w:sz="4" w:space="0"/>
            </w:tcBorders>
            <w:vAlign w:val="center"/>
          </w:tcPr>
          <w:p w14:paraId="3512DB84">
            <w:pPr>
              <w:spacing w:line="360" w:lineRule="auto"/>
              <w:jc w:val="center"/>
              <w:rPr>
                <w:rFonts w:hint="eastAsia" w:ascii="宋体" w:hAnsi="宋体" w:eastAsia="宋体" w:cs="等线"/>
                <w:szCs w:val="21"/>
              </w:rPr>
            </w:pPr>
            <w:r>
              <w:rPr>
                <w:rFonts w:hint="eastAsia" w:ascii="宋体" w:hAnsi="宋体" w:eastAsia="宋体" w:cs="等线"/>
                <w:szCs w:val="21"/>
              </w:rPr>
              <w:t>5</w:t>
            </w:r>
          </w:p>
        </w:tc>
      </w:tr>
      <w:tr w14:paraId="0A998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567" w:type="dxa"/>
            <w:tcBorders>
              <w:top w:val="single" w:color="auto" w:sz="4" w:space="0"/>
              <w:left w:val="single" w:color="auto" w:sz="4" w:space="0"/>
              <w:bottom w:val="single" w:color="auto" w:sz="4" w:space="0"/>
              <w:right w:val="single" w:color="auto" w:sz="4" w:space="0"/>
            </w:tcBorders>
            <w:vAlign w:val="center"/>
          </w:tcPr>
          <w:p w14:paraId="4B740164">
            <w:pPr>
              <w:spacing w:line="360" w:lineRule="auto"/>
              <w:jc w:val="center"/>
              <w:rPr>
                <w:rFonts w:hint="eastAsia" w:ascii="宋体" w:hAnsi="宋体" w:eastAsia="宋体" w:cs="微软雅黑"/>
                <w:szCs w:val="21"/>
              </w:rPr>
            </w:pPr>
            <w:r>
              <w:rPr>
                <w:rFonts w:hint="eastAsia" w:ascii="宋体" w:hAnsi="宋体" w:eastAsia="宋体" w:cs="微软雅黑"/>
                <w:szCs w:val="21"/>
              </w:rPr>
              <w:t>4</w:t>
            </w:r>
          </w:p>
        </w:tc>
        <w:tc>
          <w:tcPr>
            <w:tcW w:w="1159" w:type="dxa"/>
            <w:tcBorders>
              <w:top w:val="single" w:color="auto" w:sz="4" w:space="0"/>
              <w:left w:val="nil"/>
              <w:bottom w:val="single" w:color="auto" w:sz="4" w:space="0"/>
              <w:right w:val="single" w:color="auto" w:sz="4" w:space="0"/>
            </w:tcBorders>
            <w:vAlign w:val="center"/>
          </w:tcPr>
          <w:p w14:paraId="3C663318">
            <w:pPr>
              <w:spacing w:line="360" w:lineRule="auto"/>
              <w:jc w:val="center"/>
              <w:rPr>
                <w:rFonts w:hint="eastAsia" w:ascii="宋体" w:hAnsi="宋体" w:eastAsia="宋体" w:cs="Times New Roman"/>
                <w:szCs w:val="21"/>
              </w:rPr>
            </w:pPr>
            <w:r>
              <w:rPr>
                <w:rFonts w:hint="eastAsia" w:ascii="宋体" w:hAnsi="宋体" w:eastAsia="宋体" w:cs="微软雅黑"/>
                <w:szCs w:val="21"/>
              </w:rPr>
              <w:t>质</w:t>
            </w:r>
            <w:r>
              <w:rPr>
                <w:rFonts w:hint="eastAsia" w:ascii="宋体" w:hAnsi="宋体" w:eastAsia="宋体" w:cs="等线"/>
                <w:szCs w:val="21"/>
              </w:rPr>
              <w:t>量保</w:t>
            </w:r>
            <w:r>
              <w:rPr>
                <w:rFonts w:hint="eastAsia" w:ascii="宋体" w:hAnsi="宋体" w:eastAsia="宋体" w:cs="微软雅黑"/>
                <w:szCs w:val="21"/>
              </w:rPr>
              <w:t>证实</w:t>
            </w:r>
            <w:r>
              <w:rPr>
                <w:rFonts w:hint="eastAsia" w:ascii="宋体" w:hAnsi="宋体" w:eastAsia="宋体" w:cs="等线"/>
                <w:szCs w:val="21"/>
              </w:rPr>
              <w:t>施方案</w:t>
            </w:r>
          </w:p>
          <w:p w14:paraId="37C2EA6C">
            <w:pPr>
              <w:spacing w:line="360" w:lineRule="auto"/>
              <w:jc w:val="center"/>
              <w:rPr>
                <w:rFonts w:hint="eastAsia" w:ascii="宋体" w:hAnsi="宋体" w:eastAsia="宋体" w:cs="Times New Roman"/>
                <w:szCs w:val="21"/>
              </w:rPr>
            </w:pPr>
            <w:r>
              <w:rPr>
                <w:rFonts w:hint="eastAsia" w:ascii="宋体" w:hAnsi="宋体" w:eastAsia="宋体" w:cs="等线"/>
                <w:szCs w:val="21"/>
              </w:rPr>
              <w:t>10分</w:t>
            </w:r>
          </w:p>
        </w:tc>
        <w:tc>
          <w:tcPr>
            <w:tcW w:w="7488" w:type="dxa"/>
            <w:tcBorders>
              <w:top w:val="single" w:color="auto" w:sz="4" w:space="0"/>
              <w:left w:val="nil"/>
              <w:bottom w:val="single" w:color="auto" w:sz="4" w:space="0"/>
              <w:right w:val="single" w:color="auto" w:sz="4" w:space="0"/>
            </w:tcBorders>
            <w:vAlign w:val="center"/>
          </w:tcPr>
          <w:p w14:paraId="4BA80EBF">
            <w:pPr>
              <w:spacing w:line="360" w:lineRule="auto"/>
              <w:jc w:val="left"/>
              <w:rPr>
                <w:rFonts w:hint="eastAsia" w:ascii="宋体" w:hAnsi="宋体" w:eastAsia="宋体" w:cs="Times New Roman"/>
                <w:szCs w:val="21"/>
              </w:rPr>
            </w:pPr>
            <w:r>
              <w:rPr>
                <w:rFonts w:hint="eastAsia" w:ascii="宋体" w:hAnsi="宋体" w:eastAsia="宋体" w:cs="等线"/>
                <w:szCs w:val="21"/>
              </w:rPr>
              <w:t>供</w:t>
            </w:r>
            <w:r>
              <w:rPr>
                <w:rFonts w:hint="eastAsia" w:ascii="宋体" w:hAnsi="宋体" w:eastAsia="宋体" w:cs="微软雅黑"/>
                <w:szCs w:val="21"/>
              </w:rPr>
              <w:t>应</w:t>
            </w:r>
            <w:r>
              <w:rPr>
                <w:rFonts w:hint="eastAsia" w:ascii="宋体" w:hAnsi="宋体" w:eastAsia="宋体" w:cs="等线"/>
                <w:szCs w:val="21"/>
              </w:rPr>
              <w:t>商</w:t>
            </w:r>
            <w:r>
              <w:rPr>
                <w:rFonts w:hint="eastAsia" w:ascii="宋体" w:hAnsi="宋体" w:eastAsia="宋体" w:cs="微软雅黑"/>
                <w:szCs w:val="21"/>
              </w:rPr>
              <w:t>应</w:t>
            </w:r>
            <w:r>
              <w:rPr>
                <w:rFonts w:hint="eastAsia" w:ascii="宋体" w:hAnsi="宋体" w:eastAsia="宋体" w:cs="等线"/>
                <w:szCs w:val="21"/>
              </w:rPr>
              <w:t>根据招</w:t>
            </w:r>
            <w:r>
              <w:rPr>
                <w:rFonts w:hint="eastAsia" w:ascii="宋体" w:hAnsi="宋体" w:eastAsia="宋体" w:cs="微软雅黑"/>
                <w:szCs w:val="21"/>
              </w:rPr>
              <w:t>标</w:t>
            </w:r>
            <w:r>
              <w:rPr>
                <w:rFonts w:hint="eastAsia" w:ascii="宋体" w:hAnsi="宋体" w:eastAsia="宋体" w:cs="等线"/>
                <w:szCs w:val="21"/>
              </w:rPr>
              <w:t>文件要求及本</w:t>
            </w:r>
            <w:r>
              <w:rPr>
                <w:rFonts w:hint="eastAsia" w:ascii="宋体" w:hAnsi="宋体" w:eastAsia="宋体" w:cs="微软雅黑"/>
                <w:szCs w:val="21"/>
              </w:rPr>
              <w:t>项</w:t>
            </w:r>
            <w:r>
              <w:rPr>
                <w:rFonts w:hint="eastAsia" w:ascii="宋体" w:hAnsi="宋体" w:eastAsia="宋体" w:cs="等线"/>
                <w:szCs w:val="21"/>
              </w:rPr>
              <w:t>目特点，提供</w:t>
            </w:r>
            <w:r>
              <w:rPr>
                <w:rFonts w:hint="eastAsia" w:ascii="宋体" w:hAnsi="宋体" w:eastAsia="宋体" w:cs="微软雅黑"/>
                <w:szCs w:val="21"/>
              </w:rPr>
              <w:t>质</w:t>
            </w:r>
            <w:r>
              <w:rPr>
                <w:rFonts w:hint="eastAsia" w:ascii="宋体" w:hAnsi="宋体" w:eastAsia="宋体" w:cs="等线"/>
                <w:szCs w:val="21"/>
              </w:rPr>
              <w:t>量保</w:t>
            </w:r>
            <w:r>
              <w:rPr>
                <w:rFonts w:hint="eastAsia" w:ascii="宋体" w:hAnsi="宋体" w:eastAsia="宋体" w:cs="微软雅黑"/>
                <w:szCs w:val="21"/>
              </w:rPr>
              <w:t>证实</w:t>
            </w:r>
            <w:r>
              <w:rPr>
                <w:rFonts w:hint="eastAsia" w:ascii="宋体" w:hAnsi="宋体" w:eastAsia="宋体" w:cs="等线"/>
                <w:szCs w:val="21"/>
              </w:rPr>
              <w:t>施方案。</w:t>
            </w:r>
            <w:r>
              <w:rPr>
                <w:rFonts w:hint="eastAsia" w:ascii="宋体" w:hAnsi="宋体" w:eastAsia="宋体" w:cs="微软雅黑"/>
                <w:szCs w:val="21"/>
              </w:rPr>
              <w:t>质</w:t>
            </w:r>
            <w:r>
              <w:rPr>
                <w:rFonts w:hint="eastAsia" w:ascii="宋体" w:hAnsi="宋体" w:eastAsia="宋体" w:cs="等线"/>
                <w:szCs w:val="21"/>
              </w:rPr>
              <w:t>量</w:t>
            </w:r>
            <w:r>
              <w:rPr>
                <w:rFonts w:hint="eastAsia" w:ascii="宋体" w:hAnsi="宋体" w:eastAsia="宋体" w:cs="微软雅黑"/>
                <w:szCs w:val="21"/>
              </w:rPr>
              <w:t>实</w:t>
            </w:r>
            <w:r>
              <w:rPr>
                <w:rFonts w:hint="eastAsia" w:ascii="宋体" w:hAnsi="宋体" w:eastAsia="宋体" w:cs="等线"/>
                <w:szCs w:val="21"/>
              </w:rPr>
              <w:t>施方案及措施全面、可行得10分；</w:t>
            </w:r>
            <w:r>
              <w:rPr>
                <w:rFonts w:hint="eastAsia" w:ascii="宋体" w:hAnsi="宋体" w:eastAsia="宋体" w:cs="微软雅黑"/>
                <w:szCs w:val="21"/>
              </w:rPr>
              <w:t>质</w:t>
            </w:r>
            <w:r>
              <w:rPr>
                <w:rFonts w:hint="eastAsia" w:ascii="宋体" w:hAnsi="宋体" w:eastAsia="宋体" w:cs="等线"/>
                <w:szCs w:val="21"/>
              </w:rPr>
              <w:t>量</w:t>
            </w:r>
            <w:r>
              <w:rPr>
                <w:rFonts w:hint="eastAsia" w:ascii="宋体" w:hAnsi="宋体" w:eastAsia="宋体" w:cs="微软雅黑"/>
                <w:szCs w:val="21"/>
              </w:rPr>
              <w:t>实</w:t>
            </w:r>
            <w:r>
              <w:rPr>
                <w:rFonts w:hint="eastAsia" w:ascii="宋体" w:hAnsi="宋体" w:eastAsia="宋体" w:cs="等线"/>
                <w:szCs w:val="21"/>
              </w:rPr>
              <w:t>施方案及措施</w:t>
            </w:r>
            <w:r>
              <w:rPr>
                <w:rFonts w:hint="eastAsia" w:ascii="宋体" w:hAnsi="宋体" w:eastAsia="宋体" w:cs="微软雅黑"/>
                <w:szCs w:val="21"/>
              </w:rPr>
              <w:t>较</w:t>
            </w:r>
            <w:r>
              <w:rPr>
                <w:rFonts w:hint="eastAsia" w:ascii="宋体" w:hAnsi="宋体" w:eastAsia="宋体" w:cs="等线"/>
                <w:szCs w:val="21"/>
              </w:rPr>
              <w:t>全面、可行得</w:t>
            </w:r>
            <w:r>
              <w:rPr>
                <w:rFonts w:hint="eastAsia" w:ascii="宋体" w:hAnsi="宋体" w:eastAsia="宋体" w:cs="Times New Roman"/>
                <w:szCs w:val="21"/>
              </w:rPr>
              <w:t>7</w:t>
            </w:r>
            <w:r>
              <w:rPr>
                <w:rFonts w:hint="eastAsia" w:ascii="宋体" w:hAnsi="宋体" w:eastAsia="宋体" w:cs="等线"/>
                <w:szCs w:val="21"/>
              </w:rPr>
              <w:t>分；</w:t>
            </w:r>
            <w:r>
              <w:rPr>
                <w:rFonts w:hint="eastAsia" w:ascii="宋体" w:hAnsi="宋体" w:eastAsia="宋体" w:cs="微软雅黑"/>
                <w:szCs w:val="21"/>
              </w:rPr>
              <w:t>质</w:t>
            </w:r>
            <w:r>
              <w:rPr>
                <w:rFonts w:hint="eastAsia" w:ascii="宋体" w:hAnsi="宋体" w:eastAsia="宋体" w:cs="等线"/>
                <w:szCs w:val="21"/>
              </w:rPr>
              <w:t>量</w:t>
            </w:r>
            <w:r>
              <w:rPr>
                <w:rFonts w:hint="eastAsia" w:ascii="宋体" w:hAnsi="宋体" w:eastAsia="宋体" w:cs="微软雅黑"/>
                <w:szCs w:val="21"/>
              </w:rPr>
              <w:t>实</w:t>
            </w:r>
            <w:r>
              <w:rPr>
                <w:rFonts w:hint="eastAsia" w:ascii="宋体" w:hAnsi="宋体" w:eastAsia="宋体" w:cs="等线"/>
                <w:szCs w:val="21"/>
              </w:rPr>
              <w:t>施方案及措施全面性、可行性一般得</w:t>
            </w:r>
            <w:r>
              <w:rPr>
                <w:rFonts w:hint="eastAsia" w:ascii="宋体" w:hAnsi="宋体" w:eastAsia="宋体" w:cs="Times New Roman"/>
                <w:szCs w:val="21"/>
              </w:rPr>
              <w:t>4</w:t>
            </w:r>
            <w:r>
              <w:rPr>
                <w:rFonts w:hint="eastAsia" w:ascii="宋体" w:hAnsi="宋体" w:eastAsia="宋体" w:cs="等线"/>
                <w:szCs w:val="21"/>
              </w:rPr>
              <w:t>分；未提供</w:t>
            </w:r>
            <w:r>
              <w:rPr>
                <w:rFonts w:hint="eastAsia" w:ascii="宋体" w:hAnsi="宋体" w:eastAsia="宋体" w:cs="微软雅黑"/>
                <w:szCs w:val="21"/>
              </w:rPr>
              <w:t>质</w:t>
            </w:r>
            <w:r>
              <w:rPr>
                <w:rFonts w:hint="eastAsia" w:ascii="宋体" w:hAnsi="宋体" w:eastAsia="宋体" w:cs="等线"/>
                <w:szCs w:val="21"/>
              </w:rPr>
              <w:t>量</w:t>
            </w:r>
            <w:r>
              <w:rPr>
                <w:rFonts w:hint="eastAsia" w:ascii="宋体" w:hAnsi="宋体" w:eastAsia="宋体" w:cs="微软雅黑"/>
                <w:szCs w:val="21"/>
              </w:rPr>
              <w:t>实</w:t>
            </w:r>
            <w:r>
              <w:rPr>
                <w:rFonts w:hint="eastAsia" w:ascii="宋体" w:hAnsi="宋体" w:eastAsia="宋体" w:cs="等线"/>
                <w:szCs w:val="21"/>
              </w:rPr>
              <w:t>施方案不得分。</w:t>
            </w:r>
          </w:p>
        </w:tc>
        <w:tc>
          <w:tcPr>
            <w:tcW w:w="851" w:type="dxa"/>
            <w:tcBorders>
              <w:top w:val="single" w:color="auto" w:sz="4" w:space="0"/>
              <w:left w:val="nil"/>
              <w:bottom w:val="single" w:color="auto" w:sz="4" w:space="0"/>
              <w:right w:val="single" w:color="auto" w:sz="4" w:space="0"/>
            </w:tcBorders>
            <w:vAlign w:val="center"/>
          </w:tcPr>
          <w:p w14:paraId="094A833E">
            <w:pPr>
              <w:spacing w:line="360" w:lineRule="auto"/>
              <w:jc w:val="center"/>
              <w:rPr>
                <w:rFonts w:hint="eastAsia" w:ascii="宋体" w:hAnsi="宋体" w:eastAsia="宋体" w:cs="等线"/>
                <w:szCs w:val="21"/>
              </w:rPr>
            </w:pPr>
            <w:r>
              <w:rPr>
                <w:rFonts w:hint="eastAsia" w:ascii="宋体" w:hAnsi="宋体" w:eastAsia="宋体" w:cs="等线"/>
                <w:szCs w:val="21"/>
              </w:rPr>
              <w:t>10</w:t>
            </w:r>
          </w:p>
        </w:tc>
      </w:tr>
      <w:tr w14:paraId="5CA6E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567" w:type="dxa"/>
            <w:tcBorders>
              <w:top w:val="single" w:color="auto" w:sz="4" w:space="0"/>
              <w:left w:val="single" w:color="auto" w:sz="4" w:space="0"/>
              <w:bottom w:val="single" w:color="auto" w:sz="4" w:space="0"/>
              <w:right w:val="single" w:color="auto" w:sz="4" w:space="0"/>
            </w:tcBorders>
            <w:vAlign w:val="center"/>
          </w:tcPr>
          <w:p w14:paraId="3F60A4E8">
            <w:pPr>
              <w:spacing w:line="360" w:lineRule="auto"/>
              <w:jc w:val="center"/>
              <w:rPr>
                <w:rFonts w:hint="eastAsia" w:ascii="宋体" w:hAnsi="宋体" w:eastAsia="宋体" w:cs="微软雅黑"/>
                <w:szCs w:val="21"/>
              </w:rPr>
            </w:pPr>
            <w:r>
              <w:rPr>
                <w:rFonts w:hint="eastAsia" w:ascii="宋体" w:hAnsi="宋体" w:eastAsia="宋体" w:cs="微软雅黑"/>
                <w:szCs w:val="21"/>
              </w:rPr>
              <w:t>5</w:t>
            </w:r>
          </w:p>
        </w:tc>
        <w:tc>
          <w:tcPr>
            <w:tcW w:w="1159" w:type="dxa"/>
            <w:tcBorders>
              <w:top w:val="single" w:color="auto" w:sz="4" w:space="0"/>
              <w:left w:val="nil"/>
              <w:bottom w:val="single" w:color="auto" w:sz="4" w:space="0"/>
              <w:right w:val="single" w:color="auto" w:sz="4" w:space="0"/>
            </w:tcBorders>
            <w:vAlign w:val="center"/>
          </w:tcPr>
          <w:p w14:paraId="79A3374A">
            <w:pPr>
              <w:spacing w:line="360" w:lineRule="auto"/>
              <w:jc w:val="center"/>
              <w:rPr>
                <w:rFonts w:hint="eastAsia" w:ascii="宋体" w:hAnsi="宋体" w:eastAsia="宋体" w:cs="Times New Roman"/>
                <w:szCs w:val="21"/>
              </w:rPr>
            </w:pPr>
            <w:r>
              <w:rPr>
                <w:rFonts w:hint="eastAsia" w:ascii="宋体" w:hAnsi="宋体" w:eastAsia="宋体" w:cs="微软雅黑"/>
                <w:szCs w:val="21"/>
              </w:rPr>
              <w:t>项</w:t>
            </w:r>
            <w:r>
              <w:rPr>
                <w:rFonts w:hint="eastAsia" w:ascii="宋体" w:hAnsi="宋体" w:eastAsia="宋体" w:cs="等线"/>
                <w:szCs w:val="21"/>
              </w:rPr>
              <w:t>目</w:t>
            </w:r>
            <w:r>
              <w:rPr>
                <w:rFonts w:hint="eastAsia" w:ascii="宋体" w:hAnsi="宋体" w:eastAsia="宋体" w:cs="微软雅黑"/>
                <w:szCs w:val="21"/>
              </w:rPr>
              <w:t>实</w:t>
            </w:r>
            <w:r>
              <w:rPr>
                <w:rFonts w:hint="eastAsia" w:ascii="宋体" w:hAnsi="宋体" w:eastAsia="宋体" w:cs="等线"/>
                <w:szCs w:val="21"/>
              </w:rPr>
              <w:t>施方案</w:t>
            </w:r>
            <w:r>
              <w:rPr>
                <w:rFonts w:hint="eastAsia" w:ascii="宋体" w:hAnsi="宋体" w:eastAsia="宋体" w:cs="Times New Roman"/>
                <w:szCs w:val="21"/>
              </w:rPr>
              <w:t>10</w:t>
            </w:r>
            <w:r>
              <w:rPr>
                <w:rFonts w:hint="eastAsia" w:ascii="宋体" w:hAnsi="宋体" w:eastAsia="宋体" w:cs="等线"/>
                <w:szCs w:val="21"/>
              </w:rPr>
              <w:t>分</w:t>
            </w:r>
          </w:p>
        </w:tc>
        <w:tc>
          <w:tcPr>
            <w:tcW w:w="7488" w:type="dxa"/>
            <w:tcBorders>
              <w:top w:val="single" w:color="auto" w:sz="4" w:space="0"/>
              <w:left w:val="nil"/>
              <w:bottom w:val="single" w:color="auto" w:sz="4" w:space="0"/>
              <w:right w:val="single" w:color="auto" w:sz="4" w:space="0"/>
            </w:tcBorders>
            <w:vAlign w:val="center"/>
          </w:tcPr>
          <w:p w14:paraId="058CF804">
            <w:pPr>
              <w:spacing w:line="360" w:lineRule="auto"/>
              <w:jc w:val="left"/>
              <w:rPr>
                <w:rFonts w:hint="eastAsia" w:ascii="宋体" w:hAnsi="宋体" w:eastAsia="宋体" w:cs="Times New Roman"/>
                <w:kern w:val="2"/>
                <w:szCs w:val="21"/>
              </w:rPr>
            </w:pPr>
            <w:r>
              <w:rPr>
                <w:rFonts w:hint="eastAsia" w:ascii="宋体" w:hAnsi="宋体" w:eastAsia="宋体" w:cs="等线"/>
                <w:szCs w:val="21"/>
              </w:rPr>
              <w:t>供</w:t>
            </w:r>
            <w:r>
              <w:rPr>
                <w:rFonts w:hint="eastAsia" w:ascii="宋体" w:hAnsi="宋体" w:eastAsia="宋体" w:cs="微软雅黑"/>
                <w:szCs w:val="21"/>
              </w:rPr>
              <w:t>应</w:t>
            </w:r>
            <w:r>
              <w:rPr>
                <w:rFonts w:hint="eastAsia" w:ascii="宋体" w:hAnsi="宋体" w:eastAsia="宋体" w:cs="等线"/>
                <w:szCs w:val="21"/>
              </w:rPr>
              <w:t>商</w:t>
            </w:r>
            <w:r>
              <w:rPr>
                <w:rFonts w:hint="eastAsia" w:ascii="宋体" w:hAnsi="宋体" w:eastAsia="宋体" w:cs="微软雅黑"/>
                <w:szCs w:val="21"/>
              </w:rPr>
              <w:t>应</w:t>
            </w:r>
            <w:r>
              <w:rPr>
                <w:rFonts w:hint="eastAsia" w:ascii="宋体" w:hAnsi="宋体" w:eastAsia="宋体" w:cs="等线"/>
                <w:szCs w:val="21"/>
              </w:rPr>
              <w:t>根据招</w:t>
            </w:r>
            <w:r>
              <w:rPr>
                <w:rFonts w:hint="eastAsia" w:ascii="宋体" w:hAnsi="宋体" w:eastAsia="宋体" w:cs="微软雅黑"/>
                <w:szCs w:val="21"/>
              </w:rPr>
              <w:t>标</w:t>
            </w:r>
            <w:r>
              <w:rPr>
                <w:rFonts w:hint="eastAsia" w:ascii="宋体" w:hAnsi="宋体" w:eastAsia="宋体" w:cs="等线"/>
                <w:szCs w:val="21"/>
              </w:rPr>
              <w:t>文件要求及本</w:t>
            </w:r>
            <w:r>
              <w:rPr>
                <w:rFonts w:hint="eastAsia" w:ascii="宋体" w:hAnsi="宋体" w:eastAsia="宋体" w:cs="微软雅黑"/>
                <w:szCs w:val="21"/>
              </w:rPr>
              <w:t>项</w:t>
            </w:r>
            <w:r>
              <w:rPr>
                <w:rFonts w:hint="eastAsia" w:ascii="宋体" w:hAnsi="宋体" w:eastAsia="宋体" w:cs="等线"/>
                <w:szCs w:val="21"/>
              </w:rPr>
              <w:t>目特点，提供</w:t>
            </w:r>
            <w:r>
              <w:rPr>
                <w:rFonts w:hint="eastAsia" w:ascii="宋体" w:hAnsi="宋体" w:eastAsia="宋体" w:cs="微软雅黑"/>
                <w:szCs w:val="21"/>
              </w:rPr>
              <w:t>项</w:t>
            </w:r>
            <w:r>
              <w:rPr>
                <w:rFonts w:hint="eastAsia" w:ascii="宋体" w:hAnsi="宋体" w:eastAsia="宋体" w:cs="等线"/>
                <w:szCs w:val="21"/>
              </w:rPr>
              <w:t>目</w:t>
            </w:r>
            <w:r>
              <w:rPr>
                <w:rFonts w:hint="eastAsia" w:ascii="宋体" w:hAnsi="宋体" w:eastAsia="宋体" w:cs="微软雅黑"/>
                <w:szCs w:val="21"/>
              </w:rPr>
              <w:t>实</w:t>
            </w:r>
            <w:r>
              <w:rPr>
                <w:rFonts w:hint="eastAsia" w:ascii="宋体" w:hAnsi="宋体" w:eastAsia="宋体" w:cs="等线"/>
                <w:szCs w:val="21"/>
              </w:rPr>
              <w:t>施方案。包括</w:t>
            </w:r>
            <w:r>
              <w:rPr>
                <w:rFonts w:hint="eastAsia" w:ascii="宋体" w:hAnsi="宋体" w:eastAsia="宋体" w:cs="微软雅黑"/>
                <w:szCs w:val="21"/>
              </w:rPr>
              <w:t>针对</w:t>
            </w:r>
            <w:r>
              <w:rPr>
                <w:rFonts w:hint="eastAsia" w:ascii="宋体" w:hAnsi="宋体" w:eastAsia="宋体" w:cs="等线"/>
                <w:szCs w:val="21"/>
              </w:rPr>
              <w:t>此</w:t>
            </w:r>
            <w:r>
              <w:rPr>
                <w:rFonts w:hint="eastAsia" w:ascii="宋体" w:hAnsi="宋体" w:eastAsia="宋体" w:cs="微软雅黑"/>
                <w:szCs w:val="21"/>
              </w:rPr>
              <w:t>项</w:t>
            </w:r>
            <w:r>
              <w:rPr>
                <w:rFonts w:hint="eastAsia" w:ascii="宋体" w:hAnsi="宋体" w:eastAsia="宋体" w:cs="等线"/>
                <w:szCs w:val="21"/>
              </w:rPr>
              <w:t>目的</w:t>
            </w:r>
            <w:r>
              <w:rPr>
                <w:rFonts w:hint="eastAsia" w:ascii="宋体" w:hAnsi="宋体" w:eastAsia="宋体" w:cs="微软雅黑"/>
                <w:szCs w:val="21"/>
              </w:rPr>
              <w:t>项</w:t>
            </w:r>
            <w:r>
              <w:rPr>
                <w:rFonts w:hint="eastAsia" w:ascii="宋体" w:hAnsi="宋体" w:eastAsia="宋体" w:cs="等线"/>
                <w:szCs w:val="21"/>
              </w:rPr>
              <w:t>目</w:t>
            </w:r>
            <w:r>
              <w:rPr>
                <w:rFonts w:hint="eastAsia" w:ascii="宋体" w:hAnsi="宋体" w:eastAsia="宋体" w:cs="微软雅黑"/>
                <w:szCs w:val="21"/>
              </w:rPr>
              <w:t>组</w:t>
            </w:r>
            <w:r>
              <w:rPr>
                <w:rFonts w:hint="eastAsia" w:ascii="宋体" w:hAnsi="宋体" w:eastAsia="宋体" w:cs="等线"/>
                <w:szCs w:val="21"/>
              </w:rPr>
              <w:t>成</w:t>
            </w:r>
            <w:r>
              <w:rPr>
                <w:rFonts w:hint="eastAsia" w:ascii="宋体" w:hAnsi="宋体" w:eastAsia="宋体" w:cs="微软雅黑"/>
                <w:szCs w:val="21"/>
              </w:rPr>
              <w:t>员</w:t>
            </w:r>
            <w:r>
              <w:rPr>
                <w:rFonts w:hint="eastAsia" w:ascii="宋体" w:hAnsi="宋体" w:eastAsia="宋体" w:cs="等线"/>
                <w:szCs w:val="21"/>
              </w:rPr>
              <w:t>方案、</w:t>
            </w:r>
            <w:r>
              <w:rPr>
                <w:rFonts w:hint="eastAsia" w:ascii="宋体" w:hAnsi="宋体" w:eastAsia="宋体" w:cs="微软雅黑"/>
                <w:szCs w:val="21"/>
              </w:rPr>
              <w:t>项</w:t>
            </w:r>
            <w:r>
              <w:rPr>
                <w:rFonts w:hint="eastAsia" w:ascii="宋体" w:hAnsi="宋体" w:eastAsia="宋体" w:cs="等线"/>
                <w:szCs w:val="21"/>
              </w:rPr>
              <w:t>目</w:t>
            </w:r>
            <w:r>
              <w:rPr>
                <w:rFonts w:hint="eastAsia" w:ascii="宋体" w:hAnsi="宋体" w:eastAsia="宋体" w:cs="微软雅黑"/>
                <w:szCs w:val="21"/>
              </w:rPr>
              <w:t>进</w:t>
            </w:r>
            <w:r>
              <w:rPr>
                <w:rFonts w:hint="eastAsia" w:ascii="宋体" w:hAnsi="宋体" w:eastAsia="宋体" w:cs="等线"/>
                <w:szCs w:val="21"/>
              </w:rPr>
              <w:t>度控制方案、包装与运</w:t>
            </w:r>
            <w:r>
              <w:rPr>
                <w:rFonts w:hint="eastAsia" w:ascii="宋体" w:hAnsi="宋体" w:eastAsia="宋体" w:cs="微软雅黑"/>
                <w:szCs w:val="21"/>
              </w:rPr>
              <w:t>输</w:t>
            </w:r>
            <w:r>
              <w:rPr>
                <w:rFonts w:hint="eastAsia" w:ascii="宋体" w:hAnsi="宋体" w:eastAsia="宋体" w:cs="等线"/>
                <w:szCs w:val="21"/>
              </w:rPr>
              <w:t>方案等。</w:t>
            </w:r>
            <w:r>
              <w:rPr>
                <w:rFonts w:hint="eastAsia" w:ascii="宋体" w:hAnsi="宋体" w:eastAsia="宋体" w:cs="微软雅黑"/>
                <w:szCs w:val="21"/>
              </w:rPr>
              <w:t>项</w:t>
            </w:r>
            <w:r>
              <w:rPr>
                <w:rFonts w:hint="eastAsia" w:ascii="宋体" w:hAnsi="宋体" w:eastAsia="宋体" w:cs="等线"/>
                <w:szCs w:val="21"/>
              </w:rPr>
              <w:t>目</w:t>
            </w:r>
            <w:r>
              <w:rPr>
                <w:rFonts w:hint="eastAsia" w:ascii="宋体" w:hAnsi="宋体" w:eastAsia="宋体" w:cs="微软雅黑"/>
                <w:szCs w:val="21"/>
              </w:rPr>
              <w:t>实</w:t>
            </w:r>
            <w:r>
              <w:rPr>
                <w:rFonts w:hint="eastAsia" w:ascii="宋体" w:hAnsi="宋体" w:eastAsia="宋体" w:cs="等线"/>
                <w:szCs w:val="21"/>
              </w:rPr>
              <w:t>施方案及措施全面、可行得10分；</w:t>
            </w:r>
            <w:r>
              <w:rPr>
                <w:rFonts w:hint="eastAsia" w:ascii="宋体" w:hAnsi="宋体" w:eastAsia="宋体" w:cs="微软雅黑"/>
                <w:szCs w:val="21"/>
              </w:rPr>
              <w:t>项</w:t>
            </w:r>
            <w:r>
              <w:rPr>
                <w:rFonts w:hint="eastAsia" w:ascii="宋体" w:hAnsi="宋体" w:eastAsia="宋体" w:cs="等线"/>
                <w:szCs w:val="21"/>
              </w:rPr>
              <w:t>目</w:t>
            </w:r>
            <w:r>
              <w:rPr>
                <w:rFonts w:hint="eastAsia" w:ascii="宋体" w:hAnsi="宋体" w:eastAsia="宋体" w:cs="微软雅黑"/>
                <w:szCs w:val="21"/>
              </w:rPr>
              <w:t>实</w:t>
            </w:r>
            <w:r>
              <w:rPr>
                <w:rFonts w:hint="eastAsia" w:ascii="宋体" w:hAnsi="宋体" w:eastAsia="宋体" w:cs="等线"/>
                <w:szCs w:val="21"/>
              </w:rPr>
              <w:t>施方案及措施</w:t>
            </w:r>
            <w:r>
              <w:rPr>
                <w:rFonts w:hint="eastAsia" w:ascii="宋体" w:hAnsi="宋体" w:eastAsia="宋体" w:cs="微软雅黑"/>
                <w:szCs w:val="21"/>
              </w:rPr>
              <w:t>较</w:t>
            </w:r>
            <w:r>
              <w:rPr>
                <w:rFonts w:hint="eastAsia" w:ascii="宋体" w:hAnsi="宋体" w:eastAsia="宋体" w:cs="等线"/>
                <w:szCs w:val="21"/>
              </w:rPr>
              <w:t>全面、可行得</w:t>
            </w:r>
            <w:r>
              <w:rPr>
                <w:rFonts w:hint="eastAsia" w:ascii="宋体" w:hAnsi="宋体" w:eastAsia="宋体" w:cs="Times New Roman"/>
                <w:szCs w:val="21"/>
              </w:rPr>
              <w:t>7</w:t>
            </w:r>
            <w:r>
              <w:rPr>
                <w:rFonts w:hint="eastAsia" w:ascii="宋体" w:hAnsi="宋体" w:eastAsia="宋体" w:cs="等线"/>
                <w:szCs w:val="21"/>
              </w:rPr>
              <w:t>分；</w:t>
            </w:r>
            <w:r>
              <w:rPr>
                <w:rFonts w:hint="eastAsia" w:ascii="宋体" w:hAnsi="宋体" w:eastAsia="宋体" w:cs="微软雅黑"/>
                <w:szCs w:val="21"/>
              </w:rPr>
              <w:t>项</w:t>
            </w:r>
            <w:r>
              <w:rPr>
                <w:rFonts w:hint="eastAsia" w:ascii="宋体" w:hAnsi="宋体" w:eastAsia="宋体" w:cs="等线"/>
                <w:szCs w:val="21"/>
              </w:rPr>
              <w:t>目</w:t>
            </w:r>
            <w:r>
              <w:rPr>
                <w:rFonts w:hint="eastAsia" w:ascii="宋体" w:hAnsi="宋体" w:eastAsia="宋体" w:cs="微软雅黑"/>
                <w:szCs w:val="21"/>
              </w:rPr>
              <w:t>实</w:t>
            </w:r>
            <w:r>
              <w:rPr>
                <w:rFonts w:hint="eastAsia" w:ascii="宋体" w:hAnsi="宋体" w:eastAsia="宋体" w:cs="等线"/>
                <w:szCs w:val="21"/>
              </w:rPr>
              <w:t>施方案及措施全面性、可行性一般得</w:t>
            </w:r>
            <w:r>
              <w:rPr>
                <w:rFonts w:hint="eastAsia" w:ascii="宋体" w:hAnsi="宋体" w:eastAsia="宋体" w:cs="Times New Roman"/>
                <w:szCs w:val="21"/>
              </w:rPr>
              <w:t>4</w:t>
            </w:r>
            <w:r>
              <w:rPr>
                <w:rFonts w:hint="eastAsia" w:ascii="宋体" w:hAnsi="宋体" w:eastAsia="宋体" w:cs="等线"/>
                <w:szCs w:val="21"/>
              </w:rPr>
              <w:t>分；未提供</w:t>
            </w:r>
            <w:r>
              <w:rPr>
                <w:rFonts w:hint="eastAsia" w:ascii="宋体" w:hAnsi="宋体" w:eastAsia="宋体" w:cs="微软雅黑"/>
                <w:szCs w:val="21"/>
              </w:rPr>
              <w:t>项</w:t>
            </w:r>
            <w:r>
              <w:rPr>
                <w:rFonts w:hint="eastAsia" w:ascii="宋体" w:hAnsi="宋体" w:eastAsia="宋体" w:cs="等线"/>
                <w:szCs w:val="21"/>
              </w:rPr>
              <w:t>目</w:t>
            </w:r>
            <w:r>
              <w:rPr>
                <w:rFonts w:hint="eastAsia" w:ascii="宋体" w:hAnsi="宋体" w:eastAsia="宋体" w:cs="微软雅黑"/>
                <w:szCs w:val="21"/>
              </w:rPr>
              <w:t>实</w:t>
            </w:r>
            <w:r>
              <w:rPr>
                <w:rFonts w:hint="eastAsia" w:ascii="宋体" w:hAnsi="宋体" w:eastAsia="宋体" w:cs="等线"/>
                <w:szCs w:val="21"/>
              </w:rPr>
              <w:t>施方案不得分。</w:t>
            </w:r>
          </w:p>
        </w:tc>
        <w:tc>
          <w:tcPr>
            <w:tcW w:w="851" w:type="dxa"/>
            <w:tcBorders>
              <w:top w:val="single" w:color="auto" w:sz="4" w:space="0"/>
              <w:left w:val="nil"/>
              <w:bottom w:val="single" w:color="auto" w:sz="4" w:space="0"/>
              <w:right w:val="single" w:color="auto" w:sz="4" w:space="0"/>
            </w:tcBorders>
            <w:vAlign w:val="center"/>
          </w:tcPr>
          <w:p w14:paraId="0C1354BF">
            <w:pPr>
              <w:spacing w:line="360" w:lineRule="auto"/>
              <w:jc w:val="center"/>
              <w:rPr>
                <w:rFonts w:hint="eastAsia" w:ascii="宋体" w:hAnsi="宋体" w:eastAsia="宋体" w:cs="等线"/>
                <w:szCs w:val="21"/>
              </w:rPr>
            </w:pPr>
            <w:r>
              <w:rPr>
                <w:rFonts w:hint="eastAsia" w:ascii="宋体" w:hAnsi="宋体" w:eastAsia="宋体" w:cs="等线"/>
                <w:szCs w:val="21"/>
              </w:rPr>
              <w:t>10</w:t>
            </w:r>
          </w:p>
        </w:tc>
      </w:tr>
      <w:tr w14:paraId="59DD2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7" w:hRule="atLeast"/>
        </w:trPr>
        <w:tc>
          <w:tcPr>
            <w:tcW w:w="567" w:type="dxa"/>
            <w:tcBorders>
              <w:top w:val="single" w:color="auto" w:sz="4" w:space="0"/>
              <w:left w:val="single" w:color="auto" w:sz="4" w:space="0"/>
              <w:bottom w:val="single" w:color="auto" w:sz="4" w:space="0"/>
              <w:right w:val="single" w:color="auto" w:sz="4" w:space="0"/>
            </w:tcBorders>
            <w:vAlign w:val="center"/>
          </w:tcPr>
          <w:p w14:paraId="0ABB295D">
            <w:pPr>
              <w:spacing w:line="360" w:lineRule="auto"/>
              <w:jc w:val="center"/>
              <w:rPr>
                <w:rFonts w:hint="eastAsia" w:ascii="宋体" w:hAnsi="宋体" w:eastAsia="宋体" w:cs="等线"/>
                <w:szCs w:val="21"/>
              </w:rPr>
            </w:pPr>
            <w:r>
              <w:rPr>
                <w:rFonts w:hint="eastAsia" w:ascii="宋体" w:hAnsi="宋体" w:eastAsia="宋体" w:cs="等线"/>
                <w:szCs w:val="21"/>
              </w:rPr>
              <w:t>6</w:t>
            </w:r>
          </w:p>
        </w:tc>
        <w:tc>
          <w:tcPr>
            <w:tcW w:w="1159" w:type="dxa"/>
            <w:tcBorders>
              <w:top w:val="single" w:color="auto" w:sz="4" w:space="0"/>
              <w:left w:val="nil"/>
              <w:bottom w:val="single" w:color="auto" w:sz="4" w:space="0"/>
              <w:right w:val="single" w:color="auto" w:sz="4" w:space="0"/>
            </w:tcBorders>
            <w:vAlign w:val="center"/>
          </w:tcPr>
          <w:p w14:paraId="492E7873">
            <w:pPr>
              <w:spacing w:line="360" w:lineRule="auto"/>
              <w:jc w:val="center"/>
              <w:rPr>
                <w:rFonts w:hint="eastAsia" w:ascii="宋体" w:hAnsi="宋体" w:eastAsia="宋体" w:cs="等线"/>
                <w:szCs w:val="21"/>
              </w:rPr>
            </w:pPr>
            <w:r>
              <w:rPr>
                <w:rFonts w:hint="eastAsia" w:ascii="宋体" w:hAnsi="宋体" w:eastAsia="宋体" w:cs="等线"/>
                <w:szCs w:val="21"/>
              </w:rPr>
              <w:t>售后服</w:t>
            </w:r>
            <w:r>
              <w:rPr>
                <w:rFonts w:hint="eastAsia" w:ascii="宋体" w:hAnsi="宋体" w:eastAsia="宋体" w:cs="微软雅黑"/>
                <w:szCs w:val="21"/>
              </w:rPr>
              <w:t>务</w:t>
            </w:r>
            <w:r>
              <w:rPr>
                <w:rFonts w:hint="eastAsia" w:ascii="宋体" w:hAnsi="宋体" w:eastAsia="宋体" w:cs="等线"/>
                <w:szCs w:val="21"/>
              </w:rPr>
              <w:t>方案</w:t>
            </w:r>
            <w:r>
              <w:rPr>
                <w:rFonts w:hint="eastAsia" w:ascii="宋体" w:hAnsi="宋体" w:eastAsia="宋体" w:cs="Times New Roman"/>
                <w:szCs w:val="21"/>
              </w:rPr>
              <w:t>4</w:t>
            </w:r>
            <w:r>
              <w:rPr>
                <w:rFonts w:hint="eastAsia" w:ascii="宋体" w:hAnsi="宋体" w:eastAsia="宋体" w:cs="等线"/>
                <w:szCs w:val="21"/>
              </w:rPr>
              <w:t>分</w:t>
            </w:r>
          </w:p>
        </w:tc>
        <w:tc>
          <w:tcPr>
            <w:tcW w:w="7488" w:type="dxa"/>
            <w:tcBorders>
              <w:top w:val="single" w:color="auto" w:sz="4" w:space="0"/>
              <w:left w:val="nil"/>
              <w:bottom w:val="single" w:color="auto" w:sz="4" w:space="0"/>
              <w:right w:val="single" w:color="auto" w:sz="4" w:space="0"/>
            </w:tcBorders>
            <w:vAlign w:val="center"/>
          </w:tcPr>
          <w:p w14:paraId="16CFBF4D">
            <w:pPr>
              <w:spacing w:line="360" w:lineRule="auto"/>
              <w:jc w:val="left"/>
              <w:rPr>
                <w:rFonts w:hint="eastAsia" w:ascii="宋体" w:hAnsi="宋体" w:eastAsia="宋体" w:cs="等线"/>
                <w:szCs w:val="21"/>
              </w:rPr>
            </w:pPr>
            <w:r>
              <w:rPr>
                <w:rFonts w:hint="eastAsia" w:ascii="宋体" w:hAnsi="宋体" w:eastAsia="宋体" w:cs="等线"/>
                <w:szCs w:val="21"/>
              </w:rPr>
              <w:t>供</w:t>
            </w:r>
            <w:r>
              <w:rPr>
                <w:rFonts w:hint="eastAsia" w:ascii="宋体" w:hAnsi="宋体" w:eastAsia="宋体" w:cs="微软雅黑"/>
                <w:szCs w:val="21"/>
              </w:rPr>
              <w:t>应</w:t>
            </w:r>
            <w:r>
              <w:rPr>
                <w:rFonts w:hint="eastAsia" w:ascii="宋体" w:hAnsi="宋体" w:eastAsia="宋体" w:cs="等线"/>
                <w:szCs w:val="21"/>
              </w:rPr>
              <w:t>商需响</w:t>
            </w:r>
            <w:r>
              <w:rPr>
                <w:rFonts w:hint="eastAsia" w:ascii="宋体" w:hAnsi="宋体" w:eastAsia="宋体" w:cs="微软雅黑"/>
                <w:szCs w:val="21"/>
              </w:rPr>
              <w:t>应</w:t>
            </w:r>
            <w:r>
              <w:rPr>
                <w:rFonts w:hint="eastAsia" w:ascii="宋体" w:hAnsi="宋体" w:eastAsia="宋体" w:cs="等线"/>
                <w:szCs w:val="21"/>
              </w:rPr>
              <w:t>招</w:t>
            </w:r>
            <w:r>
              <w:rPr>
                <w:rFonts w:hint="eastAsia" w:ascii="宋体" w:hAnsi="宋体" w:eastAsia="宋体" w:cs="微软雅黑"/>
                <w:szCs w:val="21"/>
              </w:rPr>
              <w:t>标</w:t>
            </w:r>
            <w:r>
              <w:rPr>
                <w:rFonts w:hint="eastAsia" w:ascii="宋体" w:hAnsi="宋体" w:eastAsia="宋体" w:cs="等线"/>
                <w:szCs w:val="21"/>
              </w:rPr>
              <w:t>文件售后服</w:t>
            </w:r>
            <w:r>
              <w:rPr>
                <w:rFonts w:hint="eastAsia" w:ascii="宋体" w:hAnsi="宋体" w:eastAsia="宋体" w:cs="微软雅黑"/>
                <w:szCs w:val="21"/>
              </w:rPr>
              <w:t>务</w:t>
            </w:r>
            <w:r>
              <w:rPr>
                <w:rFonts w:hint="eastAsia" w:ascii="宋体" w:hAnsi="宋体" w:eastAsia="宋体" w:cs="等线"/>
                <w:szCs w:val="21"/>
              </w:rPr>
              <w:t>要求并提供售后服</w:t>
            </w:r>
            <w:r>
              <w:rPr>
                <w:rFonts w:hint="eastAsia" w:ascii="宋体" w:hAnsi="宋体" w:eastAsia="宋体" w:cs="微软雅黑"/>
                <w:szCs w:val="21"/>
              </w:rPr>
              <w:t>务</w:t>
            </w:r>
            <w:r>
              <w:rPr>
                <w:rFonts w:hint="eastAsia" w:ascii="宋体" w:hAnsi="宋体" w:eastAsia="宋体" w:cs="等线"/>
                <w:szCs w:val="21"/>
              </w:rPr>
              <w:t>方案，售后服</w:t>
            </w:r>
            <w:r>
              <w:rPr>
                <w:rFonts w:hint="eastAsia" w:ascii="宋体" w:hAnsi="宋体" w:eastAsia="宋体" w:cs="微软雅黑"/>
                <w:szCs w:val="21"/>
              </w:rPr>
              <w:t>务</w:t>
            </w:r>
            <w:r>
              <w:rPr>
                <w:rFonts w:hint="eastAsia" w:ascii="宋体" w:hAnsi="宋体" w:eastAsia="宋体" w:cs="等线"/>
                <w:szCs w:val="21"/>
              </w:rPr>
              <w:t>方案需</w:t>
            </w:r>
            <w:r>
              <w:rPr>
                <w:rFonts w:hint="eastAsia" w:ascii="宋体" w:hAnsi="宋体" w:eastAsia="宋体" w:cs="微软雅黑"/>
                <w:szCs w:val="21"/>
              </w:rPr>
              <w:t>针对</w:t>
            </w:r>
            <w:r>
              <w:rPr>
                <w:rFonts w:hint="eastAsia" w:ascii="宋体" w:hAnsi="宋体" w:eastAsia="宋体" w:cs="等线"/>
                <w:szCs w:val="21"/>
              </w:rPr>
              <w:t>本</w:t>
            </w:r>
            <w:r>
              <w:rPr>
                <w:rFonts w:hint="eastAsia" w:ascii="宋体" w:hAnsi="宋体" w:eastAsia="宋体" w:cs="微软雅黑"/>
                <w:szCs w:val="21"/>
              </w:rPr>
              <w:t>项</w:t>
            </w:r>
            <w:r>
              <w:rPr>
                <w:rFonts w:hint="eastAsia" w:ascii="宋体" w:hAnsi="宋体" w:eastAsia="宋体" w:cs="等线"/>
                <w:szCs w:val="21"/>
              </w:rPr>
              <w:t>目提供售后服</w:t>
            </w:r>
            <w:r>
              <w:rPr>
                <w:rFonts w:hint="eastAsia" w:ascii="宋体" w:hAnsi="宋体" w:eastAsia="宋体" w:cs="微软雅黑"/>
                <w:szCs w:val="21"/>
              </w:rPr>
              <w:t>务</w:t>
            </w:r>
            <w:r>
              <w:rPr>
                <w:rFonts w:hint="eastAsia" w:ascii="宋体" w:hAnsi="宋体" w:eastAsia="宋体" w:cs="等线"/>
                <w:szCs w:val="21"/>
              </w:rPr>
              <w:t>方案内容；售后服</w:t>
            </w:r>
            <w:r>
              <w:rPr>
                <w:rFonts w:hint="eastAsia" w:ascii="宋体" w:hAnsi="宋体" w:eastAsia="宋体" w:cs="微软雅黑"/>
                <w:szCs w:val="21"/>
              </w:rPr>
              <w:t>务</w:t>
            </w:r>
            <w:r>
              <w:rPr>
                <w:rFonts w:hint="eastAsia" w:ascii="宋体" w:hAnsi="宋体" w:eastAsia="宋体" w:cs="等线"/>
                <w:szCs w:val="21"/>
              </w:rPr>
              <w:t>方案内容全面完善，可行性及服</w:t>
            </w:r>
            <w:r>
              <w:rPr>
                <w:rFonts w:hint="eastAsia" w:ascii="宋体" w:hAnsi="宋体" w:eastAsia="宋体" w:cs="微软雅黑"/>
                <w:szCs w:val="21"/>
              </w:rPr>
              <w:t>务标</w:t>
            </w:r>
            <w:r>
              <w:rPr>
                <w:rFonts w:hint="eastAsia" w:ascii="宋体" w:hAnsi="宋体" w:eastAsia="宋体" w:cs="等线"/>
                <w:szCs w:val="21"/>
              </w:rPr>
              <w:t>准</w:t>
            </w:r>
            <w:r>
              <w:rPr>
                <w:rFonts w:hint="eastAsia" w:ascii="宋体" w:hAnsi="宋体" w:eastAsia="宋体" w:cs="微软雅黑"/>
                <w:szCs w:val="21"/>
              </w:rPr>
              <w:t>优</w:t>
            </w:r>
            <w:r>
              <w:rPr>
                <w:rFonts w:hint="eastAsia" w:ascii="宋体" w:hAnsi="宋体" w:eastAsia="宋体" w:cs="等线"/>
                <w:szCs w:val="21"/>
              </w:rPr>
              <w:t>得</w:t>
            </w:r>
            <w:r>
              <w:rPr>
                <w:rFonts w:hint="eastAsia" w:ascii="宋体" w:hAnsi="宋体" w:eastAsia="宋体" w:cs="Times New Roman"/>
                <w:szCs w:val="21"/>
              </w:rPr>
              <w:t>4</w:t>
            </w:r>
            <w:r>
              <w:rPr>
                <w:rFonts w:hint="eastAsia" w:ascii="宋体" w:hAnsi="宋体" w:eastAsia="宋体" w:cs="等线"/>
                <w:szCs w:val="21"/>
              </w:rPr>
              <w:t>分；售后服</w:t>
            </w:r>
            <w:r>
              <w:rPr>
                <w:rFonts w:hint="eastAsia" w:ascii="宋体" w:hAnsi="宋体" w:eastAsia="宋体" w:cs="微软雅黑"/>
                <w:szCs w:val="21"/>
              </w:rPr>
              <w:t>务</w:t>
            </w:r>
            <w:r>
              <w:rPr>
                <w:rFonts w:hint="eastAsia" w:ascii="宋体" w:hAnsi="宋体" w:eastAsia="宋体" w:cs="等线"/>
                <w:szCs w:val="21"/>
              </w:rPr>
              <w:t>方案内容</w:t>
            </w:r>
            <w:r>
              <w:rPr>
                <w:rFonts w:hint="eastAsia" w:ascii="宋体" w:hAnsi="宋体" w:eastAsia="宋体" w:cs="微软雅黑"/>
                <w:szCs w:val="21"/>
              </w:rPr>
              <w:t>较为</w:t>
            </w:r>
            <w:r>
              <w:rPr>
                <w:rFonts w:hint="eastAsia" w:ascii="宋体" w:hAnsi="宋体" w:eastAsia="宋体" w:cs="等线"/>
                <w:szCs w:val="21"/>
              </w:rPr>
              <w:t>全面完善，可行性及服</w:t>
            </w:r>
            <w:r>
              <w:rPr>
                <w:rFonts w:hint="eastAsia" w:ascii="宋体" w:hAnsi="宋体" w:eastAsia="宋体" w:cs="微软雅黑"/>
                <w:szCs w:val="21"/>
              </w:rPr>
              <w:t>务标</w:t>
            </w:r>
            <w:r>
              <w:rPr>
                <w:rFonts w:hint="eastAsia" w:ascii="宋体" w:hAnsi="宋体" w:eastAsia="宋体" w:cs="等线"/>
                <w:szCs w:val="21"/>
              </w:rPr>
              <w:t>准良得</w:t>
            </w:r>
            <w:r>
              <w:rPr>
                <w:rFonts w:hint="eastAsia" w:ascii="宋体" w:hAnsi="宋体" w:eastAsia="宋体" w:cs="Times New Roman"/>
                <w:szCs w:val="21"/>
              </w:rPr>
              <w:t>2</w:t>
            </w:r>
            <w:r>
              <w:rPr>
                <w:rFonts w:hint="eastAsia" w:ascii="宋体" w:hAnsi="宋体" w:eastAsia="宋体" w:cs="等线"/>
                <w:szCs w:val="21"/>
              </w:rPr>
              <w:t>分；售后服</w:t>
            </w:r>
            <w:r>
              <w:rPr>
                <w:rFonts w:hint="eastAsia" w:ascii="宋体" w:hAnsi="宋体" w:eastAsia="宋体" w:cs="微软雅黑"/>
                <w:szCs w:val="21"/>
              </w:rPr>
              <w:t>务</w:t>
            </w:r>
            <w:r>
              <w:rPr>
                <w:rFonts w:hint="eastAsia" w:ascii="宋体" w:hAnsi="宋体" w:eastAsia="宋体" w:cs="等线"/>
                <w:szCs w:val="21"/>
              </w:rPr>
              <w:t>方案内容不</w:t>
            </w:r>
            <w:r>
              <w:rPr>
                <w:rFonts w:hint="eastAsia" w:ascii="宋体" w:hAnsi="宋体" w:eastAsia="宋体" w:cs="微软雅黑"/>
                <w:szCs w:val="21"/>
              </w:rPr>
              <w:t>够</w:t>
            </w:r>
            <w:r>
              <w:rPr>
                <w:rFonts w:hint="eastAsia" w:ascii="宋体" w:hAnsi="宋体" w:eastAsia="宋体" w:cs="等线"/>
                <w:szCs w:val="21"/>
              </w:rPr>
              <w:t>全面，可行性及服</w:t>
            </w:r>
            <w:r>
              <w:rPr>
                <w:rFonts w:hint="eastAsia" w:ascii="宋体" w:hAnsi="宋体" w:eastAsia="宋体" w:cs="微软雅黑"/>
                <w:szCs w:val="21"/>
              </w:rPr>
              <w:t>务标</w:t>
            </w:r>
            <w:r>
              <w:rPr>
                <w:rFonts w:hint="eastAsia" w:ascii="宋体" w:hAnsi="宋体" w:eastAsia="宋体" w:cs="等线"/>
                <w:szCs w:val="21"/>
              </w:rPr>
              <w:t>准</w:t>
            </w:r>
            <w:r>
              <w:rPr>
                <w:rFonts w:hint="eastAsia" w:ascii="宋体" w:hAnsi="宋体" w:eastAsia="宋体" w:cs="微软雅黑"/>
                <w:szCs w:val="21"/>
              </w:rPr>
              <w:t>较</w:t>
            </w:r>
            <w:r>
              <w:rPr>
                <w:rFonts w:hint="eastAsia" w:ascii="宋体" w:hAnsi="宋体" w:eastAsia="宋体" w:cs="等线"/>
                <w:szCs w:val="21"/>
              </w:rPr>
              <w:t>差或未提供售后服</w:t>
            </w:r>
            <w:r>
              <w:rPr>
                <w:rFonts w:hint="eastAsia" w:ascii="宋体" w:hAnsi="宋体" w:eastAsia="宋体" w:cs="微软雅黑"/>
                <w:szCs w:val="21"/>
              </w:rPr>
              <w:t>务</w:t>
            </w:r>
            <w:r>
              <w:rPr>
                <w:rFonts w:hint="eastAsia" w:ascii="宋体" w:hAnsi="宋体" w:eastAsia="宋体" w:cs="等线"/>
                <w:szCs w:val="21"/>
              </w:rPr>
              <w:t>方案不得分；</w:t>
            </w:r>
          </w:p>
        </w:tc>
        <w:tc>
          <w:tcPr>
            <w:tcW w:w="851" w:type="dxa"/>
            <w:tcBorders>
              <w:top w:val="single" w:color="auto" w:sz="4" w:space="0"/>
              <w:left w:val="nil"/>
              <w:bottom w:val="single" w:color="auto" w:sz="4" w:space="0"/>
              <w:right w:val="single" w:color="auto" w:sz="4" w:space="0"/>
            </w:tcBorders>
            <w:vAlign w:val="center"/>
          </w:tcPr>
          <w:p w14:paraId="3AEAB98D">
            <w:pPr>
              <w:spacing w:line="360" w:lineRule="auto"/>
              <w:jc w:val="center"/>
              <w:rPr>
                <w:rFonts w:hint="eastAsia" w:ascii="宋体" w:hAnsi="宋体" w:eastAsia="宋体" w:cs="等线"/>
                <w:szCs w:val="21"/>
              </w:rPr>
            </w:pPr>
            <w:r>
              <w:rPr>
                <w:rFonts w:hint="eastAsia" w:ascii="宋体" w:hAnsi="宋体" w:eastAsia="宋体" w:cs="等线"/>
                <w:szCs w:val="21"/>
              </w:rPr>
              <w:t>4</w:t>
            </w:r>
          </w:p>
        </w:tc>
      </w:tr>
      <w:tr w14:paraId="1F009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567" w:type="dxa"/>
            <w:tcBorders>
              <w:top w:val="single" w:color="auto" w:sz="4" w:space="0"/>
              <w:left w:val="single" w:color="auto" w:sz="4" w:space="0"/>
              <w:bottom w:val="single" w:color="auto" w:sz="4" w:space="0"/>
              <w:right w:val="single" w:color="auto" w:sz="4" w:space="0"/>
            </w:tcBorders>
            <w:vAlign w:val="center"/>
          </w:tcPr>
          <w:p w14:paraId="1372FF8B">
            <w:pPr>
              <w:spacing w:line="360" w:lineRule="auto"/>
              <w:jc w:val="center"/>
              <w:rPr>
                <w:rFonts w:hint="eastAsia" w:ascii="宋体" w:hAnsi="宋体" w:eastAsia="宋体" w:cs="微软雅黑"/>
                <w:szCs w:val="21"/>
              </w:rPr>
            </w:pPr>
            <w:r>
              <w:rPr>
                <w:rFonts w:hint="eastAsia" w:ascii="宋体" w:hAnsi="宋体" w:eastAsia="宋体" w:cs="微软雅黑"/>
                <w:szCs w:val="21"/>
              </w:rPr>
              <w:t>7</w:t>
            </w:r>
          </w:p>
        </w:tc>
        <w:tc>
          <w:tcPr>
            <w:tcW w:w="1159" w:type="dxa"/>
            <w:tcBorders>
              <w:top w:val="single" w:color="auto" w:sz="4" w:space="0"/>
              <w:left w:val="nil"/>
              <w:bottom w:val="single" w:color="auto" w:sz="4" w:space="0"/>
              <w:right w:val="single" w:color="auto" w:sz="4" w:space="0"/>
            </w:tcBorders>
            <w:vAlign w:val="center"/>
          </w:tcPr>
          <w:p w14:paraId="3DC229C6">
            <w:pPr>
              <w:spacing w:line="360" w:lineRule="auto"/>
              <w:jc w:val="center"/>
              <w:rPr>
                <w:rFonts w:hint="eastAsia" w:ascii="宋体" w:hAnsi="宋体" w:eastAsia="宋体" w:cs="等线"/>
                <w:szCs w:val="21"/>
              </w:rPr>
            </w:pPr>
            <w:r>
              <w:rPr>
                <w:rFonts w:hint="eastAsia" w:ascii="宋体" w:hAnsi="宋体" w:eastAsia="宋体" w:cs="微软雅黑"/>
                <w:szCs w:val="21"/>
              </w:rPr>
              <w:t>检测报</w:t>
            </w:r>
            <w:r>
              <w:rPr>
                <w:rFonts w:hint="eastAsia" w:ascii="宋体" w:hAnsi="宋体" w:eastAsia="宋体" w:cs="等线"/>
                <w:szCs w:val="21"/>
              </w:rPr>
              <w:t>告6分</w:t>
            </w:r>
          </w:p>
        </w:tc>
        <w:tc>
          <w:tcPr>
            <w:tcW w:w="7488" w:type="dxa"/>
            <w:tcBorders>
              <w:top w:val="single" w:color="auto" w:sz="4" w:space="0"/>
              <w:left w:val="nil"/>
              <w:bottom w:val="single" w:color="auto" w:sz="4" w:space="0"/>
              <w:right w:val="single" w:color="auto" w:sz="4" w:space="0"/>
            </w:tcBorders>
            <w:shd w:val="clear" w:color="auto" w:fill="FFFFFF" w:themeFill="background1"/>
            <w:vAlign w:val="center"/>
          </w:tcPr>
          <w:p w14:paraId="5CC96632">
            <w:pPr>
              <w:spacing w:line="360" w:lineRule="auto"/>
              <w:jc w:val="left"/>
              <w:rPr>
                <w:rFonts w:hint="eastAsia" w:ascii="宋体" w:hAnsi="宋体" w:eastAsia="宋体" w:cs="微软雅黑"/>
                <w:szCs w:val="21"/>
              </w:rPr>
            </w:pPr>
            <w:r>
              <w:rPr>
                <w:rFonts w:hint="eastAsia" w:ascii="宋体" w:hAnsi="宋体" w:eastAsia="宋体" w:cs="宋体"/>
                <w:szCs w:val="21"/>
              </w:rPr>
              <w:t>供应商需提供2022年6月1日之后的春秋常服配套衬衣、夏装制式衬衣（短袖）（长袖）的面料检测报告，符合第三部分采购需求要求的面料检测报告，得6分，满分6分。检测报告的参数不符合项目需求的要求，该检测报告不得分。提供检测报告复印件加盖投标供应商单位公章，检测报告委托单位须为投标供应商，否则不得分。</w:t>
            </w:r>
          </w:p>
        </w:tc>
        <w:tc>
          <w:tcPr>
            <w:tcW w:w="851" w:type="dxa"/>
            <w:tcBorders>
              <w:top w:val="single" w:color="auto" w:sz="4" w:space="0"/>
              <w:left w:val="nil"/>
              <w:bottom w:val="single" w:color="auto" w:sz="4" w:space="0"/>
              <w:right w:val="single" w:color="auto" w:sz="4" w:space="0"/>
            </w:tcBorders>
            <w:shd w:val="clear" w:color="auto" w:fill="FFFFFF" w:themeFill="background1"/>
            <w:vAlign w:val="center"/>
          </w:tcPr>
          <w:p w14:paraId="35628121">
            <w:pPr>
              <w:spacing w:line="360" w:lineRule="auto"/>
              <w:jc w:val="center"/>
              <w:rPr>
                <w:rFonts w:hint="eastAsia" w:ascii="宋体" w:hAnsi="宋体" w:eastAsia="宋体" w:cs="微软雅黑"/>
                <w:szCs w:val="21"/>
              </w:rPr>
            </w:pPr>
            <w:r>
              <w:rPr>
                <w:rFonts w:hint="eastAsia" w:ascii="宋体" w:hAnsi="宋体" w:eastAsia="宋体" w:cs="微软雅黑"/>
                <w:szCs w:val="21"/>
              </w:rPr>
              <w:t>6</w:t>
            </w:r>
          </w:p>
        </w:tc>
      </w:tr>
      <w:tr w14:paraId="1F5DF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4B61D13">
            <w:pPr>
              <w:spacing w:line="360" w:lineRule="auto"/>
              <w:jc w:val="center"/>
              <w:rPr>
                <w:rFonts w:hint="eastAsia" w:ascii="宋体" w:hAnsi="宋体" w:eastAsia="宋体" w:cs="微软雅黑"/>
                <w:szCs w:val="21"/>
              </w:rPr>
            </w:pPr>
            <w:r>
              <w:rPr>
                <w:rFonts w:hint="eastAsia" w:ascii="宋体" w:hAnsi="宋体" w:eastAsia="宋体" w:cs="微软雅黑"/>
                <w:szCs w:val="21"/>
              </w:rPr>
              <w:t>8</w:t>
            </w:r>
          </w:p>
        </w:tc>
        <w:tc>
          <w:tcPr>
            <w:tcW w:w="1159" w:type="dxa"/>
            <w:tcBorders>
              <w:top w:val="single" w:color="auto" w:sz="4" w:space="0"/>
              <w:left w:val="nil"/>
              <w:bottom w:val="single" w:color="auto" w:sz="4" w:space="0"/>
              <w:right w:val="single" w:color="auto" w:sz="4" w:space="0"/>
            </w:tcBorders>
            <w:shd w:val="clear" w:color="auto" w:fill="auto"/>
            <w:vAlign w:val="center"/>
          </w:tcPr>
          <w:p w14:paraId="09866B06">
            <w:pPr>
              <w:spacing w:line="360" w:lineRule="auto"/>
              <w:jc w:val="center"/>
              <w:rPr>
                <w:rFonts w:hint="eastAsia" w:ascii="宋体" w:hAnsi="宋体" w:eastAsia="宋体" w:cs="等线"/>
                <w:szCs w:val="21"/>
              </w:rPr>
            </w:pPr>
            <w:bookmarkStart w:id="98" w:name="OLE_LINK8"/>
            <w:r>
              <w:rPr>
                <w:rFonts w:hint="eastAsia" w:ascii="宋体" w:hAnsi="宋体" w:eastAsia="宋体" w:cs="微软雅黑"/>
                <w:szCs w:val="21"/>
              </w:rPr>
              <w:t>样</w:t>
            </w:r>
            <w:r>
              <w:rPr>
                <w:rFonts w:hint="eastAsia" w:ascii="宋体" w:hAnsi="宋体" w:eastAsia="宋体" w:cs="等线"/>
                <w:szCs w:val="21"/>
              </w:rPr>
              <w:t>品</w:t>
            </w:r>
            <w:r>
              <w:rPr>
                <w:rFonts w:hint="eastAsia" w:ascii="宋体" w:hAnsi="宋体" w:eastAsia="宋体" w:cs="微软雅黑"/>
                <w:szCs w:val="21"/>
              </w:rPr>
              <w:t>评</w:t>
            </w:r>
            <w:r>
              <w:rPr>
                <w:rFonts w:hint="eastAsia" w:ascii="宋体" w:hAnsi="宋体" w:eastAsia="宋体" w:cs="等线"/>
                <w:szCs w:val="21"/>
              </w:rPr>
              <w:t>价27分</w:t>
            </w:r>
            <w:bookmarkEnd w:id="98"/>
          </w:p>
        </w:tc>
        <w:tc>
          <w:tcPr>
            <w:tcW w:w="7488" w:type="dxa"/>
            <w:tcBorders>
              <w:top w:val="single" w:color="auto" w:sz="4" w:space="0"/>
              <w:left w:val="nil"/>
              <w:bottom w:val="single" w:color="auto" w:sz="4" w:space="0"/>
              <w:right w:val="single" w:color="auto" w:sz="4" w:space="0"/>
            </w:tcBorders>
            <w:shd w:val="clear" w:color="auto" w:fill="FFFFFF" w:themeFill="background1"/>
            <w:vAlign w:val="center"/>
          </w:tcPr>
          <w:p w14:paraId="04C4883F">
            <w:pPr>
              <w:pStyle w:val="11"/>
              <w:shd w:val="clear" w:color="auto" w:fill="FFFFFF" w:themeFill="background1"/>
              <w:spacing w:after="0"/>
              <w:ind w:firstLine="0" w:firstLineChars="0"/>
              <w:rPr>
                <w:rFonts w:hint="eastAsia" w:ascii="宋体" w:hAnsi="宋体" w:eastAsia="宋体" w:cs="等线"/>
                <w:sz w:val="21"/>
                <w:szCs w:val="21"/>
              </w:rPr>
            </w:pPr>
            <w:bookmarkStart w:id="99" w:name="OLE_LINK9"/>
            <w:r>
              <w:rPr>
                <w:rFonts w:hint="eastAsia" w:ascii="宋体" w:hAnsi="宋体" w:eastAsia="宋体" w:cs="等线"/>
                <w:sz w:val="21"/>
                <w:szCs w:val="21"/>
              </w:rPr>
              <w:t>根据样品缝制质量、整体外观、颜色色差、表面疵点、加工工艺等方面进行评分：</w:t>
            </w:r>
          </w:p>
          <w:p w14:paraId="02AB7BCF">
            <w:pPr>
              <w:pStyle w:val="11"/>
              <w:shd w:val="clear" w:color="auto" w:fill="FFFFFF" w:themeFill="background1"/>
              <w:spacing w:after="0"/>
              <w:ind w:firstLine="0" w:firstLineChars="0"/>
              <w:rPr>
                <w:rFonts w:hint="eastAsia" w:ascii="宋体" w:hAnsi="宋体" w:eastAsia="宋体" w:cs="等线"/>
                <w:sz w:val="21"/>
                <w:szCs w:val="21"/>
              </w:rPr>
            </w:pPr>
            <w:r>
              <w:rPr>
                <w:rFonts w:hint="eastAsia" w:ascii="宋体" w:hAnsi="宋体" w:eastAsia="宋体" w:cs="等线"/>
                <w:sz w:val="21"/>
                <w:szCs w:val="21"/>
              </w:rPr>
              <w:t>1.服装类：23分</w:t>
            </w:r>
          </w:p>
          <w:p w14:paraId="07B95A0B">
            <w:pPr>
              <w:pStyle w:val="11"/>
              <w:shd w:val="clear" w:color="auto" w:fill="FFFFFF" w:themeFill="background1"/>
              <w:spacing w:after="0"/>
              <w:ind w:firstLine="0" w:firstLineChars="0"/>
              <w:rPr>
                <w:rFonts w:hint="eastAsia" w:ascii="宋体" w:hAnsi="宋体" w:eastAsia="宋体" w:cs="等线"/>
                <w:sz w:val="21"/>
                <w:szCs w:val="21"/>
              </w:rPr>
            </w:pPr>
            <w:r>
              <w:rPr>
                <w:rFonts w:hint="eastAsia" w:ascii="宋体" w:hAnsi="宋体" w:eastAsia="宋体" w:cs="等线"/>
                <w:sz w:val="21"/>
                <w:szCs w:val="21"/>
              </w:rPr>
              <w:t>（1）考察表里有无线头、线色与布色一致、无色差，缝制规整、明线顺直，宽窄均匀、平服、无跳针、无针眼、针距均匀。完全满足要求的得6分，基本满足得3分，不能完全满足要求的得0分。</w:t>
            </w:r>
          </w:p>
          <w:p w14:paraId="6CC0010F">
            <w:pPr>
              <w:pStyle w:val="11"/>
              <w:shd w:val="clear" w:color="auto" w:fill="FFFFFF" w:themeFill="background1"/>
              <w:spacing w:after="0"/>
              <w:ind w:firstLine="0" w:firstLineChars="0"/>
              <w:rPr>
                <w:rFonts w:hint="eastAsia" w:ascii="宋体" w:hAnsi="宋体" w:eastAsia="宋体" w:cs="等线"/>
                <w:sz w:val="21"/>
                <w:szCs w:val="21"/>
              </w:rPr>
            </w:pPr>
            <w:r>
              <w:rPr>
                <w:rFonts w:hint="eastAsia" w:ascii="宋体" w:hAnsi="宋体" w:eastAsia="宋体" w:cs="等线"/>
                <w:sz w:val="21"/>
                <w:szCs w:val="21"/>
              </w:rPr>
              <w:t>（2）考察服装整体形态、局部对称性、衣领平服情况、袖隆是否圆顺、腰头是否平直、拉链是否平服等。无肉眼可见瑕疵的得6分，有一个瑕疵扣1分，扣完为止。</w:t>
            </w:r>
          </w:p>
          <w:p w14:paraId="1CF57B9A">
            <w:pPr>
              <w:pStyle w:val="11"/>
              <w:shd w:val="clear" w:color="auto" w:fill="FFFFFF" w:themeFill="background1"/>
              <w:spacing w:after="0"/>
              <w:ind w:firstLine="0" w:firstLineChars="0"/>
              <w:rPr>
                <w:rFonts w:hint="eastAsia" w:ascii="宋体" w:hAnsi="宋体" w:eastAsia="宋体" w:cs="等线"/>
                <w:sz w:val="21"/>
                <w:szCs w:val="21"/>
              </w:rPr>
            </w:pPr>
            <w:r>
              <w:rPr>
                <w:rFonts w:hint="eastAsia" w:ascii="宋体" w:hAnsi="宋体" w:eastAsia="宋体" w:cs="等线"/>
                <w:sz w:val="21"/>
                <w:szCs w:val="21"/>
              </w:rPr>
              <w:t>（3）样品颜色与面料色卡要求一样，得4分，与面料色卡要求不一样，得0分。</w:t>
            </w:r>
          </w:p>
          <w:p w14:paraId="10938183">
            <w:pPr>
              <w:pStyle w:val="11"/>
              <w:shd w:val="clear" w:color="auto" w:fill="FFFFFF" w:themeFill="background1"/>
              <w:spacing w:after="0"/>
              <w:ind w:firstLine="0" w:firstLineChars="0"/>
              <w:rPr>
                <w:rFonts w:hint="eastAsia" w:ascii="宋体" w:hAnsi="宋体" w:eastAsia="宋体" w:cs="等线"/>
                <w:sz w:val="21"/>
                <w:szCs w:val="21"/>
              </w:rPr>
            </w:pPr>
            <w:r>
              <w:rPr>
                <w:rFonts w:hint="eastAsia" w:ascii="宋体" w:hAnsi="宋体" w:eastAsia="宋体" w:cs="等线"/>
                <w:sz w:val="21"/>
                <w:szCs w:val="21"/>
              </w:rPr>
              <w:t>（4）面料上无疵点、油污，无烫迹、不起泡，同件服装中无色差，整烫良好、服装辅件完整等。完全满足要求的得4分，每不满足1样，扣1分，扣完为止。</w:t>
            </w:r>
          </w:p>
          <w:p w14:paraId="05DC4BC5">
            <w:pPr>
              <w:pStyle w:val="11"/>
              <w:shd w:val="clear" w:color="auto" w:fill="FFFFFF" w:themeFill="background1"/>
              <w:spacing w:after="0"/>
              <w:ind w:firstLine="0" w:firstLineChars="0"/>
              <w:rPr>
                <w:rFonts w:hint="eastAsia" w:ascii="宋体" w:hAnsi="宋体" w:eastAsia="宋体" w:cs="等线"/>
                <w:sz w:val="21"/>
                <w:szCs w:val="21"/>
              </w:rPr>
            </w:pPr>
            <w:r>
              <w:rPr>
                <w:rFonts w:hint="eastAsia" w:ascii="宋体" w:hAnsi="宋体" w:eastAsia="宋体" w:cs="等线"/>
                <w:sz w:val="21"/>
                <w:szCs w:val="21"/>
              </w:rPr>
              <w:t>（5）考察是否里外服帖、衬里无皱褶、里面料是否一致平贴、熨烫平整、内无线头。加工工艺质量好的得3分，加工工艺差的得0分。</w:t>
            </w:r>
          </w:p>
          <w:bookmarkEnd w:id="99"/>
          <w:p w14:paraId="6F537B7C">
            <w:pPr>
              <w:pStyle w:val="11"/>
              <w:shd w:val="clear" w:color="auto" w:fill="FFFFFF" w:themeFill="background1"/>
              <w:spacing w:after="0"/>
              <w:ind w:firstLine="0" w:firstLineChars="0"/>
              <w:rPr>
                <w:rFonts w:hint="eastAsia" w:ascii="宋体" w:hAnsi="宋体" w:eastAsia="宋体" w:cs="等线"/>
                <w:sz w:val="21"/>
                <w:szCs w:val="21"/>
              </w:rPr>
            </w:pPr>
            <w:bookmarkStart w:id="100" w:name="OLE_LINK10"/>
            <w:r>
              <w:rPr>
                <w:rFonts w:hint="eastAsia" w:ascii="宋体" w:hAnsi="宋体" w:eastAsia="宋体" w:cs="等线"/>
                <w:sz w:val="21"/>
                <w:szCs w:val="21"/>
              </w:rPr>
              <w:t>2.标志类：2分</w:t>
            </w:r>
          </w:p>
          <w:p w14:paraId="70B549B7">
            <w:pPr>
              <w:pStyle w:val="11"/>
              <w:shd w:val="clear" w:color="auto" w:fill="FFFFFF" w:themeFill="background1"/>
              <w:spacing w:after="0"/>
              <w:ind w:firstLine="0" w:firstLineChars="0"/>
              <w:rPr>
                <w:rFonts w:hint="eastAsia" w:ascii="宋体" w:hAnsi="宋体" w:eastAsia="宋体" w:cs="等线"/>
                <w:sz w:val="21"/>
                <w:szCs w:val="21"/>
              </w:rPr>
            </w:pPr>
            <w:r>
              <w:rPr>
                <w:rFonts w:hint="eastAsia" w:ascii="宋体" w:hAnsi="宋体" w:eastAsia="宋体" w:cs="等线"/>
                <w:sz w:val="21"/>
                <w:szCs w:val="21"/>
              </w:rPr>
              <w:t>（1）线迹直顺均匀、距边宽窄一致,不应有开断线，袢带热熔断带封边，粘合牢固，本项满分1分，不能完全满足要求的得0分。</w:t>
            </w:r>
          </w:p>
          <w:p w14:paraId="75D9F37A">
            <w:pPr>
              <w:pStyle w:val="11"/>
              <w:shd w:val="clear" w:color="auto" w:fill="FFFFFF" w:themeFill="background1"/>
              <w:spacing w:after="0"/>
              <w:ind w:firstLine="0" w:firstLineChars="0"/>
              <w:rPr>
                <w:rFonts w:hint="eastAsia" w:ascii="宋体" w:hAnsi="宋体" w:eastAsia="宋体" w:cs="等线"/>
                <w:sz w:val="21"/>
                <w:szCs w:val="21"/>
              </w:rPr>
            </w:pPr>
            <w:r>
              <w:rPr>
                <w:rFonts w:hint="eastAsia" w:ascii="宋体" w:hAnsi="宋体" w:eastAsia="宋体" w:cs="等线"/>
                <w:sz w:val="21"/>
                <w:szCs w:val="21"/>
              </w:rPr>
              <w:t>（2）图案花纹应清晰饱满完整没有变形，外边缘和镂空内边缘规整、无毛刺，不应有明显的凹痕、变形、污迹、爆镀、漏镀等缺陷，本项满分1分，不能完全满足要求的得0分。</w:t>
            </w:r>
          </w:p>
          <w:bookmarkEnd w:id="100"/>
          <w:p w14:paraId="455E9538">
            <w:pPr>
              <w:pStyle w:val="11"/>
              <w:shd w:val="clear" w:color="auto" w:fill="FFFFFF" w:themeFill="background1"/>
              <w:spacing w:after="0"/>
              <w:ind w:firstLine="0" w:firstLineChars="0"/>
              <w:rPr>
                <w:rFonts w:hint="eastAsia" w:ascii="宋体" w:hAnsi="宋体" w:eastAsia="宋体" w:cs="等线"/>
                <w:sz w:val="21"/>
                <w:szCs w:val="21"/>
              </w:rPr>
            </w:pPr>
            <w:bookmarkStart w:id="101" w:name="OLE_LINK11"/>
            <w:r>
              <w:rPr>
                <w:rFonts w:hint="eastAsia" w:ascii="宋体" w:hAnsi="宋体" w:eastAsia="宋体" w:cs="等线"/>
                <w:sz w:val="21"/>
                <w:szCs w:val="21"/>
              </w:rPr>
              <w:t>3.腰带：2分</w:t>
            </w:r>
          </w:p>
          <w:p w14:paraId="588F4F99">
            <w:pPr>
              <w:pStyle w:val="11"/>
              <w:shd w:val="clear" w:color="auto" w:fill="FFFFFF" w:themeFill="background1"/>
              <w:spacing w:after="0"/>
              <w:ind w:firstLine="0" w:firstLineChars="0"/>
              <w:rPr>
                <w:rFonts w:hint="eastAsia" w:ascii="宋体" w:hAnsi="宋体" w:eastAsia="宋体" w:cs="等线"/>
                <w:sz w:val="21"/>
                <w:szCs w:val="21"/>
              </w:rPr>
            </w:pPr>
            <w:r>
              <w:rPr>
                <w:rFonts w:hint="eastAsia" w:ascii="宋体" w:hAnsi="宋体" w:eastAsia="宋体" w:cs="等线"/>
                <w:sz w:val="21"/>
                <w:szCs w:val="21"/>
              </w:rPr>
              <w:t>（1）钎子须经镀镍处理，并喷涂保护漆，涂漆，涂树脂.镀层应完整，不得有明显的电镀缺陷，完全满足要求的得1分，不能完全满足要求的得0分。</w:t>
            </w:r>
          </w:p>
          <w:p w14:paraId="0CED7AA6">
            <w:pPr>
              <w:pStyle w:val="11"/>
              <w:shd w:val="clear" w:color="auto" w:fill="FFFFFF" w:themeFill="background1"/>
              <w:spacing w:after="0"/>
              <w:ind w:firstLine="0" w:firstLineChars="0"/>
              <w:rPr>
                <w:rFonts w:hint="eastAsia" w:ascii="宋体" w:hAnsi="宋体" w:eastAsia="宋体" w:cs="等线"/>
                <w:sz w:val="21"/>
                <w:szCs w:val="21"/>
              </w:rPr>
            </w:pPr>
            <w:r>
              <w:rPr>
                <w:rFonts w:hint="eastAsia" w:ascii="宋体" w:hAnsi="宋体" w:eastAsia="宋体" w:cs="等线"/>
                <w:sz w:val="21"/>
                <w:szCs w:val="21"/>
              </w:rPr>
              <w:t>（2）腰带产品外观不得有明显的凹痕，划痕，脏污等缺陷，完全满足要求的得1分，不能完全满足要求的得0分。</w:t>
            </w:r>
          </w:p>
          <w:p w14:paraId="0D86F286">
            <w:pPr>
              <w:pStyle w:val="11"/>
              <w:shd w:val="clear" w:color="auto" w:fill="FFFFFF" w:themeFill="background1"/>
              <w:spacing w:after="0"/>
              <w:ind w:firstLine="0" w:firstLineChars="0"/>
            </w:pPr>
            <w:r>
              <w:rPr>
                <w:rFonts w:hint="eastAsia" w:ascii="宋体" w:hAnsi="宋体" w:eastAsia="宋体" w:cs="等线"/>
                <w:sz w:val="21"/>
                <w:szCs w:val="21"/>
              </w:rPr>
              <w:t>注：未提供样品或样品不全的视为无效投标。</w:t>
            </w:r>
            <w:bookmarkEnd w:id="101"/>
          </w:p>
        </w:tc>
        <w:tc>
          <w:tcPr>
            <w:tcW w:w="851" w:type="dxa"/>
            <w:tcBorders>
              <w:top w:val="single" w:color="auto" w:sz="4" w:space="0"/>
              <w:left w:val="nil"/>
              <w:bottom w:val="single" w:color="auto" w:sz="4" w:space="0"/>
              <w:right w:val="single" w:color="auto" w:sz="4" w:space="0"/>
            </w:tcBorders>
            <w:shd w:val="clear" w:color="auto" w:fill="FFFFFF" w:themeFill="background1"/>
            <w:vAlign w:val="center"/>
          </w:tcPr>
          <w:p w14:paraId="0D12A559">
            <w:pPr>
              <w:spacing w:line="360" w:lineRule="auto"/>
              <w:jc w:val="center"/>
              <w:rPr>
                <w:rFonts w:hint="eastAsia" w:ascii="宋体" w:hAnsi="宋体" w:eastAsia="宋体" w:cs="微软雅黑"/>
                <w:szCs w:val="21"/>
              </w:rPr>
            </w:pPr>
            <w:r>
              <w:rPr>
                <w:rFonts w:hint="eastAsia" w:ascii="宋体" w:hAnsi="宋体" w:eastAsia="宋体" w:cs="微软雅黑"/>
                <w:szCs w:val="21"/>
              </w:rPr>
              <w:t>27</w:t>
            </w:r>
          </w:p>
        </w:tc>
      </w:tr>
    </w:tbl>
    <w:p w14:paraId="71D93AF9">
      <w:pPr>
        <w:adjustRightInd w:val="0"/>
        <w:snapToGrid w:val="0"/>
        <w:spacing w:line="440" w:lineRule="exact"/>
        <w:ind w:firstLine="482"/>
        <w:rPr>
          <w:rFonts w:ascii="宋体" w:hAnsi="Times New Roman" w:eastAsia="宋体" w:cs="Times New Roman"/>
          <w:b/>
          <w:bCs/>
          <w:color w:val="FF0000"/>
          <w:sz w:val="24"/>
          <w:szCs w:val="24"/>
        </w:rPr>
      </w:pPr>
      <w:r>
        <w:rPr>
          <w:rFonts w:hint="eastAsia" w:ascii="宋体" w:hAnsi="宋体" w:eastAsia="宋体" w:cs="宋体"/>
          <w:b/>
          <w:color w:val="FF0000"/>
        </w:rPr>
        <w:t xml:space="preserve"> </w:t>
      </w:r>
      <w:r>
        <w:rPr>
          <w:rFonts w:hint="eastAsia" w:ascii="宋体" w:hAnsi="宋体" w:eastAsia="宋体" w:cs="宋体"/>
          <w:b/>
          <w:bCs/>
          <w:color w:val="FF0000"/>
          <w:sz w:val="24"/>
          <w:szCs w:val="24"/>
          <w:u w:val="thick" w:color="FF0000"/>
        </w:rPr>
        <w:t xml:space="preserve">特别提醒：项目技术需求中所涉及的检测报告须提供原件的复印件或扫描件加盖公章，并将原件带至磋商现场核查，其他技术标评分中所涉及相关资料等证明材料，签订合同前须提供相关原件，未携带原件或因携带原件不全所引起的后果由各磋商响应供应商自行承担。 </w:t>
      </w:r>
    </w:p>
    <w:p w14:paraId="35B863B6">
      <w:pPr>
        <w:adjustRightInd w:val="0"/>
        <w:snapToGrid w:val="0"/>
        <w:spacing w:line="360" w:lineRule="auto"/>
        <w:ind w:firstLine="482" w:firstLineChars="200"/>
        <w:rPr>
          <w:rFonts w:hint="eastAsia" w:ascii="宋体" w:hAnsi="宋体" w:eastAsia="宋体" w:cs="宋体"/>
          <w:sz w:val="24"/>
        </w:rPr>
      </w:pPr>
      <w:r>
        <w:rPr>
          <w:rFonts w:hint="eastAsia" w:ascii="宋体" w:hAnsi="宋体" w:eastAsia="宋体" w:cs="宋体"/>
          <w:b/>
          <w:sz w:val="24"/>
        </w:rPr>
        <w:t>（四）报价</w:t>
      </w:r>
      <w:r>
        <w:rPr>
          <w:rFonts w:hint="eastAsia" w:ascii="宋体" w:hAnsi="宋体" w:eastAsia="宋体" w:cs="宋体"/>
          <w:b/>
          <w:sz w:val="24"/>
          <w:lang w:val="zh-CN"/>
        </w:rPr>
        <w:t>分</w:t>
      </w:r>
      <w:r>
        <w:rPr>
          <w:rFonts w:hint="eastAsia" w:ascii="宋体" w:hAnsi="宋体" w:eastAsia="宋体" w:cs="宋体"/>
          <w:b/>
          <w:sz w:val="24"/>
        </w:rPr>
        <w:t>：30</w:t>
      </w:r>
      <w:r>
        <w:rPr>
          <w:rFonts w:hint="eastAsia" w:ascii="宋体" w:hAnsi="宋体" w:eastAsia="宋体" w:cs="宋体"/>
          <w:b/>
          <w:sz w:val="24"/>
          <w:lang w:val="zh-CN"/>
        </w:rPr>
        <w:t>分</w:t>
      </w:r>
    </w:p>
    <w:p w14:paraId="7DD5FD54">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报价分统一采用低价优先法计算，即满足磋商文件要求且最后报价最低的供应商的价格为磋商基准价，其价格分为满分。其他供应商的价格分统一按照下列公式计算：</w:t>
      </w:r>
    </w:p>
    <w:p w14:paraId="156472E8">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磋商报价得分=（磋商基准价/最后磋商报价）×30%×100。</w:t>
      </w:r>
    </w:p>
    <w:p w14:paraId="4998FDA1">
      <w:pPr>
        <w:adjustRightInd w:val="0"/>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sz w:val="24"/>
        </w:rPr>
        <w:t>（</w:t>
      </w:r>
      <w:r>
        <w:rPr>
          <w:rFonts w:hint="eastAsia" w:ascii="宋体" w:hAnsi="宋体" w:eastAsia="宋体" w:cs="宋体"/>
          <w:b/>
          <w:bCs/>
          <w:sz w:val="24"/>
        </w:rPr>
        <w:t>五</w:t>
      </w:r>
      <w:r>
        <w:rPr>
          <w:rFonts w:hint="eastAsia" w:ascii="宋体" w:hAnsi="宋体" w:eastAsia="宋体" w:cs="宋体"/>
          <w:b/>
          <w:sz w:val="24"/>
        </w:rPr>
        <w:t>）</w:t>
      </w:r>
      <w:r>
        <w:rPr>
          <w:rFonts w:hint="eastAsia" w:ascii="宋体" w:hAnsi="宋体" w:eastAsia="宋体" w:cs="宋体"/>
          <w:b/>
          <w:bCs/>
          <w:sz w:val="24"/>
        </w:rPr>
        <w:t>政府采购政策功能落实</w:t>
      </w:r>
    </w:p>
    <w:p w14:paraId="0D46F10B">
      <w:pPr>
        <w:adjustRightInd w:val="0"/>
        <w:snapToGrid w:val="0"/>
        <w:spacing w:line="360" w:lineRule="auto"/>
        <w:ind w:firstLine="570"/>
        <w:rPr>
          <w:rFonts w:hint="eastAsia" w:ascii="宋体" w:hAnsi="宋体" w:eastAsia="宋体" w:cs="宋体"/>
          <w:bCs/>
          <w:sz w:val="24"/>
        </w:rPr>
      </w:pPr>
      <w:r>
        <w:rPr>
          <w:rFonts w:hint="eastAsia" w:ascii="宋体" w:hAnsi="宋体" w:eastAsia="宋体" w:cs="宋体"/>
          <w:bCs/>
          <w:sz w:val="24"/>
        </w:rPr>
        <w:t>专门面向中小企业采购的项目或者采购包，不再执行价格评审优惠的扶持政策。</w:t>
      </w:r>
    </w:p>
    <w:p w14:paraId="7599E785">
      <w:pPr>
        <w:adjustRightInd w:val="0"/>
        <w:snapToGrid w:val="0"/>
        <w:spacing w:line="360" w:lineRule="auto"/>
        <w:ind w:firstLine="570"/>
        <w:rPr>
          <w:rFonts w:hint="eastAsia" w:ascii="宋体" w:hAnsi="宋体" w:eastAsia="宋体" w:cs="宋体"/>
          <w:bCs/>
          <w:sz w:val="24"/>
        </w:rPr>
      </w:pPr>
      <w:r>
        <w:rPr>
          <w:rFonts w:hint="eastAsia" w:ascii="宋体" w:hAnsi="宋体" w:eastAsia="宋体" w:cs="宋体"/>
          <w:b/>
          <w:sz w:val="24"/>
        </w:rPr>
        <w:t>（六）成交供应商的确定</w:t>
      </w:r>
    </w:p>
    <w:p w14:paraId="2C53BFD2">
      <w:pPr>
        <w:adjustRightInd w:val="0"/>
        <w:snapToGrid w:val="0"/>
        <w:spacing w:line="360" w:lineRule="auto"/>
        <w:ind w:firstLine="570"/>
        <w:rPr>
          <w:rFonts w:hint="eastAsia" w:ascii="宋体" w:hAnsi="宋体" w:eastAsia="宋体" w:cs="宋体"/>
          <w:sz w:val="24"/>
        </w:rPr>
      </w:pPr>
      <w:r>
        <w:rPr>
          <w:rFonts w:hint="eastAsia" w:ascii="宋体" w:hAnsi="宋体" w:eastAsia="宋体" w:cs="宋体"/>
          <w:sz w:val="24"/>
        </w:rPr>
        <w:t>磋商小组汇总各评委评分后，按照得分从高到低的顺序推荐三名成交候选人，并编写评审报告。</w:t>
      </w:r>
    </w:p>
    <w:p w14:paraId="23F2A159">
      <w:pPr>
        <w:adjustRightInd w:val="0"/>
        <w:snapToGrid w:val="0"/>
        <w:spacing w:line="360" w:lineRule="auto"/>
        <w:ind w:firstLine="570"/>
        <w:rPr>
          <w:rFonts w:hint="eastAsia" w:ascii="宋体" w:hAnsi="宋体" w:eastAsia="宋体" w:cs="宋体"/>
          <w:sz w:val="24"/>
        </w:rPr>
      </w:pPr>
      <w:r>
        <w:rPr>
          <w:rFonts w:hint="eastAsia" w:ascii="宋体" w:hAnsi="宋体" w:eastAsia="宋体" w:cs="宋体"/>
          <w:sz w:val="24"/>
        </w:rPr>
        <w:t>采购单位根据磋商小组推荐的成交候选应商确定成交供应商。</w:t>
      </w:r>
    </w:p>
    <w:p w14:paraId="2E24A6CE">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（七）公告成交结果</w:t>
      </w:r>
    </w:p>
    <w:p w14:paraId="4F1FEDA6">
      <w:pPr>
        <w:adjustRightInd w:val="0"/>
        <w:snapToGrid w:val="0"/>
        <w:spacing w:line="360" w:lineRule="auto"/>
        <w:ind w:firstLine="570"/>
        <w:rPr>
          <w:rFonts w:hint="eastAsia" w:ascii="宋体" w:hAnsi="宋体" w:eastAsia="宋体" w:cs="宋体"/>
          <w:sz w:val="24"/>
        </w:rPr>
      </w:pPr>
      <w:r>
        <w:rPr>
          <w:rFonts w:hint="eastAsia" w:ascii="宋体" w:hAnsi="宋体" w:eastAsia="宋体" w:cs="宋体"/>
          <w:sz w:val="24"/>
        </w:rPr>
        <w:t>自确定成交供应商之日起2个工作日内，在南通市交通运输局官网站公告成交结果，公告期限为1个工作日。</w:t>
      </w:r>
    </w:p>
    <w:p w14:paraId="16ECD7B8">
      <w:pPr>
        <w:adjustRightInd w:val="0"/>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sz w:val="24"/>
        </w:rPr>
        <w:t>（八）</w:t>
      </w:r>
      <w:r>
        <w:rPr>
          <w:rFonts w:hint="eastAsia" w:ascii="宋体" w:hAnsi="宋体" w:eastAsia="宋体" w:cs="宋体"/>
          <w:b/>
          <w:bCs/>
          <w:sz w:val="24"/>
        </w:rPr>
        <w:t>发放成交通知书</w:t>
      </w:r>
    </w:p>
    <w:p w14:paraId="171C5C3A">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公告成交结果的同时，采购单位</w:t>
      </w:r>
      <w:r>
        <w:rPr>
          <w:rFonts w:hint="eastAsia" w:ascii="宋体" w:hAnsi="宋体" w:eastAsia="宋体" w:cs="宋体"/>
          <w:bCs/>
          <w:sz w:val="24"/>
        </w:rPr>
        <w:t>向成交供应商发放成交通知书。</w:t>
      </w:r>
    </w:p>
    <w:p w14:paraId="360AE142">
      <w:pPr>
        <w:adjustRightInd w:val="0"/>
        <w:snapToGrid w:val="0"/>
        <w:spacing w:line="360" w:lineRule="auto"/>
        <w:ind w:firstLine="480" w:firstLineChars="200"/>
        <w:rPr>
          <w:rFonts w:hint="eastAsia" w:ascii="宋体" w:hAnsi="宋体" w:eastAsia="宋体" w:cs="宋体"/>
          <w:b/>
          <w:bCs/>
          <w:sz w:val="36"/>
          <w:szCs w:val="36"/>
          <w:lang w:val="zh-CN"/>
        </w:rPr>
      </w:pPr>
      <w:r>
        <w:rPr>
          <w:rFonts w:hint="eastAsia" w:ascii="宋体" w:hAnsi="宋体" w:eastAsia="宋体" w:cs="宋体"/>
          <w:sz w:val="24"/>
        </w:rPr>
        <w:t>《成交通知书》一经发出，采购单位改变成交结果，或者供应商放弃成交的，各自承担相应的法律责任。《成交通知书》是采购合同的组成部分。</w:t>
      </w:r>
      <w:r>
        <w:rPr>
          <w:rFonts w:ascii="宋体" w:hAnsi="宋体" w:eastAsia="宋体" w:cs="宋体"/>
          <w:b/>
          <w:bCs/>
          <w:sz w:val="36"/>
          <w:szCs w:val="36"/>
          <w:lang w:val="zh-CN"/>
        </w:rPr>
        <w:br w:type="page"/>
      </w:r>
    </w:p>
    <w:bookmarkEnd w:id="96"/>
    <w:bookmarkEnd w:id="97"/>
    <w:p w14:paraId="5A705FB1">
      <w:pPr>
        <w:numPr>
          <w:ilvl w:val="0"/>
          <w:numId w:val="5"/>
        </w:numPr>
        <w:spacing w:before="120" w:beforeLines="50" w:after="120" w:afterLines="50" w:line="360" w:lineRule="auto"/>
        <w:jc w:val="center"/>
        <w:rPr>
          <w:rFonts w:hint="eastAsia" w:ascii="宋体" w:hAnsi="宋体" w:eastAsia="宋体" w:cs="宋体"/>
          <w:b/>
          <w:bCs/>
          <w:w w:val="80"/>
          <w:kern w:val="2"/>
          <w:sz w:val="44"/>
          <w:szCs w:val="44"/>
        </w:rPr>
      </w:pPr>
      <w:r>
        <w:rPr>
          <w:rFonts w:hint="eastAsia" w:ascii="宋体" w:hAnsi="宋体" w:eastAsia="宋体" w:cs="宋体"/>
          <w:b/>
          <w:bCs/>
          <w:w w:val="80"/>
          <w:kern w:val="2"/>
          <w:sz w:val="44"/>
          <w:szCs w:val="44"/>
        </w:rPr>
        <w:t xml:space="preserve"> 合同条款</w:t>
      </w:r>
    </w:p>
    <w:p w14:paraId="2413E46A">
      <w:pPr>
        <w:rPr>
          <w:rFonts w:hint="eastAsia" w:ascii="宋体" w:hAnsi="宋体" w:eastAsia="宋体" w:cs="宋体"/>
          <w:sz w:val="24"/>
          <w:u w:val="single"/>
        </w:rPr>
      </w:pPr>
      <w:r>
        <w:rPr>
          <w:rFonts w:hint="eastAsia" w:ascii="宋体" w:hAnsi="宋体" w:eastAsia="宋体" w:cs="宋体"/>
          <w:sz w:val="24"/>
        </w:rPr>
        <w:t>合同编号：</w:t>
      </w:r>
    </w:p>
    <w:p w14:paraId="2A2E8B8E">
      <w:pPr>
        <w:spacing w:line="480" w:lineRule="auto"/>
        <w:jc w:val="center"/>
        <w:rPr>
          <w:rFonts w:hint="eastAsia" w:ascii="宋体" w:hAnsi="宋体" w:eastAsia="宋体" w:cs="宋体"/>
          <w:b/>
          <w:sz w:val="28"/>
          <w:szCs w:val="28"/>
        </w:rPr>
      </w:pPr>
    </w:p>
    <w:p w14:paraId="56AC8048">
      <w:pPr>
        <w:spacing w:line="480" w:lineRule="auto"/>
        <w:jc w:val="center"/>
        <w:rPr>
          <w:rFonts w:hint="eastAsia" w:ascii="宋体" w:hAnsi="宋体" w:eastAsia="宋体" w:cs="宋体"/>
          <w:b/>
          <w:sz w:val="28"/>
          <w:szCs w:val="28"/>
        </w:rPr>
      </w:pPr>
    </w:p>
    <w:p w14:paraId="32C21EC0">
      <w:pPr>
        <w:spacing w:line="480" w:lineRule="auto"/>
        <w:jc w:val="center"/>
        <w:rPr>
          <w:rFonts w:hint="eastAsia" w:ascii="宋体" w:hAnsi="宋体" w:eastAsia="宋体" w:cs="宋体"/>
          <w:b/>
          <w:sz w:val="28"/>
          <w:szCs w:val="28"/>
        </w:rPr>
      </w:pPr>
    </w:p>
    <w:p w14:paraId="5C22885C">
      <w:pPr>
        <w:spacing w:line="480" w:lineRule="auto"/>
        <w:jc w:val="center"/>
        <w:rPr>
          <w:rFonts w:hint="eastAsia" w:ascii="宋体" w:hAnsi="宋体" w:eastAsia="宋体" w:cs="宋体"/>
          <w:b/>
          <w:sz w:val="44"/>
          <w:szCs w:val="44"/>
        </w:rPr>
      </w:pPr>
      <w:r>
        <w:rPr>
          <w:rFonts w:hint="eastAsia" w:ascii="宋体" w:hAnsi="宋体" w:eastAsia="宋体" w:cs="宋体"/>
          <w:b/>
          <w:sz w:val="44"/>
          <w:szCs w:val="44"/>
        </w:rPr>
        <w:t>政府采购合同</w:t>
      </w:r>
    </w:p>
    <w:p w14:paraId="33D61EBE">
      <w:pPr>
        <w:spacing w:line="480" w:lineRule="auto"/>
        <w:jc w:val="center"/>
        <w:rPr>
          <w:rFonts w:hint="eastAsia" w:ascii="宋体" w:hAnsi="宋体" w:eastAsia="宋体" w:cs="宋体"/>
          <w:b/>
          <w:sz w:val="24"/>
        </w:rPr>
      </w:pPr>
    </w:p>
    <w:p w14:paraId="38663963">
      <w:pPr>
        <w:rPr>
          <w:rFonts w:hint="eastAsia" w:ascii="宋体" w:hAnsi="宋体" w:cs="宋体"/>
          <w:szCs w:val="24"/>
        </w:rPr>
      </w:pPr>
    </w:p>
    <w:p w14:paraId="44B4670D">
      <w:pPr>
        <w:rPr>
          <w:rFonts w:hint="eastAsia" w:ascii="宋体" w:hAnsi="宋体" w:cs="宋体"/>
          <w:szCs w:val="24"/>
        </w:rPr>
      </w:pPr>
    </w:p>
    <w:p w14:paraId="57E240A0">
      <w:pPr>
        <w:rPr>
          <w:rFonts w:hint="eastAsia" w:ascii="宋体" w:hAnsi="宋体" w:cs="宋体"/>
          <w:szCs w:val="24"/>
        </w:rPr>
      </w:pPr>
    </w:p>
    <w:p w14:paraId="1DD63157">
      <w:pPr>
        <w:jc w:val="center"/>
        <w:rPr>
          <w:rFonts w:hint="eastAsia" w:ascii="宋体" w:hAnsi="宋体" w:cs="宋体"/>
          <w:b/>
          <w:szCs w:val="24"/>
        </w:rPr>
      </w:pPr>
      <w:r>
        <w:rPr>
          <w:rFonts w:ascii="宋体" w:hAnsi="宋体" w:cs="宋体"/>
          <w:b/>
          <w:szCs w:val="24"/>
        </w:rPr>
        <w:t>第一部分 合同书</w:t>
      </w:r>
    </w:p>
    <w:p w14:paraId="3D2F89B5">
      <w:pPr>
        <w:rPr>
          <w:rFonts w:hint="eastAsia" w:ascii="宋体" w:hAnsi="宋体" w:cs="宋体"/>
          <w:szCs w:val="24"/>
        </w:rPr>
      </w:pPr>
    </w:p>
    <w:p w14:paraId="63C2B9F2">
      <w:pPr>
        <w:rPr>
          <w:rFonts w:hint="eastAsia" w:ascii="宋体" w:hAnsi="宋体" w:cs="宋体"/>
          <w:szCs w:val="24"/>
        </w:rPr>
      </w:pPr>
    </w:p>
    <w:p w14:paraId="406466E9">
      <w:pPr>
        <w:rPr>
          <w:rFonts w:hint="eastAsia" w:ascii="宋体" w:hAnsi="宋体" w:cs="宋体"/>
          <w:szCs w:val="24"/>
        </w:rPr>
      </w:pPr>
    </w:p>
    <w:p w14:paraId="66CCC4FF">
      <w:pPr>
        <w:rPr>
          <w:rFonts w:hint="eastAsia" w:ascii="宋体" w:hAnsi="宋体" w:cs="宋体"/>
          <w:szCs w:val="24"/>
        </w:rPr>
      </w:pPr>
    </w:p>
    <w:p w14:paraId="58AE47FF">
      <w:pPr>
        <w:rPr>
          <w:rFonts w:hint="eastAsia" w:ascii="宋体" w:hAnsi="宋体" w:cs="宋体"/>
          <w:szCs w:val="24"/>
        </w:rPr>
      </w:pPr>
    </w:p>
    <w:p w14:paraId="310CE7EA">
      <w:pPr>
        <w:rPr>
          <w:rFonts w:hint="eastAsia" w:ascii="宋体" w:hAnsi="宋体" w:cs="宋体"/>
          <w:szCs w:val="24"/>
        </w:rPr>
      </w:pPr>
    </w:p>
    <w:p w14:paraId="5729D386">
      <w:pPr>
        <w:spacing w:before="120" w:line="22" w:lineRule="atLeast"/>
        <w:rPr>
          <w:rFonts w:hint="eastAsia" w:ascii="宋体" w:hAnsi="宋体" w:eastAsia="宋体" w:cs="宋体"/>
          <w:sz w:val="24"/>
        </w:rPr>
      </w:pPr>
    </w:p>
    <w:p w14:paraId="7AA49B82">
      <w:pPr>
        <w:spacing w:before="120" w:line="22" w:lineRule="atLeast"/>
        <w:ind w:left="960"/>
        <w:rPr>
          <w:rFonts w:hint="eastAsia" w:ascii="宋体" w:hAnsi="宋体" w:eastAsia="宋体" w:cs="宋体"/>
          <w:sz w:val="24"/>
        </w:rPr>
      </w:pPr>
      <w:r>
        <w:rPr>
          <w:rFonts w:hint="eastAsia" w:ascii="宋体" w:hAnsi="宋体" w:eastAsia="宋体" w:cs="宋体"/>
          <w:sz w:val="24"/>
        </w:rPr>
        <w:t>项目名称：</w:t>
      </w:r>
      <w:r>
        <w:rPr>
          <w:rFonts w:hint="eastAsia" w:ascii="宋体" w:hAnsi="宋体" w:eastAsia="宋体" w:cs="宋体"/>
          <w:sz w:val="24"/>
          <w:u w:val="single"/>
        </w:rPr>
        <w:t>南通市交通运输综合行政执法支队制服采购项目</w:t>
      </w:r>
    </w:p>
    <w:p w14:paraId="17EED6A5">
      <w:pPr>
        <w:spacing w:before="120" w:line="22" w:lineRule="atLeast"/>
        <w:rPr>
          <w:rFonts w:hint="eastAsia" w:ascii="宋体" w:hAnsi="宋体" w:eastAsia="宋体" w:cs="宋体"/>
          <w:szCs w:val="24"/>
        </w:rPr>
      </w:pPr>
    </w:p>
    <w:p w14:paraId="40AD3AB4">
      <w:pPr>
        <w:spacing w:before="120" w:line="22" w:lineRule="atLeast"/>
        <w:rPr>
          <w:rFonts w:hint="eastAsia" w:ascii="宋体" w:hAnsi="宋体" w:eastAsia="宋体" w:cs="宋体"/>
          <w:szCs w:val="24"/>
        </w:rPr>
      </w:pPr>
    </w:p>
    <w:p w14:paraId="50B1DF29">
      <w:pPr>
        <w:rPr>
          <w:rFonts w:hint="eastAsia" w:ascii="宋体" w:hAnsi="宋体" w:eastAsia="宋体" w:cs="宋体"/>
        </w:rPr>
      </w:pPr>
    </w:p>
    <w:p w14:paraId="52CB0494">
      <w:pPr>
        <w:spacing w:before="120" w:line="22" w:lineRule="atLeast"/>
        <w:ind w:left="960"/>
        <w:rPr>
          <w:rFonts w:hint="eastAsia" w:ascii="宋体" w:hAnsi="宋体" w:eastAsia="宋体" w:cs="宋体"/>
          <w:sz w:val="24"/>
          <w:u w:val="single"/>
        </w:rPr>
      </w:pPr>
      <w:r>
        <w:rPr>
          <w:rFonts w:hint="eastAsia" w:ascii="宋体" w:hAnsi="宋体" w:eastAsia="宋体" w:cs="宋体"/>
          <w:sz w:val="24"/>
        </w:rPr>
        <w:t>甲方：</w:t>
      </w:r>
      <w:r>
        <w:rPr>
          <w:rFonts w:hint="eastAsia" w:ascii="宋体" w:hAnsi="宋体" w:eastAsia="宋体" w:cs="宋体"/>
          <w:sz w:val="24"/>
          <w:u w:val="single"/>
        </w:rPr>
        <w:t>南通市交通运输综合行政执法支队</w:t>
      </w:r>
    </w:p>
    <w:p w14:paraId="517B960E">
      <w:pPr>
        <w:spacing w:before="120" w:line="22" w:lineRule="atLeast"/>
        <w:rPr>
          <w:rFonts w:hint="eastAsia" w:ascii="宋体" w:hAnsi="宋体" w:eastAsia="宋体" w:cs="宋体"/>
          <w:sz w:val="24"/>
        </w:rPr>
      </w:pPr>
    </w:p>
    <w:p w14:paraId="0D386D55">
      <w:pPr>
        <w:spacing w:before="120" w:line="22" w:lineRule="atLeast"/>
        <w:ind w:left="960"/>
        <w:rPr>
          <w:rFonts w:hint="eastAsia" w:ascii="宋体" w:hAnsi="宋体" w:eastAsia="宋体" w:cs="宋体"/>
          <w:sz w:val="24"/>
          <w:u w:val="single"/>
        </w:rPr>
      </w:pPr>
      <w:r>
        <w:rPr>
          <w:rFonts w:hint="eastAsia" w:ascii="宋体" w:hAnsi="宋体" w:eastAsia="宋体" w:cs="宋体"/>
          <w:sz w:val="24"/>
        </w:rPr>
        <w:t>乙方：</w:t>
      </w:r>
      <w:r>
        <w:rPr>
          <w:rFonts w:hint="eastAsia" w:ascii="宋体" w:hAnsi="宋体" w:eastAsia="宋体" w:cs="宋体"/>
          <w:sz w:val="24"/>
          <w:u w:val="single"/>
        </w:rPr>
        <w:t xml:space="preserve">                                           </w:t>
      </w:r>
    </w:p>
    <w:p w14:paraId="48C70BFA">
      <w:pPr>
        <w:spacing w:before="120" w:line="22" w:lineRule="atLeast"/>
        <w:rPr>
          <w:rFonts w:hint="eastAsia" w:ascii="宋体" w:hAnsi="宋体" w:eastAsia="宋体" w:cs="宋体"/>
          <w:sz w:val="24"/>
        </w:rPr>
      </w:pPr>
    </w:p>
    <w:p w14:paraId="17235535">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签订地：</w:t>
      </w:r>
    </w:p>
    <w:p w14:paraId="41888E7F">
      <w:pPr>
        <w:spacing w:before="120" w:line="22" w:lineRule="atLeast"/>
        <w:rPr>
          <w:rFonts w:hint="eastAsia" w:ascii="宋体" w:hAnsi="宋体" w:eastAsia="宋体" w:cs="宋体"/>
          <w:sz w:val="24"/>
        </w:rPr>
      </w:pPr>
    </w:p>
    <w:p w14:paraId="2ECF797A">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签订日期：  年  月  日</w:t>
      </w:r>
    </w:p>
    <w:p w14:paraId="6DA1AB68">
      <w:pPr>
        <w:autoSpaceDE w:val="0"/>
        <w:autoSpaceDN w:val="0"/>
        <w:adjustRightInd w:val="0"/>
        <w:spacing w:line="600" w:lineRule="exact"/>
        <w:ind w:firstLine="640"/>
        <w:jc w:val="center"/>
        <w:rPr>
          <w:rFonts w:hint="eastAsia" w:ascii="宋体" w:hAnsi="宋体" w:eastAsia="宋体" w:cs="宋体"/>
          <w:sz w:val="24"/>
        </w:rPr>
        <w:sectPr>
          <w:headerReference r:id="rId8" w:type="default"/>
          <w:pgSz w:w="11907" w:h="16840"/>
          <w:pgMar w:top="1020" w:right="1134" w:bottom="1020" w:left="1134" w:header="851" w:footer="850" w:gutter="0"/>
          <w:pgNumType w:fmt="numberInDash"/>
          <w:cols w:space="0" w:num="1"/>
          <w:docGrid w:linePitch="462" w:charSpace="0"/>
        </w:sectPr>
      </w:pPr>
    </w:p>
    <w:p w14:paraId="455397FA">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u w:val="single"/>
          <w:lang w:val="zh-CN"/>
        </w:rPr>
        <w:t xml:space="preserve">        </w:t>
      </w:r>
      <w:r>
        <w:rPr>
          <w:rFonts w:hint="eastAsia" w:ascii="宋体" w:hAnsi="宋体" w:eastAsia="宋体" w:cs="宋体"/>
          <w:sz w:val="24"/>
          <w:lang w:val="zh-CN"/>
        </w:rPr>
        <w:t>年</w:t>
      </w:r>
      <w:r>
        <w:rPr>
          <w:rFonts w:hint="eastAsia" w:ascii="宋体" w:hAnsi="宋体" w:eastAsia="宋体" w:cs="宋体"/>
          <w:sz w:val="24"/>
          <w:u w:val="single"/>
          <w:lang w:val="zh-CN"/>
        </w:rPr>
        <w:t xml:space="preserve">    </w:t>
      </w:r>
      <w:r>
        <w:rPr>
          <w:rFonts w:hint="eastAsia" w:ascii="宋体" w:hAnsi="宋体" w:eastAsia="宋体" w:cs="宋体"/>
          <w:sz w:val="24"/>
          <w:lang w:val="zh-CN"/>
        </w:rPr>
        <w:t>月</w:t>
      </w:r>
      <w:r>
        <w:rPr>
          <w:rFonts w:hint="eastAsia" w:ascii="宋体" w:hAnsi="宋体" w:eastAsia="宋体" w:cs="宋体"/>
          <w:sz w:val="24"/>
          <w:u w:val="single"/>
          <w:lang w:val="zh-CN"/>
        </w:rPr>
        <w:t xml:space="preserve">    </w:t>
      </w:r>
      <w:r>
        <w:rPr>
          <w:rFonts w:hint="eastAsia" w:ascii="宋体" w:hAnsi="宋体" w:eastAsia="宋体" w:cs="宋体"/>
          <w:sz w:val="24"/>
          <w:lang w:val="zh-CN"/>
        </w:rPr>
        <w:t>日</w:t>
      </w:r>
      <w:r>
        <w:rPr>
          <w:rFonts w:hint="eastAsia" w:ascii="宋体" w:hAnsi="宋体" w:eastAsia="宋体" w:cs="宋体"/>
          <w:sz w:val="24"/>
        </w:rPr>
        <w:t>，</w:t>
      </w:r>
      <w:r>
        <w:rPr>
          <w:rFonts w:hint="eastAsia" w:ascii="宋体" w:hAnsi="宋体" w:eastAsia="宋体" w:cs="宋体"/>
          <w:sz w:val="24"/>
          <w:u w:val="single"/>
        </w:rPr>
        <w:t>南通市交通运输综合行政执法支队</w:t>
      </w:r>
      <w:r>
        <w:rPr>
          <w:rFonts w:hint="eastAsia" w:ascii="宋体" w:hAnsi="宋体" w:eastAsia="宋体" w:cs="宋体"/>
          <w:sz w:val="24"/>
        </w:rPr>
        <w:t>以</w:t>
      </w:r>
      <w:r>
        <w:rPr>
          <w:rFonts w:hint="eastAsia" w:ascii="宋体" w:hAnsi="宋体" w:eastAsia="宋体" w:cs="宋体"/>
          <w:sz w:val="24"/>
          <w:u w:val="single"/>
        </w:rPr>
        <w:t>竞争性磋商方式</w:t>
      </w:r>
      <w:r>
        <w:rPr>
          <w:rFonts w:hint="eastAsia" w:ascii="宋体" w:hAnsi="宋体" w:eastAsia="宋体" w:cs="宋体"/>
          <w:sz w:val="24"/>
        </w:rPr>
        <w:t>对</w:t>
      </w:r>
      <w:r>
        <w:rPr>
          <w:rFonts w:hint="eastAsia" w:ascii="宋体" w:hAnsi="宋体" w:eastAsia="宋体" w:cs="宋体"/>
          <w:sz w:val="24"/>
          <w:u w:val="single"/>
        </w:rPr>
        <w:t>南通市交通运输综合行政执法支队制服采购项目</w:t>
      </w:r>
      <w:r>
        <w:rPr>
          <w:rFonts w:hint="eastAsia" w:ascii="宋体" w:hAnsi="宋体" w:eastAsia="宋体" w:cs="宋体"/>
          <w:sz w:val="24"/>
        </w:rPr>
        <w:t>进行了采购。经</w:t>
      </w:r>
      <w:r>
        <w:rPr>
          <w:rFonts w:hint="eastAsia" w:ascii="宋体" w:hAnsi="宋体" w:eastAsia="宋体" w:cs="宋体"/>
          <w:sz w:val="24"/>
          <w:u w:val="single"/>
        </w:rPr>
        <w:t>磋商小组</w:t>
      </w:r>
      <w:r>
        <w:rPr>
          <w:rFonts w:hint="eastAsia" w:ascii="宋体" w:hAnsi="宋体" w:eastAsia="宋体" w:cs="宋体"/>
          <w:sz w:val="24"/>
        </w:rPr>
        <w:t>评定，</w:t>
      </w:r>
      <w:r>
        <w:rPr>
          <w:rFonts w:hint="eastAsia" w:ascii="宋体" w:hAnsi="宋体" w:eastAsia="宋体" w:cs="宋体"/>
          <w:sz w:val="24"/>
          <w:u w:val="single"/>
        </w:rPr>
        <w:t xml:space="preserve">   （成交供应商名称） </w:t>
      </w:r>
      <w:r>
        <w:rPr>
          <w:rFonts w:hint="eastAsia" w:ascii="宋体" w:hAnsi="宋体" w:eastAsia="宋体" w:cs="宋体"/>
          <w:sz w:val="24"/>
        </w:rPr>
        <w:t>为该项目成交供应商。现于成交通知书发出之日起三十日内，按照采购文件确定的事项签订本合同。</w:t>
      </w:r>
    </w:p>
    <w:p w14:paraId="32FA278A">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zh-CN"/>
        </w:rPr>
        <w:t>根据《中华人民共和国</w:t>
      </w:r>
      <w:r>
        <w:rPr>
          <w:rFonts w:hint="eastAsia" w:ascii="宋体" w:hAnsi="宋体" w:eastAsia="宋体" w:cs="宋体"/>
          <w:sz w:val="24"/>
        </w:rPr>
        <w:t>民法典</w:t>
      </w:r>
      <w:r>
        <w:rPr>
          <w:rFonts w:hint="eastAsia" w:ascii="宋体" w:hAnsi="宋体" w:eastAsia="宋体" w:cs="宋体"/>
          <w:sz w:val="24"/>
          <w:lang w:val="zh-CN"/>
        </w:rPr>
        <w:t>》等相关法律法规之规定，按照平等、自愿、公平和诚实信用的原则，经</w:t>
      </w:r>
      <w:r>
        <w:rPr>
          <w:rFonts w:hint="eastAsia" w:ascii="宋体" w:hAnsi="宋体" w:eastAsia="宋体" w:cs="宋体"/>
          <w:sz w:val="24"/>
          <w:u w:val="single"/>
        </w:rPr>
        <w:t>南通市交通运输综合行政执法支队</w:t>
      </w:r>
      <w:r>
        <w:rPr>
          <w:rFonts w:hint="eastAsia" w:ascii="宋体" w:hAnsi="宋体" w:eastAsia="宋体" w:cs="宋体"/>
          <w:sz w:val="24"/>
          <w:lang w:val="zh-CN"/>
        </w:rPr>
        <w:t>(以下简称：甲方)和</w:t>
      </w:r>
      <w:r>
        <w:rPr>
          <w:rFonts w:hint="eastAsia" w:ascii="宋体" w:hAnsi="宋体" w:eastAsia="宋体" w:cs="宋体"/>
          <w:sz w:val="24"/>
          <w:u w:val="single"/>
        </w:rPr>
        <w:t xml:space="preserve">   （成交供应商名称）   </w:t>
      </w:r>
      <w:r>
        <w:rPr>
          <w:rFonts w:hint="eastAsia" w:ascii="宋体" w:hAnsi="宋体" w:eastAsia="宋体" w:cs="宋体"/>
          <w:sz w:val="24"/>
          <w:lang w:val="zh-CN"/>
        </w:rPr>
        <w:t>(以下简称：乙方)协商一致，约定以下合同</w:t>
      </w:r>
      <w:r>
        <w:rPr>
          <w:rFonts w:hint="eastAsia" w:ascii="宋体" w:hAnsi="宋体" w:eastAsia="宋体" w:cs="宋体"/>
          <w:sz w:val="24"/>
        </w:rPr>
        <w:t>条款，以兹共同遵守、全面履行。</w:t>
      </w:r>
    </w:p>
    <w:p w14:paraId="41CBAB2E">
      <w:pPr>
        <w:snapToGrid w:val="0"/>
        <w:spacing w:line="360" w:lineRule="auto"/>
        <w:ind w:firstLine="482" w:firstLineChars="200"/>
        <w:outlineLvl w:val="0"/>
        <w:rPr>
          <w:rFonts w:hint="eastAsia" w:ascii="宋体" w:hAnsi="宋体" w:eastAsia="宋体" w:cs="宋体"/>
          <w:sz w:val="24"/>
        </w:rPr>
      </w:pPr>
      <w:bookmarkStart w:id="102" w:name="_Toc22967"/>
      <w:bookmarkStart w:id="103" w:name="_Toc15367"/>
      <w:bookmarkStart w:id="104" w:name="_Toc28855"/>
      <w:bookmarkStart w:id="105" w:name="_Toc19273"/>
      <w:bookmarkStart w:id="106" w:name="_Toc20421"/>
      <w:r>
        <w:rPr>
          <w:rFonts w:hint="eastAsia" w:ascii="宋体" w:hAnsi="宋体" w:eastAsia="宋体" w:cs="宋体"/>
          <w:b/>
          <w:sz w:val="24"/>
        </w:rPr>
        <w:t>1.1 合同组成部分</w:t>
      </w:r>
      <w:bookmarkEnd w:id="102"/>
      <w:bookmarkEnd w:id="103"/>
      <w:bookmarkEnd w:id="104"/>
      <w:bookmarkEnd w:id="105"/>
      <w:bookmarkEnd w:id="106"/>
    </w:p>
    <w:p w14:paraId="3D72D994">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7A11E2BF">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1.1.1 本合同及其补充合同、变更协议；</w:t>
      </w:r>
    </w:p>
    <w:p w14:paraId="1B34AD61">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1.1.2 成交通知书；</w:t>
      </w:r>
    </w:p>
    <w:p w14:paraId="4EEC1C9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1.1.3 磋商响应文件（含澄清或者说明文件）；</w:t>
      </w:r>
    </w:p>
    <w:p w14:paraId="53125341">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1.1.4 磋商文件（含澄清或者修改文件）；</w:t>
      </w:r>
    </w:p>
    <w:p w14:paraId="0110C281">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1.1.5 其他相关采购文件。</w:t>
      </w:r>
    </w:p>
    <w:p w14:paraId="7B0272D3">
      <w:pPr>
        <w:snapToGrid w:val="0"/>
        <w:spacing w:line="360" w:lineRule="auto"/>
        <w:ind w:firstLine="482" w:firstLineChars="200"/>
        <w:outlineLvl w:val="0"/>
        <w:rPr>
          <w:rFonts w:hint="eastAsia" w:ascii="宋体" w:hAnsi="宋体" w:eastAsia="宋体" w:cs="宋体"/>
          <w:b/>
          <w:sz w:val="24"/>
          <w:szCs w:val="24"/>
        </w:rPr>
      </w:pPr>
      <w:bookmarkStart w:id="107" w:name="_Toc22185"/>
      <w:bookmarkStart w:id="108" w:name="_Toc2918"/>
      <w:bookmarkStart w:id="109" w:name="_Toc6311"/>
      <w:bookmarkStart w:id="110" w:name="_Toc18585"/>
      <w:bookmarkStart w:id="111" w:name="_Toc6773"/>
      <w:r>
        <w:rPr>
          <w:rFonts w:hint="eastAsia" w:ascii="宋体" w:hAnsi="宋体" w:eastAsia="宋体" w:cs="宋体"/>
          <w:b/>
          <w:sz w:val="24"/>
          <w:szCs w:val="24"/>
        </w:rPr>
        <w:t>1.2 标的</w:t>
      </w:r>
      <w:bookmarkEnd w:id="107"/>
      <w:bookmarkEnd w:id="108"/>
      <w:bookmarkEnd w:id="109"/>
      <w:bookmarkEnd w:id="110"/>
      <w:bookmarkEnd w:id="111"/>
    </w:p>
    <w:p w14:paraId="27FC100D">
      <w:pPr>
        <w:snapToGri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1.2.1 货物名称：；</w:t>
      </w:r>
    </w:p>
    <w:p w14:paraId="0C008A6F">
      <w:pPr>
        <w:snapToGri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1.2.2 货物数量：</w:t>
      </w:r>
      <w:r>
        <w:rPr>
          <w:rFonts w:hint="eastAsia" w:ascii="宋体" w:hAnsi="宋体" w:eastAsia="宋体" w:cs="宋体"/>
          <w:sz w:val="24"/>
          <w:szCs w:val="24"/>
          <w:u w:val="single"/>
        </w:rPr>
        <w:t xml:space="preserve">   具体按甲方要求        </w:t>
      </w:r>
      <w:r>
        <w:rPr>
          <w:rFonts w:hint="eastAsia" w:ascii="宋体" w:hAnsi="宋体" w:eastAsia="宋体" w:cs="宋体"/>
          <w:sz w:val="24"/>
          <w:szCs w:val="24"/>
        </w:rPr>
        <w:t>；</w:t>
      </w:r>
    </w:p>
    <w:p w14:paraId="0BCB7149">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1.2.3 货物质量：</w:t>
      </w:r>
      <w:r>
        <w:rPr>
          <w:rFonts w:hint="eastAsia" w:ascii="宋体" w:hAnsi="宋体" w:eastAsia="宋体" w:cs="宋体"/>
          <w:sz w:val="24"/>
          <w:szCs w:val="24"/>
          <w:u w:val="single"/>
        </w:rPr>
        <w:t xml:space="preserve">　详见磋商文件中的项目需求   </w:t>
      </w:r>
    </w:p>
    <w:p w14:paraId="16C5B066">
      <w:pPr>
        <w:snapToGrid w:val="0"/>
        <w:spacing w:line="360" w:lineRule="auto"/>
        <w:ind w:firstLine="482" w:firstLineChars="200"/>
        <w:outlineLvl w:val="0"/>
        <w:rPr>
          <w:rFonts w:hint="eastAsia" w:ascii="宋体" w:hAnsi="宋体" w:eastAsia="宋体" w:cs="宋体"/>
          <w:b/>
          <w:sz w:val="24"/>
          <w:szCs w:val="24"/>
        </w:rPr>
      </w:pPr>
      <w:bookmarkStart w:id="112" w:name="_Toc21124"/>
      <w:bookmarkStart w:id="113" w:name="_Toc1386"/>
      <w:bookmarkStart w:id="114" w:name="_Toc5635"/>
      <w:bookmarkStart w:id="115" w:name="_Toc13918"/>
      <w:bookmarkStart w:id="116" w:name="_Toc4929"/>
      <w:r>
        <w:rPr>
          <w:rFonts w:hint="eastAsia" w:ascii="宋体" w:hAnsi="宋体" w:eastAsia="宋体" w:cs="宋体"/>
          <w:b/>
          <w:sz w:val="24"/>
          <w:szCs w:val="24"/>
        </w:rPr>
        <w:t>1.3 价款</w:t>
      </w:r>
      <w:bookmarkEnd w:id="112"/>
      <w:bookmarkEnd w:id="113"/>
      <w:bookmarkEnd w:id="114"/>
      <w:bookmarkEnd w:id="115"/>
      <w:bookmarkEnd w:id="116"/>
    </w:p>
    <w:p w14:paraId="390CF958">
      <w:pPr>
        <w:snapToGrid w:val="0"/>
        <w:spacing w:line="360" w:lineRule="auto"/>
        <w:ind w:firstLine="480" w:firstLineChars="200"/>
        <w:rPr>
          <w:rFonts w:hint="eastAsia" w:ascii="宋体" w:hAnsi="宋体" w:eastAsia="宋体" w:cs="宋体"/>
          <w:sz w:val="24"/>
          <w:szCs w:val="24"/>
        </w:rPr>
      </w:pPr>
      <w:bookmarkStart w:id="117" w:name="_Toc3654"/>
      <w:bookmarkStart w:id="118" w:name="_Toc30506"/>
      <w:bookmarkStart w:id="119" w:name="_Toc30158"/>
      <w:bookmarkStart w:id="120" w:name="_Toc26916"/>
      <w:bookmarkStart w:id="121" w:name="_Toc14993"/>
      <w:r>
        <w:rPr>
          <w:rFonts w:hint="eastAsia" w:ascii="宋体" w:hAnsi="宋体" w:eastAsia="宋体" w:cs="宋体"/>
          <w:sz w:val="24"/>
          <w:szCs w:val="24"/>
        </w:rPr>
        <w:t>本合同总价为：¥</w:t>
      </w:r>
      <w:r>
        <w:rPr>
          <w:rFonts w:hint="eastAsia" w:ascii="宋体" w:hAnsi="宋体" w:eastAsia="宋体" w:cs="宋体"/>
          <w:sz w:val="24"/>
          <w:szCs w:val="24"/>
          <w:u w:val="single"/>
        </w:rPr>
        <w:t xml:space="preserve">           </w:t>
      </w:r>
      <w:r>
        <w:rPr>
          <w:rFonts w:hint="eastAsia" w:ascii="宋体" w:hAnsi="宋体" w:eastAsia="宋体" w:cs="宋体"/>
          <w:sz w:val="24"/>
          <w:szCs w:val="24"/>
        </w:rPr>
        <w:t>元（大写：</w:t>
      </w:r>
      <w:r>
        <w:rPr>
          <w:rFonts w:hint="eastAsia" w:ascii="宋体" w:hAnsi="宋体" w:eastAsia="宋体" w:cs="宋体"/>
          <w:sz w:val="24"/>
          <w:szCs w:val="24"/>
          <w:u w:val="single"/>
        </w:rPr>
        <w:t xml:space="preserve">                 </w:t>
      </w:r>
      <w:r>
        <w:rPr>
          <w:rFonts w:hint="eastAsia" w:ascii="宋体" w:hAnsi="宋体" w:eastAsia="宋体" w:cs="宋体"/>
          <w:sz w:val="24"/>
          <w:szCs w:val="24"/>
        </w:rPr>
        <w:t>元人民币）。合同价应至少包含但不限于：设计费、开模费、制版费、面料费、辅料费、上门服务费（含量体、取衣、送衣）、加工制作费、保管费、包装费、更换及返工费、机械费、人工费、检测费、运输到指定地点的装运费用（含装卸力资）、成品保护费、原材料涨价风险费、售后服务费、办公设备费、管理费、利润、税金、政策性文件规定及为达到</w:t>
      </w:r>
      <w:r>
        <w:rPr>
          <w:rFonts w:hint="eastAsia" w:ascii="宋体" w:hAnsi="宋体" w:cs="宋体"/>
          <w:sz w:val="24"/>
          <w:szCs w:val="24"/>
        </w:rPr>
        <w:t>甲方</w:t>
      </w:r>
      <w:r>
        <w:rPr>
          <w:rFonts w:hint="eastAsia" w:ascii="宋体" w:hAnsi="宋体" w:eastAsia="宋体" w:cs="宋体"/>
          <w:sz w:val="24"/>
          <w:szCs w:val="24"/>
        </w:rPr>
        <w:t>要求所包含的所有风险、责任等各项费用。分项价格：</w:t>
      </w:r>
    </w:p>
    <w:tbl>
      <w:tblPr>
        <w:tblStyle w:val="12"/>
        <w:tblW w:w="97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gridCol w:w="2552"/>
      </w:tblGrid>
      <w:tr w14:paraId="54C85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41C678F7">
            <w:pPr>
              <w:spacing w:line="560" w:lineRule="exact"/>
              <w:jc w:val="center"/>
              <w:rPr>
                <w:rFonts w:hint="eastAsia" w:hAnsi="宋体" w:eastAsia="宋体"/>
                <w:sz w:val="24"/>
                <w:szCs w:val="24"/>
              </w:rPr>
            </w:pPr>
            <w:r>
              <w:rPr>
                <w:rFonts w:hAnsi="宋体" w:eastAsia="宋体"/>
                <w:sz w:val="24"/>
                <w:szCs w:val="24"/>
              </w:rPr>
              <w:t>序号</w:t>
            </w:r>
          </w:p>
        </w:tc>
        <w:tc>
          <w:tcPr>
            <w:tcW w:w="3402" w:type="dxa"/>
            <w:vAlign w:val="center"/>
          </w:tcPr>
          <w:p w14:paraId="761B66F5">
            <w:pPr>
              <w:spacing w:line="560" w:lineRule="exact"/>
              <w:ind w:firstLine="200"/>
              <w:jc w:val="center"/>
              <w:rPr>
                <w:rFonts w:hint="eastAsia" w:hAnsi="宋体" w:eastAsia="宋体"/>
                <w:sz w:val="24"/>
                <w:szCs w:val="24"/>
              </w:rPr>
            </w:pPr>
            <w:r>
              <w:rPr>
                <w:rFonts w:hAnsi="宋体" w:eastAsia="宋体"/>
                <w:sz w:val="24"/>
                <w:szCs w:val="24"/>
              </w:rPr>
              <w:t>分项名称</w:t>
            </w:r>
          </w:p>
        </w:tc>
        <w:tc>
          <w:tcPr>
            <w:tcW w:w="2552" w:type="dxa"/>
            <w:vAlign w:val="center"/>
          </w:tcPr>
          <w:p w14:paraId="1449ACEF">
            <w:pPr>
              <w:spacing w:line="560" w:lineRule="exact"/>
              <w:jc w:val="center"/>
              <w:rPr>
                <w:rFonts w:hint="eastAsia" w:hAnsi="宋体" w:eastAsia="宋体"/>
                <w:sz w:val="24"/>
                <w:szCs w:val="24"/>
              </w:rPr>
            </w:pPr>
            <w:r>
              <w:rPr>
                <w:rFonts w:hAnsi="宋体" w:eastAsia="宋体"/>
                <w:sz w:val="24"/>
                <w:szCs w:val="24"/>
              </w:rPr>
              <w:t>数量</w:t>
            </w:r>
          </w:p>
        </w:tc>
        <w:tc>
          <w:tcPr>
            <w:tcW w:w="2552" w:type="dxa"/>
            <w:vAlign w:val="center"/>
          </w:tcPr>
          <w:p w14:paraId="697BFDE6">
            <w:pPr>
              <w:spacing w:line="560" w:lineRule="exact"/>
              <w:jc w:val="center"/>
              <w:rPr>
                <w:rFonts w:hint="eastAsia" w:hAnsi="宋体" w:eastAsia="宋体"/>
                <w:sz w:val="24"/>
                <w:szCs w:val="24"/>
              </w:rPr>
            </w:pPr>
            <w:r>
              <w:rPr>
                <w:rFonts w:hAnsi="宋体" w:eastAsia="宋体"/>
                <w:sz w:val="24"/>
                <w:szCs w:val="24"/>
              </w:rPr>
              <w:t>分项价格</w:t>
            </w:r>
          </w:p>
        </w:tc>
      </w:tr>
      <w:tr w14:paraId="5A969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60F65D5">
            <w:pPr>
              <w:spacing w:line="560" w:lineRule="exact"/>
              <w:ind w:firstLine="200"/>
              <w:jc w:val="center"/>
              <w:rPr>
                <w:rFonts w:hint="eastAsia" w:hAnsi="宋体" w:eastAsia="宋体"/>
                <w:sz w:val="24"/>
                <w:szCs w:val="24"/>
              </w:rPr>
            </w:pPr>
          </w:p>
        </w:tc>
        <w:tc>
          <w:tcPr>
            <w:tcW w:w="3402" w:type="dxa"/>
            <w:vAlign w:val="center"/>
          </w:tcPr>
          <w:p w14:paraId="37C25E9E">
            <w:pPr>
              <w:spacing w:line="560" w:lineRule="exact"/>
              <w:ind w:firstLine="200"/>
              <w:jc w:val="center"/>
              <w:rPr>
                <w:rFonts w:hint="eastAsia" w:hAnsi="宋体" w:eastAsia="宋体"/>
                <w:sz w:val="24"/>
                <w:szCs w:val="24"/>
              </w:rPr>
            </w:pPr>
          </w:p>
        </w:tc>
        <w:tc>
          <w:tcPr>
            <w:tcW w:w="2552" w:type="dxa"/>
            <w:vAlign w:val="center"/>
          </w:tcPr>
          <w:p w14:paraId="36B49CC1">
            <w:pPr>
              <w:spacing w:line="560" w:lineRule="exact"/>
              <w:ind w:firstLine="200"/>
              <w:jc w:val="center"/>
              <w:rPr>
                <w:rFonts w:hint="eastAsia" w:hAnsi="宋体" w:eastAsia="宋体"/>
                <w:sz w:val="24"/>
                <w:szCs w:val="24"/>
              </w:rPr>
            </w:pPr>
          </w:p>
        </w:tc>
        <w:tc>
          <w:tcPr>
            <w:tcW w:w="2552" w:type="dxa"/>
            <w:vAlign w:val="center"/>
          </w:tcPr>
          <w:p w14:paraId="49EE6B49">
            <w:pPr>
              <w:spacing w:line="560" w:lineRule="exact"/>
              <w:ind w:firstLine="200"/>
              <w:jc w:val="center"/>
              <w:rPr>
                <w:rFonts w:hint="eastAsia" w:hAnsi="宋体" w:eastAsia="宋体"/>
                <w:sz w:val="24"/>
                <w:szCs w:val="24"/>
              </w:rPr>
            </w:pPr>
          </w:p>
        </w:tc>
      </w:tr>
      <w:tr w14:paraId="7A3F9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EBE592E">
            <w:pPr>
              <w:spacing w:line="560" w:lineRule="exact"/>
              <w:ind w:firstLine="200"/>
              <w:jc w:val="center"/>
              <w:rPr>
                <w:rFonts w:hint="eastAsia" w:hAnsi="宋体" w:eastAsia="宋体"/>
                <w:sz w:val="24"/>
                <w:szCs w:val="24"/>
              </w:rPr>
            </w:pPr>
          </w:p>
        </w:tc>
        <w:tc>
          <w:tcPr>
            <w:tcW w:w="3402" w:type="dxa"/>
            <w:vAlign w:val="center"/>
          </w:tcPr>
          <w:p w14:paraId="47703352">
            <w:pPr>
              <w:spacing w:line="560" w:lineRule="exact"/>
              <w:ind w:firstLine="200"/>
              <w:jc w:val="center"/>
              <w:rPr>
                <w:rFonts w:hint="eastAsia" w:hAnsi="宋体" w:eastAsia="宋体"/>
                <w:sz w:val="24"/>
                <w:szCs w:val="24"/>
              </w:rPr>
            </w:pPr>
          </w:p>
        </w:tc>
        <w:tc>
          <w:tcPr>
            <w:tcW w:w="2552" w:type="dxa"/>
            <w:vAlign w:val="center"/>
          </w:tcPr>
          <w:p w14:paraId="366DA310">
            <w:pPr>
              <w:spacing w:line="560" w:lineRule="exact"/>
              <w:ind w:firstLine="200"/>
              <w:jc w:val="center"/>
              <w:rPr>
                <w:rFonts w:hint="eastAsia" w:hAnsi="宋体" w:eastAsia="宋体"/>
                <w:sz w:val="24"/>
                <w:szCs w:val="24"/>
              </w:rPr>
            </w:pPr>
          </w:p>
        </w:tc>
        <w:tc>
          <w:tcPr>
            <w:tcW w:w="2552" w:type="dxa"/>
            <w:vAlign w:val="center"/>
          </w:tcPr>
          <w:p w14:paraId="27156139">
            <w:pPr>
              <w:spacing w:line="560" w:lineRule="exact"/>
              <w:ind w:firstLine="200"/>
              <w:jc w:val="center"/>
              <w:rPr>
                <w:rFonts w:hint="eastAsia" w:hAnsi="宋体" w:eastAsia="宋体"/>
                <w:sz w:val="24"/>
                <w:szCs w:val="24"/>
              </w:rPr>
            </w:pPr>
          </w:p>
        </w:tc>
      </w:tr>
      <w:tr w14:paraId="167A5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536B443">
            <w:pPr>
              <w:spacing w:line="560" w:lineRule="exact"/>
              <w:ind w:firstLine="200"/>
              <w:jc w:val="center"/>
              <w:rPr>
                <w:rFonts w:hint="eastAsia" w:hAnsi="宋体" w:eastAsia="宋体"/>
                <w:sz w:val="24"/>
                <w:szCs w:val="24"/>
              </w:rPr>
            </w:pPr>
          </w:p>
        </w:tc>
        <w:tc>
          <w:tcPr>
            <w:tcW w:w="3402" w:type="dxa"/>
            <w:vAlign w:val="center"/>
          </w:tcPr>
          <w:p w14:paraId="4EAE6AF2">
            <w:pPr>
              <w:spacing w:line="560" w:lineRule="exact"/>
              <w:ind w:firstLine="200"/>
              <w:jc w:val="center"/>
              <w:rPr>
                <w:rFonts w:hint="eastAsia" w:hAnsi="宋体" w:eastAsia="宋体"/>
                <w:sz w:val="24"/>
                <w:szCs w:val="24"/>
              </w:rPr>
            </w:pPr>
          </w:p>
        </w:tc>
        <w:tc>
          <w:tcPr>
            <w:tcW w:w="2552" w:type="dxa"/>
            <w:vAlign w:val="center"/>
          </w:tcPr>
          <w:p w14:paraId="1449A274">
            <w:pPr>
              <w:spacing w:line="560" w:lineRule="exact"/>
              <w:ind w:firstLine="200"/>
              <w:jc w:val="center"/>
              <w:rPr>
                <w:rFonts w:hint="eastAsia" w:hAnsi="宋体" w:eastAsia="宋体"/>
                <w:sz w:val="24"/>
                <w:szCs w:val="24"/>
              </w:rPr>
            </w:pPr>
          </w:p>
        </w:tc>
        <w:tc>
          <w:tcPr>
            <w:tcW w:w="2552" w:type="dxa"/>
            <w:vAlign w:val="center"/>
          </w:tcPr>
          <w:p w14:paraId="67E9FC21">
            <w:pPr>
              <w:spacing w:line="560" w:lineRule="exact"/>
              <w:ind w:firstLine="200"/>
              <w:jc w:val="center"/>
              <w:rPr>
                <w:rFonts w:hint="eastAsia" w:hAnsi="宋体" w:eastAsia="宋体"/>
                <w:sz w:val="24"/>
                <w:szCs w:val="24"/>
              </w:rPr>
            </w:pPr>
          </w:p>
        </w:tc>
      </w:tr>
      <w:tr w14:paraId="7B65F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155" w:type="dxa"/>
            <w:gridSpan w:val="3"/>
            <w:vAlign w:val="center"/>
          </w:tcPr>
          <w:p w14:paraId="6F3A69AB">
            <w:pPr>
              <w:spacing w:line="560" w:lineRule="exact"/>
              <w:ind w:firstLine="200"/>
              <w:jc w:val="center"/>
              <w:rPr>
                <w:rFonts w:hint="eastAsia" w:hAnsi="宋体" w:eastAsia="宋体"/>
                <w:sz w:val="24"/>
                <w:szCs w:val="24"/>
              </w:rPr>
            </w:pPr>
            <w:r>
              <w:rPr>
                <w:rFonts w:hAnsi="宋体" w:eastAsia="宋体"/>
                <w:sz w:val="24"/>
                <w:szCs w:val="24"/>
              </w:rPr>
              <w:t>总价</w:t>
            </w:r>
          </w:p>
        </w:tc>
        <w:tc>
          <w:tcPr>
            <w:tcW w:w="2552" w:type="dxa"/>
            <w:vAlign w:val="center"/>
          </w:tcPr>
          <w:p w14:paraId="2EF4AB8D">
            <w:pPr>
              <w:spacing w:line="560" w:lineRule="exact"/>
              <w:ind w:firstLine="200"/>
              <w:jc w:val="center"/>
              <w:rPr>
                <w:rFonts w:hint="eastAsia" w:hAnsi="宋体" w:eastAsia="宋体"/>
                <w:sz w:val="24"/>
                <w:szCs w:val="24"/>
              </w:rPr>
            </w:pPr>
          </w:p>
        </w:tc>
      </w:tr>
    </w:tbl>
    <w:p w14:paraId="13035787">
      <w:pPr>
        <w:snapToGrid w:val="0"/>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1.4 付款方式和发票开具方式</w:t>
      </w:r>
      <w:bookmarkEnd w:id="117"/>
      <w:bookmarkEnd w:id="118"/>
      <w:bookmarkEnd w:id="119"/>
      <w:bookmarkEnd w:id="120"/>
      <w:bookmarkEnd w:id="121"/>
    </w:p>
    <w:p w14:paraId="02419284">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1.4.1付款方式：</w:t>
      </w:r>
      <w:r>
        <w:rPr>
          <w:rFonts w:hint="eastAsia" w:ascii="宋体" w:hAnsi="宋体" w:eastAsia="宋体" w:cs="宋体"/>
          <w:sz w:val="24"/>
          <w:u w:val="single"/>
        </w:rPr>
        <w:t xml:space="preserve">银行转账（收款名：       账号：      开户行：    ） </w:t>
      </w:r>
      <w:r>
        <w:rPr>
          <w:rFonts w:hint="eastAsia" w:ascii="宋体" w:hAnsi="宋体" w:eastAsia="宋体" w:cs="宋体"/>
          <w:sz w:val="24"/>
        </w:rPr>
        <w:t>；</w:t>
      </w:r>
    </w:p>
    <w:p w14:paraId="289E7579">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1.4.2 发票开具方式：</w:t>
      </w:r>
      <w:r>
        <w:rPr>
          <w:rFonts w:hint="eastAsia" w:ascii="宋体" w:hAnsi="宋体" w:eastAsia="宋体" w:cs="宋体"/>
          <w:sz w:val="24"/>
          <w:u w:val="single"/>
        </w:rPr>
        <w:t xml:space="preserve">纸质税务发票或电子税务发票，且须符合甲方财务制度规定 </w:t>
      </w:r>
      <w:r>
        <w:rPr>
          <w:rFonts w:hint="eastAsia" w:ascii="宋体" w:hAnsi="宋体" w:eastAsia="宋体" w:cs="宋体"/>
          <w:sz w:val="24"/>
        </w:rPr>
        <w:t>。</w:t>
      </w:r>
    </w:p>
    <w:p w14:paraId="620D5A2E">
      <w:pPr>
        <w:snapToGrid w:val="0"/>
        <w:spacing w:line="360" w:lineRule="auto"/>
        <w:ind w:firstLine="482" w:firstLineChars="200"/>
        <w:outlineLvl w:val="0"/>
        <w:rPr>
          <w:rFonts w:hint="eastAsia" w:ascii="宋体" w:hAnsi="宋体" w:eastAsia="宋体" w:cs="宋体"/>
          <w:b/>
          <w:sz w:val="24"/>
        </w:rPr>
      </w:pPr>
      <w:bookmarkStart w:id="122" w:name="_Toc3625"/>
      <w:bookmarkStart w:id="123" w:name="_Toc4760"/>
      <w:bookmarkStart w:id="124" w:name="_Toc8772"/>
      <w:bookmarkStart w:id="125" w:name="_Toc11108"/>
      <w:bookmarkStart w:id="126" w:name="_Toc31421"/>
      <w:r>
        <w:rPr>
          <w:rFonts w:hint="eastAsia" w:ascii="宋体" w:hAnsi="宋体" w:eastAsia="宋体" w:cs="宋体"/>
          <w:b/>
          <w:sz w:val="24"/>
        </w:rPr>
        <w:t xml:space="preserve">1.5 </w:t>
      </w:r>
      <w:bookmarkEnd w:id="122"/>
      <w:bookmarkEnd w:id="123"/>
      <w:bookmarkEnd w:id="124"/>
      <w:bookmarkEnd w:id="125"/>
      <w:bookmarkEnd w:id="126"/>
      <w:r>
        <w:rPr>
          <w:rFonts w:hint="eastAsia" w:ascii="宋体" w:hAnsi="宋体" w:eastAsia="宋体" w:cs="宋体"/>
          <w:b/>
          <w:sz w:val="24"/>
        </w:rPr>
        <w:t>货物交付期限、地点和方式</w:t>
      </w:r>
    </w:p>
    <w:p w14:paraId="35498289">
      <w:pPr>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1.5.1 交付期限：</w:t>
      </w:r>
      <w:r>
        <w:rPr>
          <w:rFonts w:hint="eastAsia" w:ascii="宋体" w:hAnsi="宋体" w:eastAsia="宋体" w:cs="宋体"/>
          <w:sz w:val="24"/>
          <w:u w:val="single"/>
        </w:rPr>
        <w:t xml:space="preserve">       日历天 </w:t>
      </w:r>
      <w:r>
        <w:rPr>
          <w:rFonts w:hint="eastAsia" w:ascii="宋体" w:hAnsi="宋体" w:eastAsia="宋体" w:cs="宋体"/>
          <w:sz w:val="24"/>
        </w:rPr>
        <w:t>；</w:t>
      </w:r>
    </w:p>
    <w:p w14:paraId="602183D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1.5.2 交付地点：</w:t>
      </w:r>
      <w:r>
        <w:rPr>
          <w:rFonts w:hint="eastAsia" w:ascii="宋体" w:hAnsi="宋体" w:eastAsia="宋体" w:cs="宋体"/>
          <w:sz w:val="24"/>
          <w:u w:val="single"/>
        </w:rPr>
        <w:t xml:space="preserve"> 甲方指定地点 </w:t>
      </w:r>
      <w:r>
        <w:rPr>
          <w:rFonts w:hint="eastAsia" w:ascii="宋体" w:hAnsi="宋体" w:eastAsia="宋体" w:cs="宋体"/>
          <w:sz w:val="24"/>
        </w:rPr>
        <w:t>；</w:t>
      </w:r>
    </w:p>
    <w:p w14:paraId="00CC4A58">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1.5.3 交付方式：</w:t>
      </w:r>
      <w:r>
        <w:rPr>
          <w:rFonts w:hint="eastAsia" w:ascii="宋体" w:hAnsi="宋体" w:eastAsia="宋体" w:cs="宋体"/>
          <w:sz w:val="24"/>
          <w:u w:val="single"/>
        </w:rPr>
        <w:t xml:space="preserve"> 按甲方要求 </w:t>
      </w:r>
      <w:r>
        <w:rPr>
          <w:rFonts w:hint="eastAsia" w:ascii="宋体" w:hAnsi="宋体" w:eastAsia="宋体" w:cs="宋体"/>
          <w:sz w:val="24"/>
        </w:rPr>
        <w:t>。</w:t>
      </w:r>
    </w:p>
    <w:p w14:paraId="384CC705">
      <w:pPr>
        <w:snapToGrid w:val="0"/>
        <w:spacing w:line="360" w:lineRule="auto"/>
        <w:ind w:firstLine="482" w:firstLineChars="200"/>
        <w:outlineLvl w:val="0"/>
        <w:rPr>
          <w:rFonts w:hint="eastAsia" w:ascii="宋体" w:hAnsi="宋体" w:eastAsia="宋体" w:cs="宋体"/>
          <w:sz w:val="24"/>
          <w:u w:val="single"/>
        </w:rPr>
      </w:pPr>
      <w:bookmarkStart w:id="127" w:name="_Toc5698"/>
      <w:bookmarkStart w:id="128" w:name="_Toc8586"/>
      <w:bookmarkStart w:id="129" w:name="_Toc3079"/>
      <w:bookmarkStart w:id="130" w:name="_Toc2375"/>
      <w:bookmarkStart w:id="131" w:name="_Toc24662"/>
      <w:r>
        <w:rPr>
          <w:rFonts w:hint="eastAsia" w:ascii="宋体" w:hAnsi="宋体" w:eastAsia="宋体" w:cs="宋体"/>
          <w:b/>
          <w:sz w:val="24"/>
        </w:rPr>
        <w:t>1.6 违约责任</w:t>
      </w:r>
      <w:bookmarkEnd w:id="127"/>
      <w:bookmarkEnd w:id="128"/>
      <w:bookmarkEnd w:id="129"/>
      <w:bookmarkEnd w:id="130"/>
      <w:bookmarkEnd w:id="131"/>
    </w:p>
    <w:p w14:paraId="747BD55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sz w:val="24"/>
          <w:u w:val="single"/>
        </w:rPr>
        <w:t xml:space="preserve">  1 </w:t>
      </w:r>
      <w:r>
        <w:rPr>
          <w:rFonts w:hint="eastAsia" w:ascii="宋体" w:hAnsi="宋体" w:eastAsia="宋体" w:cs="宋体"/>
          <w:sz w:val="24"/>
        </w:rPr>
        <w:t>%计算，最高限额为本合同总价的</w:t>
      </w:r>
      <w:r>
        <w:rPr>
          <w:rFonts w:hint="eastAsia" w:ascii="宋体" w:hAnsi="宋体" w:eastAsia="宋体" w:cs="宋体"/>
          <w:sz w:val="24"/>
          <w:u w:val="single"/>
        </w:rPr>
        <w:t xml:space="preserve"> 10</w:t>
      </w:r>
      <w:r>
        <w:rPr>
          <w:rFonts w:hint="eastAsia" w:ascii="宋体" w:hAnsi="宋体" w:eastAsia="宋体" w:cs="宋体"/>
          <w:sz w:val="24"/>
        </w:rPr>
        <w:t>%；迟延交付货物的违约金计算数额达到前述最高限额之日起，甲方有权在要求乙方支付违约金的同时，书面通知乙方解除本合同；</w:t>
      </w:r>
    </w:p>
    <w:p w14:paraId="4DB5788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1.6.2 除不可抗力外，如果甲方没有按照本合同约定的付款方式付款，那么乙方可要求甲方支付违约金，违约金按每迟延付款一日的应付而未付款的</w:t>
      </w:r>
      <w:r>
        <w:rPr>
          <w:rFonts w:hint="eastAsia" w:ascii="宋体" w:hAnsi="宋体"/>
          <w:sz w:val="24"/>
          <w:u w:val="single"/>
        </w:rPr>
        <w:t xml:space="preserve"> / </w:t>
      </w:r>
      <w:r>
        <w:rPr>
          <w:rFonts w:hint="eastAsia" w:ascii="宋体" w:hAnsi="宋体" w:eastAsia="宋体" w:cs="宋体"/>
          <w:sz w:val="24"/>
        </w:rPr>
        <w:t>%计算，最高限额为本合同总价的</w:t>
      </w:r>
      <w:r>
        <w:rPr>
          <w:rFonts w:hint="eastAsia" w:ascii="宋体" w:hAnsi="宋体"/>
          <w:sz w:val="24"/>
          <w:u w:val="single"/>
        </w:rPr>
        <w:t xml:space="preserve"> / </w:t>
      </w:r>
      <w:r>
        <w:rPr>
          <w:rFonts w:hint="eastAsia" w:ascii="宋体" w:hAnsi="宋体" w:eastAsia="宋体" w:cs="宋体"/>
          <w:sz w:val="24"/>
        </w:rPr>
        <w:t>%；迟延付款的违约金计算数额达到前述最高限额之日起，乙方有权在要求甲方支付违约金的同时，书面通知甲方解除本合同；</w:t>
      </w:r>
    </w:p>
    <w:p w14:paraId="45DE875F">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4FC32AA">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A304D7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0A19BB49">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1.6.6 如果出现政府采购监督管理部门在处理投诉事项期间，书面通知甲方暂停采购活动的情形，或者询问或质疑事项可能影响成交结果的，导致甲方中止履行合同的情形，均不视为甲方违约。</w:t>
      </w:r>
    </w:p>
    <w:p w14:paraId="18329133">
      <w:pPr>
        <w:snapToGrid w:val="0"/>
        <w:spacing w:line="360" w:lineRule="auto"/>
        <w:ind w:firstLine="482" w:firstLineChars="200"/>
        <w:outlineLvl w:val="0"/>
        <w:rPr>
          <w:rFonts w:hint="eastAsia" w:ascii="宋体" w:hAnsi="宋体" w:eastAsia="宋体" w:cs="宋体"/>
          <w:b/>
          <w:sz w:val="24"/>
        </w:rPr>
      </w:pPr>
      <w:bookmarkStart w:id="132" w:name="_Toc16021"/>
      <w:bookmarkStart w:id="133" w:name="_Toc15583"/>
      <w:bookmarkStart w:id="134" w:name="_Toc28375"/>
      <w:r>
        <w:rPr>
          <w:rFonts w:hint="eastAsia" w:ascii="宋体" w:hAnsi="宋体" w:eastAsia="宋体" w:cs="宋体"/>
          <w:b/>
          <w:sz w:val="24"/>
        </w:rPr>
        <w:t>1.7 合同争议的解决</w:t>
      </w:r>
      <w:bookmarkEnd w:id="132"/>
      <w:bookmarkEnd w:id="133"/>
      <w:bookmarkEnd w:id="134"/>
    </w:p>
    <w:p w14:paraId="66F91569">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本合同履行过程中发生的任何争议，双方当事人均可通过和解或者调解解决；不愿和解、调解或者和解、调解不成的，可以选择下列第</w:t>
      </w:r>
      <w:r>
        <w:rPr>
          <w:rFonts w:hint="eastAsia" w:ascii="宋体" w:hAnsi="宋体" w:eastAsia="宋体" w:cs="宋体"/>
          <w:sz w:val="24"/>
          <w:u w:val="single"/>
        </w:rPr>
        <w:t xml:space="preserve"> 2 </w:t>
      </w:r>
      <w:r>
        <w:rPr>
          <w:rFonts w:hint="eastAsia" w:ascii="宋体" w:hAnsi="宋体" w:eastAsia="宋体" w:cs="宋体"/>
          <w:sz w:val="24"/>
        </w:rPr>
        <w:t>种方式解决：</w:t>
      </w:r>
    </w:p>
    <w:p w14:paraId="7CB74CB6">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1.7.1 将争议提交</w:t>
      </w:r>
      <w:r>
        <w:rPr>
          <w:rFonts w:hint="eastAsia" w:ascii="宋体" w:hAnsi="宋体" w:eastAsia="宋体" w:cs="宋体"/>
          <w:sz w:val="24"/>
          <w:u w:val="single"/>
        </w:rPr>
        <w:t xml:space="preserve"> 南通 </w:t>
      </w:r>
      <w:r>
        <w:rPr>
          <w:rFonts w:hint="eastAsia" w:ascii="宋体" w:hAnsi="宋体" w:eastAsia="宋体" w:cs="宋体"/>
          <w:sz w:val="24"/>
        </w:rPr>
        <w:t>仲裁委员会依申请仲裁时其现行有效的仲裁规则裁决；</w:t>
      </w:r>
    </w:p>
    <w:p w14:paraId="1F06CDB7">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1.7.2 向</w:t>
      </w:r>
      <w:r>
        <w:rPr>
          <w:rFonts w:hint="eastAsia" w:ascii="宋体" w:hAnsi="宋体" w:eastAsia="宋体" w:cs="宋体"/>
          <w:sz w:val="24"/>
          <w:u w:val="single"/>
        </w:rPr>
        <w:t xml:space="preserve">  合同签订地   </w:t>
      </w:r>
      <w:r>
        <w:rPr>
          <w:rFonts w:hint="eastAsia" w:ascii="宋体" w:hAnsi="宋体" w:eastAsia="宋体" w:cs="宋体"/>
          <w:sz w:val="24"/>
        </w:rPr>
        <w:t>人民法院起诉。</w:t>
      </w:r>
    </w:p>
    <w:p w14:paraId="630EB906">
      <w:pPr>
        <w:snapToGrid w:val="0"/>
        <w:spacing w:line="360" w:lineRule="auto"/>
        <w:ind w:firstLine="482" w:firstLineChars="200"/>
        <w:outlineLvl w:val="0"/>
        <w:rPr>
          <w:rFonts w:hint="eastAsia" w:ascii="宋体" w:hAnsi="宋体" w:eastAsia="宋体" w:cs="宋体"/>
          <w:b/>
          <w:sz w:val="24"/>
        </w:rPr>
      </w:pPr>
      <w:bookmarkStart w:id="135" w:name="_Toc11173"/>
      <w:bookmarkStart w:id="136" w:name="_Toc7245"/>
      <w:bookmarkStart w:id="137" w:name="_Toc15322"/>
      <w:r>
        <w:rPr>
          <w:rFonts w:hint="eastAsia" w:ascii="宋体" w:hAnsi="宋体" w:eastAsia="宋体" w:cs="宋体"/>
          <w:b/>
          <w:sz w:val="24"/>
        </w:rPr>
        <w:t>1.8 合同生效</w:t>
      </w:r>
      <w:bookmarkEnd w:id="135"/>
      <w:bookmarkEnd w:id="136"/>
      <w:bookmarkEnd w:id="137"/>
    </w:p>
    <w:p w14:paraId="46DD0953">
      <w:pPr>
        <w:snapToGrid w:val="0"/>
        <w:spacing w:line="360" w:lineRule="auto"/>
        <w:ind w:firstLine="480" w:firstLineChars="200"/>
        <w:rPr>
          <w:rFonts w:hint="eastAsia" w:ascii="宋体" w:hAnsi="宋体" w:eastAsia="宋体" w:cs="宋体"/>
          <w:b/>
          <w:sz w:val="24"/>
        </w:rPr>
      </w:pPr>
      <w:r>
        <w:rPr>
          <w:rFonts w:hint="eastAsia" w:ascii="宋体" w:hAnsi="宋体" w:eastAsia="宋体" w:cs="宋体"/>
          <w:sz w:val="24"/>
        </w:rPr>
        <w:t>本合同自双方当事人盖章或者签字时生效。</w:t>
      </w:r>
    </w:p>
    <w:p w14:paraId="28BB8F71">
      <w:pPr>
        <w:autoSpaceDE w:val="0"/>
        <w:autoSpaceDN w:val="0"/>
        <w:adjustRightInd w:val="0"/>
        <w:snapToGrid w:val="0"/>
        <w:spacing w:line="360" w:lineRule="auto"/>
        <w:rPr>
          <w:rFonts w:hint="eastAsia" w:ascii="宋体" w:hAnsi="宋体" w:eastAsia="宋体" w:cs="宋体"/>
          <w:sz w:val="24"/>
          <w:lang w:val="zh-CN"/>
        </w:rPr>
      </w:pPr>
    </w:p>
    <w:p w14:paraId="3E7AB72B">
      <w:pPr>
        <w:autoSpaceDE w:val="0"/>
        <w:autoSpaceDN w:val="0"/>
        <w:adjustRightInd w:val="0"/>
        <w:snapToGrid w:val="0"/>
        <w:spacing w:line="360" w:lineRule="auto"/>
        <w:rPr>
          <w:rFonts w:hint="eastAsia" w:ascii="宋体" w:hAnsi="宋体" w:eastAsia="宋体" w:cs="宋体"/>
          <w:sz w:val="24"/>
          <w:lang w:val="zh-CN"/>
        </w:rPr>
      </w:pPr>
      <w:r>
        <w:rPr>
          <w:rFonts w:hint="eastAsia" w:ascii="宋体" w:hAnsi="宋体" w:eastAsia="宋体" w:cs="宋体"/>
          <w:b/>
          <w:sz w:val="24"/>
          <w:lang w:val="zh-CN"/>
        </w:rPr>
        <w:t>甲方</w:t>
      </w:r>
      <w:r>
        <w:rPr>
          <w:rFonts w:hint="eastAsia" w:ascii="宋体" w:hAnsi="宋体" w:eastAsia="宋体" w:cs="宋体"/>
          <w:sz w:val="24"/>
          <w:lang w:val="zh-CN"/>
        </w:rPr>
        <w:t xml:space="preserve">：                             </w:t>
      </w:r>
      <w:r>
        <w:rPr>
          <w:rFonts w:hint="eastAsia" w:ascii="宋体" w:hAnsi="宋体" w:eastAsia="宋体" w:cs="宋体"/>
          <w:b/>
          <w:sz w:val="24"/>
          <w:lang w:val="zh-CN"/>
        </w:rPr>
        <w:t xml:space="preserve">      乙方</w:t>
      </w:r>
      <w:r>
        <w:rPr>
          <w:rFonts w:hint="eastAsia" w:ascii="宋体" w:hAnsi="宋体" w:eastAsia="宋体" w:cs="宋体"/>
          <w:sz w:val="24"/>
          <w:lang w:val="zh-CN"/>
        </w:rPr>
        <w:t>：</w:t>
      </w:r>
    </w:p>
    <w:p w14:paraId="04D1D3A7">
      <w:pPr>
        <w:autoSpaceDE w:val="0"/>
        <w:autoSpaceDN w:val="0"/>
        <w:adjustRightInd w:val="0"/>
        <w:snapToGrid w:val="0"/>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                        统一社会信用代码或身份证号码：</w:t>
      </w:r>
    </w:p>
    <w:p w14:paraId="00B157C8">
      <w:pPr>
        <w:autoSpaceDE w:val="0"/>
        <w:autoSpaceDN w:val="0"/>
        <w:adjustRightInd w:val="0"/>
        <w:snapToGrid w:val="0"/>
        <w:spacing w:line="360" w:lineRule="auto"/>
        <w:rPr>
          <w:rFonts w:hint="eastAsia" w:ascii="宋体" w:hAnsi="宋体" w:eastAsia="宋体" w:cs="宋体"/>
          <w:sz w:val="24"/>
          <w:lang w:val="zh-CN"/>
        </w:rPr>
      </w:pPr>
      <w:r>
        <w:rPr>
          <w:rFonts w:hint="eastAsia" w:ascii="宋体" w:hAnsi="宋体" w:eastAsia="宋体" w:cs="宋体"/>
          <w:sz w:val="24"/>
          <w:lang w:val="zh-CN"/>
        </w:rPr>
        <w:t>住所：                                   住所：</w:t>
      </w:r>
    </w:p>
    <w:p w14:paraId="2E814A48">
      <w:pPr>
        <w:autoSpaceDE w:val="0"/>
        <w:autoSpaceDN w:val="0"/>
        <w:adjustRightInd w:val="0"/>
        <w:snapToGrid w:val="0"/>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                             法定代表人</w:t>
      </w:r>
    </w:p>
    <w:p w14:paraId="310B6F98">
      <w:pPr>
        <w:autoSpaceDE w:val="0"/>
        <w:autoSpaceDN w:val="0"/>
        <w:adjustRightInd w:val="0"/>
        <w:snapToGrid w:val="0"/>
        <w:spacing w:line="360" w:lineRule="auto"/>
        <w:rPr>
          <w:rFonts w:hint="eastAsia" w:ascii="宋体" w:hAnsi="宋体" w:eastAsia="宋体" w:cs="宋体"/>
          <w:sz w:val="24"/>
          <w:lang w:val="zh-CN"/>
        </w:rPr>
      </w:pPr>
      <w:r>
        <w:rPr>
          <w:rFonts w:hint="eastAsia" w:ascii="宋体" w:hAnsi="宋体" w:eastAsia="宋体" w:cs="宋体"/>
          <w:sz w:val="24"/>
          <w:lang w:val="zh-CN"/>
        </w:rPr>
        <w:t xml:space="preserve">授权代表（签字）：                        或授权代表（签字）: </w:t>
      </w:r>
    </w:p>
    <w:p w14:paraId="1EC4EB7B">
      <w:pPr>
        <w:autoSpaceDE w:val="0"/>
        <w:autoSpaceDN w:val="0"/>
        <w:adjustRightInd w:val="0"/>
        <w:snapToGrid w:val="0"/>
        <w:spacing w:line="360" w:lineRule="auto"/>
        <w:rPr>
          <w:rFonts w:hint="eastAsia" w:ascii="宋体" w:hAnsi="宋体" w:eastAsia="宋体" w:cs="宋体"/>
          <w:sz w:val="24"/>
          <w:lang w:val="zh-CN"/>
        </w:rPr>
      </w:pPr>
      <w:r>
        <w:rPr>
          <w:rFonts w:hint="eastAsia" w:ascii="宋体" w:hAnsi="宋体" w:eastAsia="宋体" w:cs="宋体"/>
          <w:sz w:val="24"/>
          <w:lang w:val="zh-CN"/>
        </w:rPr>
        <w:t>联系人：                                 联系人：</w:t>
      </w:r>
    </w:p>
    <w:p w14:paraId="038A93EF">
      <w:pPr>
        <w:autoSpaceDE w:val="0"/>
        <w:autoSpaceDN w:val="0"/>
        <w:adjustRightInd w:val="0"/>
        <w:snapToGrid w:val="0"/>
        <w:spacing w:line="360" w:lineRule="auto"/>
        <w:rPr>
          <w:rFonts w:hint="eastAsia" w:ascii="宋体" w:hAnsi="宋体" w:eastAsia="宋体" w:cs="宋体"/>
          <w:sz w:val="24"/>
          <w:lang w:val="zh-CN"/>
        </w:rPr>
      </w:pPr>
      <w:r>
        <w:rPr>
          <w:rFonts w:hint="eastAsia" w:ascii="宋体" w:hAnsi="宋体" w:eastAsia="宋体" w:cs="宋体"/>
          <w:sz w:val="24"/>
          <w:lang w:val="zh-CN"/>
        </w:rPr>
        <w:t>约定送达地址：                           约定送达地址：</w:t>
      </w:r>
    </w:p>
    <w:p w14:paraId="7659E32B">
      <w:pPr>
        <w:autoSpaceDE w:val="0"/>
        <w:autoSpaceDN w:val="0"/>
        <w:adjustRightInd w:val="0"/>
        <w:snapToGrid w:val="0"/>
        <w:spacing w:line="360" w:lineRule="auto"/>
        <w:rPr>
          <w:rFonts w:hint="eastAsia" w:ascii="宋体" w:hAnsi="宋体" w:eastAsia="宋体" w:cs="宋体"/>
          <w:sz w:val="24"/>
          <w:lang w:val="zh-CN"/>
        </w:rPr>
      </w:pPr>
      <w:r>
        <w:rPr>
          <w:rFonts w:hint="eastAsia" w:ascii="宋体" w:hAnsi="宋体" w:eastAsia="宋体" w:cs="宋体"/>
          <w:sz w:val="24"/>
          <w:lang w:val="zh-CN"/>
        </w:rPr>
        <w:t>邮政编码：                               邮政编码：</w:t>
      </w:r>
    </w:p>
    <w:p w14:paraId="716CD8AC">
      <w:pPr>
        <w:autoSpaceDE w:val="0"/>
        <w:autoSpaceDN w:val="0"/>
        <w:adjustRightInd w:val="0"/>
        <w:snapToGrid w:val="0"/>
        <w:spacing w:line="360" w:lineRule="auto"/>
        <w:rPr>
          <w:rFonts w:hint="eastAsia" w:ascii="宋体" w:hAnsi="宋体" w:eastAsia="宋体" w:cs="宋体"/>
          <w:sz w:val="24"/>
          <w:lang w:val="zh-CN"/>
        </w:rPr>
      </w:pPr>
      <w:r>
        <w:rPr>
          <w:rFonts w:hint="eastAsia" w:ascii="宋体" w:hAnsi="宋体" w:eastAsia="宋体" w:cs="宋体"/>
          <w:sz w:val="24"/>
          <w:lang w:val="zh-CN"/>
        </w:rPr>
        <w:t xml:space="preserve">电话:                                    电话: </w:t>
      </w:r>
    </w:p>
    <w:p w14:paraId="77C1443A">
      <w:pPr>
        <w:autoSpaceDE w:val="0"/>
        <w:autoSpaceDN w:val="0"/>
        <w:adjustRightInd w:val="0"/>
        <w:snapToGrid w:val="0"/>
        <w:spacing w:line="360" w:lineRule="auto"/>
        <w:rPr>
          <w:rFonts w:hint="eastAsia" w:ascii="宋体" w:hAnsi="宋体" w:eastAsia="宋体" w:cs="宋体"/>
          <w:sz w:val="24"/>
          <w:lang w:val="zh-CN"/>
        </w:rPr>
      </w:pPr>
      <w:r>
        <w:rPr>
          <w:rFonts w:hint="eastAsia" w:ascii="宋体" w:hAnsi="宋体" w:eastAsia="宋体" w:cs="宋体"/>
          <w:sz w:val="24"/>
          <w:lang w:val="zh-CN"/>
        </w:rPr>
        <w:t>传真:                                    传真:</w:t>
      </w:r>
    </w:p>
    <w:p w14:paraId="4C636E1D">
      <w:pPr>
        <w:autoSpaceDE w:val="0"/>
        <w:autoSpaceDN w:val="0"/>
        <w:adjustRightInd w:val="0"/>
        <w:snapToGrid w:val="0"/>
        <w:spacing w:line="360" w:lineRule="auto"/>
        <w:rPr>
          <w:rFonts w:hint="eastAsia" w:ascii="宋体" w:hAnsi="宋体" w:eastAsia="宋体" w:cs="宋体"/>
          <w:sz w:val="24"/>
        </w:rPr>
      </w:pPr>
      <w:r>
        <w:rPr>
          <w:rFonts w:hint="eastAsia" w:ascii="宋体" w:hAnsi="宋体" w:eastAsia="宋体" w:cs="宋体"/>
          <w:sz w:val="24"/>
          <w:lang w:val="zh-CN"/>
        </w:rPr>
        <w:t>电子邮箱：                               电子邮箱：</w:t>
      </w:r>
    </w:p>
    <w:p w14:paraId="1D8430EB">
      <w:pPr>
        <w:autoSpaceDE w:val="0"/>
        <w:autoSpaceDN w:val="0"/>
        <w:adjustRightInd w:val="0"/>
        <w:snapToGrid w:val="0"/>
        <w:spacing w:line="360" w:lineRule="auto"/>
        <w:rPr>
          <w:rFonts w:hint="eastAsia" w:ascii="宋体" w:hAnsi="宋体" w:eastAsia="宋体" w:cs="宋体"/>
          <w:sz w:val="24"/>
        </w:rPr>
      </w:pPr>
      <w:r>
        <w:rPr>
          <w:rFonts w:hint="eastAsia" w:ascii="宋体" w:hAnsi="宋体" w:eastAsia="宋体" w:cs="宋体"/>
          <w:sz w:val="24"/>
        </w:rPr>
        <w:t xml:space="preserve">开户银行：                               开户银行： </w:t>
      </w:r>
    </w:p>
    <w:p w14:paraId="73556DCD">
      <w:pPr>
        <w:autoSpaceDE w:val="0"/>
        <w:autoSpaceDN w:val="0"/>
        <w:adjustRightInd w:val="0"/>
        <w:snapToGrid w:val="0"/>
        <w:spacing w:line="360" w:lineRule="auto"/>
        <w:rPr>
          <w:rFonts w:hint="eastAsia" w:ascii="宋体" w:hAnsi="宋体" w:eastAsia="宋体" w:cs="宋体"/>
          <w:sz w:val="24"/>
        </w:rPr>
      </w:pPr>
      <w:r>
        <w:rPr>
          <w:rFonts w:hint="eastAsia" w:ascii="宋体" w:hAnsi="宋体" w:eastAsia="宋体" w:cs="宋体"/>
          <w:sz w:val="24"/>
        </w:rPr>
        <w:t xml:space="preserve">开户名称：                               开户名称： </w:t>
      </w:r>
    </w:p>
    <w:p w14:paraId="2F6247C9">
      <w:pPr>
        <w:autoSpaceDE w:val="0"/>
        <w:autoSpaceDN w:val="0"/>
        <w:adjustRightInd w:val="0"/>
        <w:snapToGrid w:val="0"/>
        <w:spacing w:line="360" w:lineRule="auto"/>
        <w:rPr>
          <w:rFonts w:hint="eastAsia" w:ascii="宋体" w:hAnsi="宋体" w:eastAsia="宋体" w:cs="宋体"/>
          <w:sz w:val="24"/>
        </w:rPr>
      </w:pPr>
      <w:r>
        <w:rPr>
          <w:rFonts w:hint="eastAsia" w:ascii="宋体" w:hAnsi="宋体" w:eastAsia="宋体" w:cs="宋体"/>
          <w:sz w:val="24"/>
        </w:rPr>
        <w:t>开户账号：开户账号：</w:t>
      </w:r>
    </w:p>
    <w:p w14:paraId="6868BCAA">
      <w:pPr>
        <w:rPr>
          <w:rFonts w:hint="eastAsia" w:ascii="宋体" w:hAnsi="宋体" w:eastAsia="宋体" w:cs="宋体"/>
          <w:b/>
        </w:rPr>
      </w:pPr>
      <w:bookmarkStart w:id="138" w:name="_Toc331685783"/>
      <w:r>
        <w:rPr>
          <w:rFonts w:hint="eastAsia" w:ascii="宋体" w:hAnsi="宋体" w:eastAsia="宋体" w:cs="宋体"/>
          <w:b/>
        </w:rPr>
        <w:br w:type="page"/>
      </w:r>
    </w:p>
    <w:bookmarkEnd w:id="138"/>
    <w:p w14:paraId="151AAD03">
      <w:pPr>
        <w:snapToGrid w:val="0"/>
        <w:spacing w:line="360" w:lineRule="auto"/>
        <w:ind w:firstLine="200"/>
        <w:jc w:val="center"/>
        <w:rPr>
          <w:rFonts w:hint="eastAsia" w:ascii="宋体" w:hAnsi="宋体" w:cs="宋体"/>
          <w:b/>
          <w:sz w:val="24"/>
          <w:szCs w:val="24"/>
        </w:rPr>
      </w:pPr>
      <w:r>
        <w:rPr>
          <w:rFonts w:ascii="宋体" w:hAnsi="宋体" w:cs="宋体"/>
          <w:b/>
          <w:sz w:val="24"/>
          <w:szCs w:val="24"/>
        </w:rPr>
        <w:t>第二部分 合同一般条款</w:t>
      </w:r>
    </w:p>
    <w:p w14:paraId="3B6C0B1B">
      <w:pPr>
        <w:snapToGrid w:val="0"/>
        <w:spacing w:line="360" w:lineRule="auto"/>
        <w:ind w:firstLine="482" w:firstLineChars="200"/>
        <w:outlineLvl w:val="0"/>
        <w:rPr>
          <w:rFonts w:hint="eastAsia" w:ascii="宋体" w:hAnsi="宋体" w:eastAsia="宋体" w:cs="宋体"/>
          <w:b/>
          <w:sz w:val="24"/>
        </w:rPr>
      </w:pPr>
      <w:bookmarkStart w:id="139" w:name="_Toc259093669"/>
      <w:bookmarkStart w:id="140" w:name="_Toc16917"/>
      <w:bookmarkStart w:id="141" w:name="_Ref467379214"/>
      <w:bookmarkStart w:id="142" w:name="_Ref467379101"/>
      <w:bookmarkStart w:id="143" w:name="_Ref467379195"/>
      <w:bookmarkStart w:id="144" w:name="_Ref467379205"/>
      <w:bookmarkStart w:id="145" w:name="_Toc279701240"/>
      <w:bookmarkStart w:id="146" w:name="_Ref467379094"/>
      <w:bookmarkStart w:id="147" w:name="_Toc19614"/>
      <w:bookmarkStart w:id="148" w:name="_Ref467378463"/>
      <w:bookmarkStart w:id="149" w:name="_Ref467379225"/>
      <w:bookmarkStart w:id="150" w:name="_Ref467378404"/>
      <w:bookmarkStart w:id="151" w:name="_Toc28763"/>
      <w:bookmarkStart w:id="152" w:name="_Ref467379109"/>
      <w:bookmarkStart w:id="153" w:name="_Ref467378499"/>
      <w:bookmarkStart w:id="154" w:name="_Toc487900349"/>
      <w:r>
        <w:rPr>
          <w:rFonts w:hint="eastAsia" w:ascii="宋体" w:hAnsi="宋体" w:eastAsia="宋体" w:cs="宋体"/>
          <w:b/>
          <w:sz w:val="24"/>
        </w:rPr>
        <w:t>2.1 定义</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3AF2DB6F">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本合同中的下列词语应按以下内容进行解释：</w:t>
      </w:r>
    </w:p>
    <w:p w14:paraId="11D8F5E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2.1.1 “合同”系指采购单位和成交供应商签订的载明双方当事人所达成的协议，并包括所有的附件、附录和构成合同的其他文件。</w:t>
      </w:r>
    </w:p>
    <w:p w14:paraId="4B5DC0A8">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2.1.2 “合同价”系指根据合同约定，成交供应商在完全履行合同义务后，采购单位应支付给成交供应商的价格。</w:t>
      </w:r>
    </w:p>
    <w:p w14:paraId="66B4D9E6">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2.1.3 “货物”系指成交供应商根据合同约定应向采购单位交付的一切各种形态和种类的物品，包括原材料、燃料、设备、机械、仪表、备件、计算机软件、产品等，并包括工具、手册等其他相关资料。</w:t>
      </w:r>
    </w:p>
    <w:p w14:paraId="431849D6">
      <w:pPr>
        <w:snapToGrid w:val="0"/>
        <w:spacing w:line="360" w:lineRule="auto"/>
        <w:ind w:firstLine="480" w:firstLineChars="200"/>
        <w:rPr>
          <w:rFonts w:hint="eastAsia" w:ascii="宋体" w:hAnsi="宋体" w:eastAsia="宋体" w:cs="宋体"/>
          <w:sz w:val="24"/>
        </w:rPr>
      </w:pPr>
      <w:bookmarkStart w:id="155" w:name="_Ref467378840"/>
      <w:r>
        <w:rPr>
          <w:rFonts w:hint="eastAsia" w:ascii="宋体" w:hAnsi="宋体" w:eastAsia="宋体" w:cs="宋体"/>
          <w:sz w:val="24"/>
        </w:rPr>
        <w:t>2.1.4 “甲方”系指与成交供应商签署合同的</w:t>
      </w:r>
      <w:bookmarkEnd w:id="155"/>
      <w:r>
        <w:rPr>
          <w:rFonts w:hint="eastAsia" w:ascii="宋体" w:hAnsi="宋体" w:eastAsia="宋体" w:cs="宋体"/>
          <w:sz w:val="24"/>
        </w:rPr>
        <w:t>采购单位；采购单位委托采购代理机构代表其与乙方签订合同的，采购单位的授权委托书作为合同附件。</w:t>
      </w:r>
    </w:p>
    <w:p w14:paraId="15D56532">
      <w:pPr>
        <w:snapToGrid w:val="0"/>
        <w:spacing w:line="360" w:lineRule="auto"/>
        <w:ind w:firstLine="480" w:firstLineChars="200"/>
        <w:rPr>
          <w:rFonts w:hint="eastAsia" w:ascii="宋体" w:hAnsi="宋体" w:eastAsia="宋体" w:cs="宋体"/>
          <w:sz w:val="24"/>
        </w:rPr>
      </w:pPr>
      <w:bookmarkStart w:id="156" w:name="_Ref467379400"/>
      <w:r>
        <w:rPr>
          <w:rFonts w:hint="eastAsia" w:ascii="宋体" w:hAnsi="宋体" w:eastAsia="宋体" w:cs="宋体"/>
          <w:sz w:val="24"/>
        </w:rPr>
        <w:t>2.1.5 “乙方”系指根据合同约定交付货物的成交供应商</w:t>
      </w:r>
      <w:bookmarkEnd w:id="156"/>
      <w:r>
        <w:rPr>
          <w:rFonts w:hint="eastAsia" w:ascii="宋体" w:hAnsi="宋体" w:eastAsia="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3697E976">
      <w:pPr>
        <w:snapToGrid w:val="0"/>
        <w:spacing w:line="360" w:lineRule="auto"/>
        <w:ind w:firstLine="480" w:firstLineChars="200"/>
        <w:rPr>
          <w:rFonts w:hint="eastAsia" w:ascii="宋体" w:hAnsi="宋体" w:eastAsia="宋体" w:cs="宋体"/>
          <w:sz w:val="24"/>
        </w:rPr>
      </w:pPr>
      <w:bookmarkStart w:id="157" w:name="_Ref467379436"/>
      <w:r>
        <w:rPr>
          <w:rFonts w:hint="eastAsia" w:ascii="宋体" w:hAnsi="宋体" w:eastAsia="宋体" w:cs="宋体"/>
          <w:sz w:val="24"/>
        </w:rPr>
        <w:t>2.1.6 “现场”系指合同约定货物将要运至或者安装的地点。</w:t>
      </w:r>
      <w:bookmarkEnd w:id="157"/>
    </w:p>
    <w:p w14:paraId="7CE4137A">
      <w:pPr>
        <w:snapToGrid w:val="0"/>
        <w:spacing w:line="360" w:lineRule="auto"/>
        <w:ind w:firstLine="482" w:firstLineChars="200"/>
        <w:outlineLvl w:val="0"/>
        <w:rPr>
          <w:rFonts w:hint="eastAsia" w:ascii="宋体" w:hAnsi="宋体" w:eastAsia="宋体" w:cs="宋体"/>
          <w:b/>
          <w:sz w:val="24"/>
        </w:rPr>
      </w:pPr>
      <w:bookmarkStart w:id="158" w:name="_Toc13336"/>
      <w:bookmarkStart w:id="159" w:name="_Toc487900350"/>
      <w:bookmarkStart w:id="160" w:name="_Toc27635"/>
      <w:bookmarkStart w:id="161" w:name="_Toc259093670"/>
      <w:bookmarkStart w:id="162" w:name="_Toc279701241"/>
      <w:bookmarkStart w:id="163" w:name="_Toc32504"/>
      <w:r>
        <w:rPr>
          <w:rFonts w:hint="eastAsia" w:ascii="宋体" w:hAnsi="宋体" w:eastAsia="宋体" w:cs="宋体"/>
          <w:b/>
          <w:sz w:val="24"/>
        </w:rPr>
        <w:t>2.2 技术规范</w:t>
      </w:r>
      <w:bookmarkEnd w:id="158"/>
      <w:bookmarkEnd w:id="159"/>
      <w:bookmarkEnd w:id="160"/>
      <w:bookmarkEnd w:id="161"/>
      <w:bookmarkEnd w:id="162"/>
      <w:bookmarkEnd w:id="163"/>
    </w:p>
    <w:p w14:paraId="54CC37B0">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39814B41">
      <w:pPr>
        <w:snapToGrid w:val="0"/>
        <w:spacing w:line="360" w:lineRule="auto"/>
        <w:ind w:firstLine="482" w:firstLineChars="200"/>
        <w:outlineLvl w:val="0"/>
        <w:rPr>
          <w:rFonts w:hint="eastAsia" w:ascii="宋体" w:hAnsi="宋体" w:eastAsia="宋体" w:cs="宋体"/>
          <w:b/>
          <w:sz w:val="24"/>
        </w:rPr>
      </w:pPr>
      <w:bookmarkStart w:id="164" w:name="_Toc487900351"/>
      <w:bookmarkStart w:id="165" w:name="_Toc279701242"/>
      <w:bookmarkStart w:id="166" w:name="_Toc9829"/>
      <w:bookmarkStart w:id="167" w:name="_Toc27853"/>
      <w:bookmarkStart w:id="168" w:name="_Toc259093671"/>
      <w:bookmarkStart w:id="169" w:name="_Toc31634"/>
      <w:r>
        <w:rPr>
          <w:rFonts w:hint="eastAsia" w:ascii="宋体" w:hAnsi="宋体" w:eastAsia="宋体" w:cs="宋体"/>
          <w:b/>
          <w:sz w:val="24"/>
        </w:rPr>
        <w:t>2.3 知识产权</w:t>
      </w:r>
      <w:bookmarkEnd w:id="164"/>
      <w:bookmarkEnd w:id="165"/>
      <w:bookmarkEnd w:id="166"/>
      <w:bookmarkEnd w:id="167"/>
      <w:bookmarkEnd w:id="168"/>
      <w:bookmarkEnd w:id="169"/>
    </w:p>
    <w:p w14:paraId="3030E12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14:paraId="5E3AFF51">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2.3.2具有知识产权的计算机软件等货物的知识产权归属，详见</w:t>
      </w:r>
      <w:r>
        <w:rPr>
          <w:rFonts w:hint="eastAsia" w:ascii="宋体" w:hAnsi="宋体" w:eastAsia="宋体" w:cs="宋体"/>
          <w:b/>
          <w:sz w:val="24"/>
          <w:u w:val="single"/>
        </w:rPr>
        <w:t>合同专用条款</w:t>
      </w:r>
      <w:r>
        <w:rPr>
          <w:rFonts w:hint="eastAsia" w:ascii="宋体" w:hAnsi="宋体" w:eastAsia="宋体" w:cs="宋体"/>
          <w:sz w:val="24"/>
        </w:rPr>
        <w:t>。</w:t>
      </w:r>
    </w:p>
    <w:p w14:paraId="1861B852">
      <w:pPr>
        <w:snapToGrid w:val="0"/>
        <w:spacing w:line="360" w:lineRule="auto"/>
        <w:ind w:firstLine="482" w:firstLineChars="200"/>
        <w:outlineLvl w:val="0"/>
        <w:rPr>
          <w:rFonts w:hint="eastAsia" w:ascii="宋体" w:hAnsi="宋体" w:eastAsia="宋体" w:cs="宋体"/>
          <w:b/>
          <w:sz w:val="24"/>
        </w:rPr>
      </w:pPr>
      <w:bookmarkStart w:id="170" w:name="_Toc11932"/>
      <w:bookmarkStart w:id="171" w:name="_Toc29149"/>
      <w:bookmarkStart w:id="172" w:name="_Toc4194"/>
      <w:r>
        <w:rPr>
          <w:rFonts w:hint="eastAsia" w:ascii="宋体" w:hAnsi="宋体" w:eastAsia="宋体" w:cs="宋体"/>
          <w:b/>
          <w:sz w:val="24"/>
        </w:rPr>
        <w:t>2.4 包装和装运</w:t>
      </w:r>
      <w:bookmarkEnd w:id="170"/>
      <w:bookmarkEnd w:id="171"/>
      <w:bookmarkEnd w:id="172"/>
    </w:p>
    <w:p w14:paraId="77E8D8D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2.4.1除</w:t>
      </w:r>
      <w:r>
        <w:rPr>
          <w:rFonts w:hint="eastAsia" w:ascii="宋体" w:hAnsi="宋体" w:eastAsia="宋体" w:cs="宋体"/>
          <w:b/>
          <w:sz w:val="24"/>
          <w:u w:val="single"/>
        </w:rPr>
        <w:t>合同专用条款</w:t>
      </w:r>
      <w:r>
        <w:rPr>
          <w:rFonts w:hint="eastAsia" w:ascii="宋体" w:hAnsi="宋体" w:eastAsia="宋体" w:cs="宋体"/>
          <w:sz w:val="24"/>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3AD45D2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2.4.2 装运货物的要求和通知，详见</w:t>
      </w:r>
      <w:r>
        <w:rPr>
          <w:rFonts w:hint="eastAsia" w:ascii="宋体" w:hAnsi="宋体" w:eastAsia="宋体" w:cs="宋体"/>
          <w:b/>
          <w:sz w:val="24"/>
          <w:u w:val="single"/>
        </w:rPr>
        <w:t>合同专用条款</w:t>
      </w:r>
      <w:r>
        <w:rPr>
          <w:rFonts w:hint="eastAsia" w:ascii="宋体" w:hAnsi="宋体" w:eastAsia="宋体" w:cs="宋体"/>
          <w:sz w:val="24"/>
        </w:rPr>
        <w:t>。</w:t>
      </w:r>
    </w:p>
    <w:p w14:paraId="00070E2C">
      <w:pPr>
        <w:snapToGrid w:val="0"/>
        <w:spacing w:line="360" w:lineRule="auto"/>
        <w:ind w:firstLine="482" w:firstLineChars="200"/>
        <w:outlineLvl w:val="0"/>
        <w:rPr>
          <w:rFonts w:hint="eastAsia" w:ascii="宋体" w:hAnsi="宋体" w:eastAsia="宋体" w:cs="宋体"/>
          <w:b/>
          <w:sz w:val="24"/>
        </w:rPr>
      </w:pPr>
      <w:bookmarkStart w:id="173" w:name="_Toc259093674"/>
      <w:bookmarkStart w:id="174" w:name="_Ref467378591"/>
      <w:bookmarkStart w:id="175" w:name="_Toc487900354"/>
      <w:bookmarkStart w:id="176" w:name="_Ref467379527"/>
      <w:bookmarkStart w:id="177" w:name="_Ref467378541"/>
      <w:bookmarkStart w:id="178" w:name="_Ref467379536"/>
      <w:bookmarkStart w:id="179" w:name="_Toc279701245"/>
      <w:bookmarkStart w:id="180" w:name="_Ref467379542"/>
      <w:bookmarkStart w:id="181" w:name="_Toc30272"/>
      <w:bookmarkStart w:id="182" w:name="_Toc19074"/>
      <w:bookmarkStart w:id="183" w:name="_Toc26182"/>
      <w:r>
        <w:rPr>
          <w:rFonts w:hint="eastAsia" w:ascii="宋体" w:hAnsi="宋体" w:eastAsia="宋体" w:cs="宋体"/>
          <w:b/>
          <w:sz w:val="24"/>
        </w:rPr>
        <w:t>2.</w:t>
      </w:r>
      <w:bookmarkEnd w:id="173"/>
      <w:bookmarkEnd w:id="174"/>
      <w:bookmarkEnd w:id="175"/>
      <w:bookmarkEnd w:id="176"/>
      <w:bookmarkEnd w:id="177"/>
      <w:bookmarkEnd w:id="178"/>
      <w:bookmarkEnd w:id="179"/>
      <w:bookmarkEnd w:id="180"/>
      <w:r>
        <w:rPr>
          <w:rFonts w:hint="eastAsia" w:ascii="宋体" w:hAnsi="宋体" w:eastAsia="宋体" w:cs="宋体"/>
          <w:b/>
          <w:sz w:val="24"/>
        </w:rPr>
        <w:t>5 履约检查和问题反馈</w:t>
      </w:r>
      <w:bookmarkEnd w:id="181"/>
      <w:bookmarkEnd w:id="182"/>
      <w:bookmarkEnd w:id="183"/>
    </w:p>
    <w:p w14:paraId="29B74F67">
      <w:pPr>
        <w:snapToGrid w:val="0"/>
        <w:spacing w:line="360" w:lineRule="auto"/>
        <w:ind w:firstLine="480" w:firstLineChars="200"/>
        <w:rPr>
          <w:rFonts w:hint="eastAsia" w:ascii="宋体" w:hAnsi="宋体" w:eastAsia="宋体" w:cs="宋体"/>
          <w:sz w:val="24"/>
        </w:rPr>
      </w:pPr>
      <w:bookmarkStart w:id="184" w:name="_Ref467379657"/>
      <w:r>
        <w:rPr>
          <w:rFonts w:hint="eastAsia" w:ascii="宋体" w:hAnsi="宋体" w:eastAsia="宋体" w:cs="宋体"/>
          <w:sz w:val="24"/>
        </w:rPr>
        <w:t>2.5.1</w:t>
      </w:r>
      <w:bookmarkEnd w:id="184"/>
      <w:bookmarkStart w:id="185" w:name="_Toc186431854"/>
      <w:bookmarkStart w:id="186" w:name="_Toc259093676"/>
      <w:bookmarkStart w:id="187" w:name="_Ref467379807"/>
      <w:bookmarkStart w:id="188" w:name="_Toc279701247"/>
      <w:bookmarkStart w:id="189" w:name="_Ref467379793"/>
      <w:bookmarkStart w:id="190" w:name="_Toc487900357"/>
      <w:r>
        <w:rPr>
          <w:rFonts w:hint="eastAsia" w:ascii="宋体" w:hAnsi="宋体" w:eastAsia="宋体" w:cs="宋体"/>
          <w:sz w:val="24"/>
        </w:rPr>
        <w:t>甲方有权在其认为必要时，对乙方是否能够按照合同约定交付货物进行履约检查，以确保乙方所交付的货物能够依约满足甲方之项目需求，但不得因履约检查妨碍乙方的正常工作，乙方应予积极配合；</w:t>
      </w:r>
    </w:p>
    <w:p w14:paraId="786DFCB4">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2.5.2 合同履行期间，甲方有权将履行过程中出现的问题反馈给乙方，双方当事人应以书面形式约定需要完善和改进的内容</w:t>
      </w:r>
      <w:bookmarkEnd w:id="185"/>
      <w:bookmarkStart w:id="191" w:name="_Toc186431855"/>
      <w:r>
        <w:rPr>
          <w:rFonts w:hint="eastAsia" w:ascii="宋体" w:hAnsi="宋体" w:eastAsia="宋体" w:cs="宋体"/>
          <w:sz w:val="24"/>
        </w:rPr>
        <w:t>。</w:t>
      </w:r>
    </w:p>
    <w:bookmarkEnd w:id="191"/>
    <w:p w14:paraId="2E848E83">
      <w:pPr>
        <w:snapToGrid w:val="0"/>
        <w:spacing w:line="360" w:lineRule="auto"/>
        <w:ind w:firstLine="482" w:firstLineChars="200"/>
        <w:outlineLvl w:val="0"/>
        <w:rPr>
          <w:rFonts w:hint="eastAsia" w:ascii="宋体" w:hAnsi="宋体" w:eastAsia="宋体" w:cs="宋体"/>
          <w:b/>
          <w:sz w:val="24"/>
        </w:rPr>
      </w:pPr>
      <w:bookmarkStart w:id="192" w:name="_Toc19219"/>
      <w:bookmarkStart w:id="193" w:name="_Toc7836"/>
      <w:bookmarkStart w:id="194" w:name="_Toc28451"/>
      <w:r>
        <w:rPr>
          <w:rFonts w:hint="eastAsia" w:ascii="宋体" w:hAnsi="宋体" w:eastAsia="宋体" w:cs="宋体"/>
          <w:b/>
          <w:sz w:val="24"/>
        </w:rPr>
        <w:t>2.6 结算方式和付款条件</w:t>
      </w:r>
      <w:bookmarkEnd w:id="186"/>
      <w:bookmarkEnd w:id="187"/>
      <w:bookmarkEnd w:id="188"/>
      <w:bookmarkEnd w:id="189"/>
      <w:bookmarkEnd w:id="190"/>
      <w:bookmarkEnd w:id="192"/>
      <w:bookmarkEnd w:id="193"/>
      <w:bookmarkEnd w:id="194"/>
    </w:p>
    <w:p w14:paraId="2E5BFAA7">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详见</w:t>
      </w:r>
      <w:r>
        <w:rPr>
          <w:rFonts w:hint="eastAsia" w:ascii="宋体" w:hAnsi="宋体" w:eastAsia="宋体" w:cs="宋体"/>
          <w:b/>
          <w:sz w:val="24"/>
          <w:u w:val="single"/>
        </w:rPr>
        <w:t>合同专用条款</w:t>
      </w:r>
      <w:r>
        <w:rPr>
          <w:rFonts w:hint="eastAsia" w:ascii="宋体" w:hAnsi="宋体" w:eastAsia="宋体" w:cs="宋体"/>
          <w:sz w:val="24"/>
        </w:rPr>
        <w:t>。</w:t>
      </w:r>
    </w:p>
    <w:p w14:paraId="19ABA1F3">
      <w:pPr>
        <w:snapToGrid w:val="0"/>
        <w:spacing w:line="360" w:lineRule="auto"/>
        <w:ind w:firstLine="482" w:firstLineChars="200"/>
        <w:outlineLvl w:val="0"/>
        <w:rPr>
          <w:rFonts w:hint="eastAsia" w:ascii="宋体" w:hAnsi="宋体" w:eastAsia="宋体" w:cs="宋体"/>
          <w:b/>
          <w:sz w:val="24"/>
        </w:rPr>
      </w:pPr>
      <w:bookmarkStart w:id="195" w:name="_Toc279701248"/>
      <w:bookmarkStart w:id="196" w:name="_Toc259093677"/>
      <w:bookmarkStart w:id="197" w:name="_Ref467379923"/>
      <w:bookmarkStart w:id="198" w:name="_Ref467379863"/>
      <w:bookmarkStart w:id="199" w:name="_Toc487900358"/>
      <w:bookmarkStart w:id="200" w:name="_Ref467379852"/>
      <w:bookmarkStart w:id="201" w:name="_Toc3225"/>
      <w:bookmarkStart w:id="202" w:name="_Toc16110"/>
      <w:bookmarkStart w:id="203" w:name="_Toc774"/>
      <w:r>
        <w:rPr>
          <w:rFonts w:hint="eastAsia" w:ascii="宋体" w:hAnsi="宋体" w:eastAsia="宋体" w:cs="宋体"/>
          <w:b/>
          <w:sz w:val="24"/>
        </w:rPr>
        <w:t>2.7 技术资料</w:t>
      </w:r>
      <w:bookmarkEnd w:id="195"/>
      <w:bookmarkEnd w:id="196"/>
      <w:bookmarkEnd w:id="197"/>
      <w:bookmarkEnd w:id="198"/>
      <w:bookmarkEnd w:id="199"/>
      <w:bookmarkEnd w:id="200"/>
      <w:r>
        <w:rPr>
          <w:rFonts w:hint="eastAsia" w:ascii="宋体" w:hAnsi="宋体" w:eastAsia="宋体" w:cs="宋体"/>
          <w:b/>
          <w:sz w:val="24"/>
        </w:rPr>
        <w:t>和保密义务</w:t>
      </w:r>
      <w:bookmarkEnd w:id="201"/>
      <w:bookmarkEnd w:id="202"/>
      <w:bookmarkEnd w:id="203"/>
    </w:p>
    <w:p w14:paraId="6870B37A">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2.7.1 乙方有权依据合同约定和项目需要，向甲方了解有关情况，调阅有关资料等，甲方应予积极配合；</w:t>
      </w:r>
    </w:p>
    <w:p w14:paraId="46A2451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2.7.2 乙方有义务妥善保管和保护由甲方提供的前款信息和资料等；</w:t>
      </w:r>
    </w:p>
    <w:p w14:paraId="5A420B54">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2B96C49">
      <w:pPr>
        <w:snapToGrid w:val="0"/>
        <w:spacing w:line="360" w:lineRule="auto"/>
        <w:ind w:firstLine="482" w:firstLineChars="200"/>
        <w:outlineLvl w:val="0"/>
        <w:rPr>
          <w:rFonts w:hint="eastAsia" w:ascii="宋体" w:hAnsi="宋体" w:eastAsia="宋体" w:cs="宋体"/>
          <w:b/>
          <w:sz w:val="24"/>
        </w:rPr>
      </w:pPr>
      <w:bookmarkStart w:id="204" w:name="_Toc7860"/>
      <w:r>
        <w:rPr>
          <w:rFonts w:hint="eastAsia" w:ascii="宋体" w:hAnsi="宋体" w:eastAsia="宋体" w:cs="宋体"/>
          <w:b/>
          <w:sz w:val="24"/>
        </w:rPr>
        <w:t>2.8 质量保证</w:t>
      </w:r>
      <w:bookmarkEnd w:id="204"/>
    </w:p>
    <w:p w14:paraId="0E7BED09">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2.8.1 乙方应建立和完善履行合同的内部质量保证体系，并提供相关内部规章制度给甲方，以便甲方进行监督检查；</w:t>
      </w:r>
    </w:p>
    <w:p w14:paraId="434134C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2.8.2 乙方应保证履行合同的人员数量和素质、软件和硬件设备的配置、场地、环境和设施等满足全面履行合同的要求，并应接受甲方的监督检查。</w:t>
      </w:r>
    </w:p>
    <w:p w14:paraId="3793A811">
      <w:pPr>
        <w:snapToGrid w:val="0"/>
        <w:spacing w:line="360" w:lineRule="auto"/>
        <w:ind w:firstLine="482" w:firstLineChars="200"/>
        <w:outlineLvl w:val="0"/>
        <w:rPr>
          <w:rFonts w:hint="eastAsia" w:ascii="宋体" w:hAnsi="宋体" w:eastAsia="宋体" w:cs="宋体"/>
          <w:b/>
          <w:sz w:val="24"/>
        </w:rPr>
      </w:pPr>
      <w:bookmarkStart w:id="205" w:name="_Toc17244"/>
      <w:bookmarkStart w:id="206" w:name="_Toc487900362"/>
      <w:bookmarkStart w:id="207" w:name="_Toc259093681"/>
      <w:bookmarkStart w:id="208" w:name="_Toc279701252"/>
      <w:r>
        <w:rPr>
          <w:rFonts w:hint="eastAsia" w:ascii="宋体" w:hAnsi="宋体" w:eastAsia="宋体" w:cs="宋体"/>
          <w:b/>
          <w:sz w:val="24"/>
        </w:rPr>
        <w:t>2.9 货物的风险负担</w:t>
      </w:r>
      <w:bookmarkEnd w:id="205"/>
    </w:p>
    <w:p w14:paraId="36A356DD">
      <w:pPr>
        <w:snapToGrid w:val="0"/>
        <w:spacing w:line="360" w:lineRule="auto"/>
        <w:ind w:firstLine="480" w:firstLineChars="200"/>
        <w:rPr>
          <w:rFonts w:hint="eastAsia" w:ascii="宋体" w:hAnsi="宋体" w:eastAsia="宋体" w:cs="宋体"/>
          <w:b/>
          <w:sz w:val="24"/>
        </w:rPr>
      </w:pPr>
      <w:r>
        <w:rPr>
          <w:rFonts w:hint="eastAsia" w:ascii="宋体" w:hAnsi="宋体" w:eastAsia="宋体" w:cs="宋体"/>
          <w:sz w:val="24"/>
        </w:rPr>
        <w:t>货物或者在途货物或者交付给第一承运人后的货物毁损、灭失的风险负担详见</w:t>
      </w:r>
      <w:r>
        <w:rPr>
          <w:rFonts w:hint="eastAsia" w:ascii="宋体" w:hAnsi="宋体" w:eastAsia="宋体" w:cs="宋体"/>
          <w:b/>
          <w:sz w:val="24"/>
          <w:u w:val="single"/>
        </w:rPr>
        <w:t>合同专用条款</w:t>
      </w:r>
      <w:r>
        <w:rPr>
          <w:rFonts w:hint="eastAsia" w:ascii="宋体" w:hAnsi="宋体" w:eastAsia="宋体" w:cs="宋体"/>
          <w:sz w:val="24"/>
        </w:rPr>
        <w:t>。</w:t>
      </w:r>
    </w:p>
    <w:p w14:paraId="33482916">
      <w:pPr>
        <w:snapToGrid w:val="0"/>
        <w:spacing w:line="360" w:lineRule="auto"/>
        <w:ind w:firstLine="482" w:firstLineChars="200"/>
        <w:outlineLvl w:val="0"/>
        <w:rPr>
          <w:rFonts w:hint="eastAsia" w:ascii="宋体" w:hAnsi="宋体" w:eastAsia="宋体" w:cs="宋体"/>
          <w:b/>
          <w:sz w:val="24"/>
        </w:rPr>
      </w:pPr>
      <w:bookmarkStart w:id="209" w:name="_Toc14055"/>
      <w:r>
        <w:rPr>
          <w:rFonts w:hint="eastAsia" w:ascii="宋体" w:hAnsi="宋体" w:eastAsia="宋体" w:cs="宋体"/>
          <w:b/>
          <w:sz w:val="24"/>
        </w:rPr>
        <w:t>2.10 延迟交货</w:t>
      </w:r>
      <w:bookmarkEnd w:id="206"/>
      <w:bookmarkEnd w:id="207"/>
      <w:bookmarkEnd w:id="208"/>
      <w:bookmarkEnd w:id="209"/>
    </w:p>
    <w:p w14:paraId="725D11C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14:paraId="7780B305">
      <w:pPr>
        <w:snapToGrid w:val="0"/>
        <w:spacing w:line="360" w:lineRule="auto"/>
        <w:ind w:firstLine="482" w:firstLineChars="200"/>
        <w:outlineLvl w:val="0"/>
        <w:rPr>
          <w:rFonts w:hint="eastAsia" w:ascii="宋体" w:hAnsi="宋体" w:eastAsia="宋体" w:cs="宋体"/>
          <w:b/>
          <w:sz w:val="24"/>
        </w:rPr>
      </w:pPr>
      <w:bookmarkStart w:id="210" w:name="_Toc7502"/>
      <w:bookmarkStart w:id="211" w:name="_Toc487900364"/>
      <w:bookmarkStart w:id="212" w:name="_Toc259093683"/>
      <w:bookmarkStart w:id="213" w:name="_Toc279701254"/>
      <w:bookmarkStart w:id="214" w:name="_Ref467378121"/>
      <w:r>
        <w:rPr>
          <w:rFonts w:hint="eastAsia" w:ascii="宋体" w:hAnsi="宋体" w:eastAsia="宋体" w:cs="宋体"/>
          <w:b/>
          <w:sz w:val="24"/>
        </w:rPr>
        <w:t>2.11 合同变更</w:t>
      </w:r>
      <w:bookmarkEnd w:id="210"/>
    </w:p>
    <w:p w14:paraId="1F60C70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2.11.1双方当事人协商一致，可以签订书面补充合同的形式变更合同，但不得违背采购文件确定的事项，且如果系追加与合同标的相同的货物的，那么所有补充合同的采购金额不得超过原合同价的10%；</w:t>
      </w:r>
    </w:p>
    <w:p w14:paraId="5EBFDC90">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2.11.2 合同继续履行将损害国家利益和社会公共利益的，双方当事人应当以书面形式变更合同。有过错的一方应当承担赔偿责任，双方当事人都有过错的，各自承担相应的责任。</w:t>
      </w:r>
      <w:bookmarkStart w:id="215" w:name="_Toc279701259"/>
      <w:bookmarkStart w:id="216" w:name="_Toc487900369"/>
      <w:bookmarkStart w:id="217" w:name="_Toc259093688"/>
    </w:p>
    <w:p w14:paraId="017D60AD">
      <w:pPr>
        <w:snapToGrid w:val="0"/>
        <w:spacing w:line="360" w:lineRule="auto"/>
        <w:ind w:firstLine="482" w:firstLineChars="200"/>
        <w:outlineLvl w:val="0"/>
        <w:rPr>
          <w:rFonts w:hint="eastAsia" w:ascii="宋体" w:hAnsi="宋体" w:eastAsia="宋体" w:cs="宋体"/>
          <w:b/>
          <w:sz w:val="24"/>
        </w:rPr>
      </w:pPr>
      <w:bookmarkStart w:id="218" w:name="_Toc10366"/>
      <w:bookmarkStart w:id="219" w:name="_Toc15237"/>
      <w:bookmarkStart w:id="220" w:name="_Toc22955"/>
      <w:r>
        <w:rPr>
          <w:rFonts w:hint="eastAsia" w:ascii="宋体" w:hAnsi="宋体" w:eastAsia="宋体" w:cs="宋体"/>
          <w:b/>
          <w:sz w:val="24"/>
        </w:rPr>
        <w:t>2.12 合同转让</w:t>
      </w:r>
      <w:bookmarkEnd w:id="215"/>
      <w:bookmarkEnd w:id="216"/>
      <w:bookmarkEnd w:id="217"/>
      <w:r>
        <w:rPr>
          <w:rFonts w:hint="eastAsia" w:ascii="宋体" w:hAnsi="宋体" w:eastAsia="宋体" w:cs="宋体"/>
          <w:b/>
          <w:sz w:val="24"/>
        </w:rPr>
        <w:t>和分包</w:t>
      </w:r>
      <w:bookmarkEnd w:id="218"/>
      <w:bookmarkEnd w:id="219"/>
      <w:bookmarkEnd w:id="220"/>
    </w:p>
    <w:p w14:paraId="41F27097">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0CD61CFD">
      <w:pPr>
        <w:snapToGrid w:val="0"/>
        <w:spacing w:line="360" w:lineRule="auto"/>
        <w:ind w:firstLine="482" w:firstLineChars="200"/>
        <w:outlineLvl w:val="0"/>
        <w:rPr>
          <w:rFonts w:hint="eastAsia" w:ascii="宋体" w:hAnsi="宋体" w:eastAsia="宋体" w:cs="宋体"/>
          <w:b/>
          <w:sz w:val="24"/>
        </w:rPr>
      </w:pPr>
      <w:bookmarkStart w:id="221" w:name="_Toc16508"/>
      <w:bookmarkStart w:id="222" w:name="_Toc14066"/>
      <w:bookmarkStart w:id="223" w:name="_Toc13566"/>
      <w:r>
        <w:rPr>
          <w:rFonts w:hint="eastAsia" w:ascii="宋体" w:hAnsi="宋体" w:eastAsia="宋体" w:cs="宋体"/>
          <w:b/>
          <w:sz w:val="24"/>
        </w:rPr>
        <w:t>2.13 不可抗力</w:t>
      </w:r>
      <w:bookmarkEnd w:id="221"/>
      <w:bookmarkEnd w:id="222"/>
      <w:bookmarkEnd w:id="223"/>
    </w:p>
    <w:p w14:paraId="0D22C378">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2.13.1如果任何一方遭遇法律规定的不可抗力，致使合同履行受阻时，履行合同的期限应予延长，延长的期限应相当于不可抗力所影响的时间；</w:t>
      </w:r>
    </w:p>
    <w:p w14:paraId="09B196D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2.13.2 因不可抗力致使不能实现合同目的的，当事人可以解除合同；</w:t>
      </w:r>
    </w:p>
    <w:p w14:paraId="7CF5153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2.13.3 因不可抗力致使合同有变更必要的，双方当事人应在</w:t>
      </w:r>
      <w:r>
        <w:rPr>
          <w:rFonts w:hint="eastAsia" w:ascii="宋体" w:hAnsi="宋体" w:eastAsia="宋体" w:cs="宋体"/>
          <w:b/>
          <w:sz w:val="24"/>
          <w:u w:val="single"/>
        </w:rPr>
        <w:t>合同专用条款</w:t>
      </w:r>
      <w:r>
        <w:rPr>
          <w:rFonts w:hint="eastAsia" w:ascii="宋体" w:hAnsi="宋体" w:eastAsia="宋体" w:cs="宋体"/>
          <w:sz w:val="24"/>
        </w:rPr>
        <w:t>约定时间内以书面形式变更合同；</w:t>
      </w:r>
    </w:p>
    <w:p w14:paraId="613CC28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2.13.4受不可抗力影响的一方在不可抗力发生后，应在</w:t>
      </w:r>
      <w:r>
        <w:rPr>
          <w:rFonts w:hint="eastAsia" w:ascii="宋体" w:hAnsi="宋体" w:eastAsia="宋体" w:cs="宋体"/>
          <w:b/>
          <w:sz w:val="24"/>
          <w:u w:val="single"/>
        </w:rPr>
        <w:t>合同专用条款</w:t>
      </w:r>
      <w:r>
        <w:rPr>
          <w:rFonts w:hint="eastAsia" w:ascii="宋体" w:hAnsi="宋体" w:eastAsia="宋体" w:cs="宋体"/>
          <w:sz w:val="24"/>
        </w:rPr>
        <w:t>约定时间内以书面形式通知对方当事人，并在</w:t>
      </w:r>
      <w:r>
        <w:rPr>
          <w:rFonts w:hint="eastAsia" w:ascii="宋体" w:hAnsi="宋体" w:eastAsia="宋体" w:cs="宋体"/>
          <w:b/>
          <w:sz w:val="24"/>
          <w:u w:val="single"/>
        </w:rPr>
        <w:t>合同专用条款</w:t>
      </w:r>
      <w:r>
        <w:rPr>
          <w:rFonts w:hint="eastAsia" w:ascii="宋体" w:hAnsi="宋体" w:eastAsia="宋体" w:cs="宋体"/>
          <w:sz w:val="24"/>
        </w:rPr>
        <w:t>约定时间内，将有关部门出具的证明文件送达对方当事人。</w:t>
      </w:r>
    </w:p>
    <w:p w14:paraId="72FF1772">
      <w:pPr>
        <w:snapToGrid w:val="0"/>
        <w:spacing w:line="360" w:lineRule="auto"/>
        <w:ind w:firstLine="482" w:firstLineChars="200"/>
        <w:outlineLvl w:val="0"/>
        <w:rPr>
          <w:rFonts w:hint="eastAsia" w:ascii="宋体" w:hAnsi="宋体" w:eastAsia="宋体" w:cs="宋体"/>
          <w:b/>
          <w:sz w:val="24"/>
        </w:rPr>
      </w:pPr>
      <w:bookmarkStart w:id="224" w:name="_Toc6969"/>
      <w:bookmarkStart w:id="225" w:name="_Toc259093684"/>
      <w:bookmarkStart w:id="226" w:name="_Toc279701255"/>
      <w:bookmarkStart w:id="227" w:name="_Toc487900365"/>
      <w:bookmarkStart w:id="228" w:name="_Toc30676"/>
      <w:bookmarkStart w:id="229" w:name="_Toc689"/>
      <w:r>
        <w:rPr>
          <w:rFonts w:hint="eastAsia" w:ascii="宋体" w:hAnsi="宋体" w:eastAsia="宋体" w:cs="宋体"/>
          <w:b/>
          <w:sz w:val="24"/>
        </w:rPr>
        <w:t>2.14 税费</w:t>
      </w:r>
      <w:bookmarkEnd w:id="224"/>
      <w:bookmarkEnd w:id="225"/>
      <w:bookmarkEnd w:id="226"/>
      <w:bookmarkEnd w:id="227"/>
      <w:bookmarkEnd w:id="228"/>
      <w:bookmarkEnd w:id="229"/>
    </w:p>
    <w:p w14:paraId="3F3353E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与合同有关的一切税费，均按照中华人民共和国法律的相关规定。</w:t>
      </w:r>
    </w:p>
    <w:p w14:paraId="2F27409A">
      <w:pPr>
        <w:snapToGrid w:val="0"/>
        <w:spacing w:line="360" w:lineRule="auto"/>
        <w:ind w:firstLine="482" w:firstLineChars="200"/>
        <w:outlineLvl w:val="0"/>
        <w:rPr>
          <w:rFonts w:hint="eastAsia" w:ascii="宋体" w:hAnsi="宋体" w:eastAsia="宋体" w:cs="宋体"/>
          <w:b/>
          <w:sz w:val="24"/>
        </w:rPr>
      </w:pPr>
      <w:bookmarkStart w:id="230" w:name="_Toc487900368"/>
      <w:bookmarkStart w:id="231" w:name="_Toc7102"/>
      <w:bookmarkStart w:id="232" w:name="_Toc16959"/>
      <w:bookmarkStart w:id="233" w:name="_Toc259093687"/>
      <w:bookmarkStart w:id="234" w:name="_Toc279701258"/>
      <w:bookmarkStart w:id="235" w:name="_Toc8298"/>
      <w:r>
        <w:rPr>
          <w:rFonts w:hint="eastAsia" w:ascii="宋体" w:hAnsi="宋体" w:eastAsia="宋体" w:cs="宋体"/>
          <w:b/>
          <w:sz w:val="24"/>
        </w:rPr>
        <w:t>2.15 乙方破产</w:t>
      </w:r>
      <w:bookmarkEnd w:id="230"/>
      <w:bookmarkEnd w:id="231"/>
      <w:bookmarkEnd w:id="232"/>
      <w:bookmarkEnd w:id="233"/>
      <w:bookmarkEnd w:id="234"/>
      <w:bookmarkEnd w:id="235"/>
    </w:p>
    <w:p w14:paraId="0FE632CF">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0D37E108">
      <w:pPr>
        <w:snapToGrid w:val="0"/>
        <w:spacing w:line="360" w:lineRule="auto"/>
        <w:ind w:firstLine="482" w:firstLineChars="200"/>
        <w:outlineLvl w:val="0"/>
        <w:rPr>
          <w:rFonts w:hint="eastAsia" w:ascii="宋体" w:hAnsi="宋体" w:eastAsia="宋体" w:cs="宋体"/>
          <w:b/>
          <w:sz w:val="24"/>
        </w:rPr>
      </w:pPr>
      <w:bookmarkStart w:id="236" w:name="_Toc29333"/>
      <w:bookmarkStart w:id="237" w:name="_Toc6134"/>
      <w:bookmarkStart w:id="238" w:name="_Toc15387"/>
      <w:r>
        <w:rPr>
          <w:rFonts w:hint="eastAsia" w:ascii="宋体" w:hAnsi="宋体" w:eastAsia="宋体" w:cs="宋体"/>
          <w:b/>
          <w:sz w:val="24"/>
        </w:rPr>
        <w:t>2.16 合同中止、终止</w:t>
      </w:r>
      <w:bookmarkEnd w:id="236"/>
      <w:bookmarkEnd w:id="237"/>
      <w:bookmarkEnd w:id="238"/>
    </w:p>
    <w:p w14:paraId="33C09B5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2.16.1 双方当事人不得擅自中止或者终止合同；</w:t>
      </w:r>
    </w:p>
    <w:p w14:paraId="7F15261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2.16.2合同继续履行将损害国家利益和社会公共利益的，双方当事人应当中止或者终止合同。有过错的一方应当承担赔偿责任，双方当事人都有过错的，各自承担相应的责任。</w:t>
      </w:r>
    </w:p>
    <w:p w14:paraId="6963EC84">
      <w:pPr>
        <w:snapToGrid w:val="0"/>
        <w:spacing w:line="360" w:lineRule="auto"/>
        <w:ind w:firstLine="482" w:firstLineChars="200"/>
        <w:outlineLvl w:val="0"/>
        <w:rPr>
          <w:rFonts w:hint="eastAsia" w:ascii="宋体" w:hAnsi="宋体" w:eastAsia="宋体" w:cs="宋体"/>
          <w:b/>
          <w:sz w:val="24"/>
        </w:rPr>
      </w:pPr>
      <w:bookmarkStart w:id="239" w:name="_Toc14563"/>
      <w:bookmarkStart w:id="240" w:name="_Toc6596"/>
      <w:bookmarkStart w:id="241" w:name="_Toc1125"/>
      <w:r>
        <w:rPr>
          <w:rFonts w:hint="eastAsia" w:ascii="宋体" w:hAnsi="宋体" w:eastAsia="宋体" w:cs="宋体"/>
          <w:b/>
          <w:sz w:val="24"/>
        </w:rPr>
        <w:t>2.17 检验和验收</w:t>
      </w:r>
      <w:bookmarkEnd w:id="239"/>
      <w:bookmarkEnd w:id="240"/>
      <w:bookmarkEnd w:id="241"/>
    </w:p>
    <w:p w14:paraId="397576F8">
      <w:pPr>
        <w:tabs>
          <w:tab w:val="left" w:pos="360"/>
          <w:tab w:val="left" w:pos="540"/>
          <w:tab w:val="left" w:pos="1080"/>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2.17.1货物交付前，乙方应对货物的质量、数量等方面进行详细、全面的检验，并向甲方出具证明货物符合合同约定的文件；货物交付时，乙方在</w:t>
      </w:r>
      <w:r>
        <w:rPr>
          <w:rFonts w:hint="eastAsia" w:ascii="宋体" w:hAnsi="宋体" w:eastAsia="宋体" w:cs="宋体"/>
          <w:b/>
          <w:sz w:val="24"/>
          <w:u w:val="single"/>
        </w:rPr>
        <w:t>合同专用条款</w:t>
      </w:r>
      <w:r>
        <w:rPr>
          <w:rFonts w:hint="eastAsia" w:ascii="宋体" w:hAnsi="宋体" w:eastAsia="宋体" w:cs="宋体"/>
          <w:sz w:val="24"/>
        </w:rPr>
        <w:t>约定时间内组织验收，并可依法邀请相关方参加，验收应出具验收书。</w:t>
      </w:r>
    </w:p>
    <w:p w14:paraId="6A61DAF6">
      <w:pPr>
        <w:tabs>
          <w:tab w:val="left" w:pos="360"/>
          <w:tab w:val="left" w:pos="540"/>
          <w:tab w:val="left" w:pos="1080"/>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471A0B86">
      <w:pPr>
        <w:tabs>
          <w:tab w:val="left" w:pos="360"/>
          <w:tab w:val="left" w:pos="540"/>
          <w:tab w:val="left" w:pos="1080"/>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2.17.3 检验和验收标准、程序等具体内容以及前述验收书的效力详见</w:t>
      </w:r>
      <w:r>
        <w:rPr>
          <w:rFonts w:hint="eastAsia" w:ascii="宋体" w:hAnsi="宋体" w:eastAsia="宋体" w:cs="宋体"/>
          <w:b/>
          <w:sz w:val="24"/>
          <w:u w:val="single"/>
        </w:rPr>
        <w:t>合同专用条款</w:t>
      </w:r>
      <w:r>
        <w:rPr>
          <w:rFonts w:hint="eastAsia" w:ascii="宋体" w:hAnsi="宋体" w:eastAsia="宋体" w:cs="宋体"/>
          <w:sz w:val="24"/>
        </w:rPr>
        <w:t>。</w:t>
      </w:r>
    </w:p>
    <w:bookmarkEnd w:id="211"/>
    <w:bookmarkEnd w:id="212"/>
    <w:bookmarkEnd w:id="213"/>
    <w:bookmarkEnd w:id="214"/>
    <w:p w14:paraId="4D38ECB2">
      <w:pPr>
        <w:snapToGrid w:val="0"/>
        <w:spacing w:line="360" w:lineRule="auto"/>
        <w:ind w:firstLine="482" w:firstLineChars="200"/>
        <w:outlineLvl w:val="0"/>
        <w:rPr>
          <w:rFonts w:hint="eastAsia" w:ascii="宋体" w:hAnsi="宋体" w:eastAsia="宋体" w:cs="宋体"/>
          <w:b/>
          <w:sz w:val="24"/>
        </w:rPr>
      </w:pPr>
      <w:bookmarkStart w:id="242" w:name="_Toc279701261"/>
      <w:bookmarkStart w:id="243" w:name="_Toc487900371"/>
      <w:bookmarkStart w:id="244" w:name="_Toc259093690"/>
      <w:bookmarkStart w:id="245" w:name="_Toc11284"/>
      <w:bookmarkStart w:id="246" w:name="_Toc19604"/>
      <w:bookmarkStart w:id="247" w:name="_Toc25182"/>
      <w:r>
        <w:rPr>
          <w:rFonts w:hint="eastAsia" w:ascii="宋体" w:hAnsi="宋体" w:eastAsia="宋体" w:cs="宋体"/>
          <w:b/>
          <w:sz w:val="24"/>
        </w:rPr>
        <w:t>2.18 通知</w:t>
      </w:r>
      <w:bookmarkEnd w:id="242"/>
      <w:bookmarkEnd w:id="243"/>
      <w:bookmarkEnd w:id="244"/>
      <w:r>
        <w:rPr>
          <w:rFonts w:hint="eastAsia" w:ascii="宋体" w:hAnsi="宋体" w:eastAsia="宋体" w:cs="宋体"/>
          <w:b/>
          <w:sz w:val="24"/>
        </w:rPr>
        <w:t>和送达</w:t>
      </w:r>
      <w:bookmarkEnd w:id="245"/>
      <w:bookmarkEnd w:id="246"/>
      <w:bookmarkEnd w:id="247"/>
    </w:p>
    <w:p w14:paraId="1BDD3A6A">
      <w:pPr>
        <w:snapToGrid w:val="0"/>
        <w:spacing w:line="360" w:lineRule="auto"/>
        <w:ind w:firstLine="480" w:firstLineChars="200"/>
        <w:rPr>
          <w:rFonts w:hint="eastAsia" w:ascii="宋体" w:hAnsi="宋体" w:eastAsia="宋体" w:cs="宋体"/>
          <w:sz w:val="24"/>
        </w:rPr>
      </w:pPr>
      <w:bookmarkStart w:id="248" w:name="_Toc3135"/>
      <w:bookmarkStart w:id="249" w:name="_Toc6698"/>
      <w:bookmarkStart w:id="250" w:name="_Toc487900372"/>
      <w:bookmarkStart w:id="251" w:name="_Toc279701262"/>
      <w:bookmarkStart w:id="252" w:name="_Toc259093691"/>
      <w:r>
        <w:rPr>
          <w:rFonts w:hint="eastAsia" w:ascii="宋体" w:hAnsi="宋体" w:eastAsia="宋体" w:cs="宋体"/>
          <w:sz w:val="24"/>
        </w:rPr>
        <w:t>2.18.1 任何一方因履行合同而以合同第一部分尾部所列明的</w:t>
      </w:r>
      <w:r>
        <w:rPr>
          <w:rFonts w:hint="eastAsia" w:asciiTheme="minorEastAsia" w:hAnsiTheme="minorEastAsia" w:cstheme="minorEastAsia"/>
          <w:sz w:val="24"/>
          <w:u w:val="single"/>
        </w:rPr>
        <w:t xml:space="preserve"> 书面、电子邮件</w:t>
      </w:r>
      <w:r>
        <w:rPr>
          <w:rFonts w:hint="eastAsia" w:ascii="宋体" w:hAnsi="宋体" w:eastAsia="宋体" w:cs="宋体"/>
          <w:sz w:val="24"/>
        </w:rPr>
        <w:t>发出的所有通知、文件、材料，均视为已向对方当事人送达；任何一方变更上述送达方式或者地址的，应于</w:t>
      </w:r>
      <w:r>
        <w:rPr>
          <w:rFonts w:hint="eastAsia" w:ascii="宋体" w:hAnsi="宋体" w:eastAsia="宋体" w:cs="宋体"/>
          <w:sz w:val="24"/>
          <w:u w:val="single"/>
        </w:rPr>
        <w:t xml:space="preserve"> 2 </w:t>
      </w:r>
      <w:r>
        <w:rPr>
          <w:rFonts w:hint="eastAsia" w:ascii="宋体" w:hAnsi="宋体" w:eastAsia="宋体" w:cs="宋体"/>
          <w:sz w:val="24"/>
        </w:rPr>
        <w:t>个工作日内书面通知对方当事人，在对方当事人收到有关变更通知之前，变更前的约定送达方式或者地址仍视为有效。</w:t>
      </w:r>
      <w:bookmarkEnd w:id="248"/>
      <w:bookmarkEnd w:id="249"/>
    </w:p>
    <w:p w14:paraId="1116AE81">
      <w:pPr>
        <w:snapToGrid w:val="0"/>
        <w:spacing w:line="360" w:lineRule="auto"/>
        <w:ind w:firstLine="480" w:firstLineChars="200"/>
        <w:rPr>
          <w:rFonts w:hint="eastAsia" w:ascii="宋体" w:hAnsi="宋体" w:eastAsia="宋体" w:cs="宋体"/>
          <w:sz w:val="24"/>
        </w:rPr>
      </w:pPr>
      <w:bookmarkStart w:id="253" w:name="_Toc23128"/>
      <w:bookmarkStart w:id="254" w:name="_Toc23294"/>
      <w:r>
        <w:rPr>
          <w:rFonts w:hint="eastAsia" w:ascii="宋体" w:hAnsi="宋体" w:eastAsia="宋体" w:cs="宋体"/>
          <w:sz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53"/>
      <w:bookmarkEnd w:id="254"/>
    </w:p>
    <w:p w14:paraId="2E3154F8">
      <w:pPr>
        <w:snapToGrid w:val="0"/>
        <w:spacing w:line="360" w:lineRule="auto"/>
        <w:ind w:firstLine="482" w:firstLineChars="200"/>
        <w:outlineLvl w:val="0"/>
        <w:rPr>
          <w:rFonts w:hint="eastAsia" w:ascii="宋体" w:hAnsi="宋体" w:eastAsia="宋体" w:cs="宋体"/>
          <w:b/>
          <w:sz w:val="24"/>
        </w:rPr>
      </w:pPr>
      <w:bookmarkStart w:id="255" w:name="_Toc30599"/>
      <w:bookmarkStart w:id="256" w:name="_Toc4355"/>
      <w:bookmarkStart w:id="257" w:name="_Toc18540"/>
      <w:r>
        <w:rPr>
          <w:rFonts w:hint="eastAsia" w:ascii="宋体" w:hAnsi="宋体" w:eastAsia="宋体" w:cs="宋体"/>
          <w:b/>
          <w:sz w:val="24"/>
        </w:rPr>
        <w:t>2.19 计量单位</w:t>
      </w:r>
      <w:bookmarkEnd w:id="250"/>
      <w:bookmarkEnd w:id="251"/>
      <w:bookmarkEnd w:id="252"/>
      <w:bookmarkEnd w:id="255"/>
      <w:bookmarkEnd w:id="256"/>
      <w:bookmarkEnd w:id="257"/>
    </w:p>
    <w:p w14:paraId="35957A39">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除技术规范中另有规定外,合同的计量单位均使用国家法定计量单位。</w:t>
      </w:r>
    </w:p>
    <w:p w14:paraId="427EA52A">
      <w:pPr>
        <w:snapToGrid w:val="0"/>
        <w:spacing w:line="360" w:lineRule="auto"/>
        <w:ind w:firstLine="482" w:firstLineChars="200"/>
        <w:outlineLvl w:val="0"/>
        <w:rPr>
          <w:rFonts w:hint="eastAsia" w:ascii="宋体" w:hAnsi="宋体" w:eastAsia="宋体" w:cs="宋体"/>
          <w:b/>
          <w:sz w:val="24"/>
        </w:rPr>
      </w:pPr>
      <w:bookmarkStart w:id="258" w:name="_Toc18567"/>
      <w:bookmarkStart w:id="259" w:name="_Toc259093692"/>
      <w:bookmarkStart w:id="260" w:name="_Toc12773"/>
      <w:bookmarkStart w:id="261" w:name="_Toc487900373"/>
      <w:bookmarkStart w:id="262" w:name="_Toc10330"/>
      <w:bookmarkStart w:id="263" w:name="_Toc279701263"/>
      <w:r>
        <w:rPr>
          <w:rFonts w:hint="eastAsia" w:ascii="宋体" w:hAnsi="宋体" w:eastAsia="宋体" w:cs="宋体"/>
          <w:b/>
          <w:sz w:val="24"/>
        </w:rPr>
        <w:t>2.20 合同使用的文字和适用的法律</w:t>
      </w:r>
      <w:bookmarkEnd w:id="258"/>
      <w:bookmarkEnd w:id="259"/>
      <w:bookmarkEnd w:id="260"/>
      <w:bookmarkEnd w:id="261"/>
      <w:bookmarkEnd w:id="262"/>
      <w:bookmarkEnd w:id="263"/>
    </w:p>
    <w:p w14:paraId="0F93088A">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2.20.1 合同使用汉语书就、变更和解释；</w:t>
      </w:r>
    </w:p>
    <w:p w14:paraId="16BB462A">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2.20.2 合同适用中华人民共和国法律。</w:t>
      </w:r>
    </w:p>
    <w:p w14:paraId="297F7D4B">
      <w:pPr>
        <w:snapToGrid w:val="0"/>
        <w:spacing w:line="360" w:lineRule="auto"/>
        <w:ind w:firstLine="482" w:firstLineChars="200"/>
        <w:outlineLvl w:val="0"/>
        <w:rPr>
          <w:rFonts w:hint="eastAsia" w:ascii="宋体" w:hAnsi="宋体" w:eastAsia="宋体" w:cs="宋体"/>
          <w:b/>
          <w:sz w:val="24"/>
        </w:rPr>
      </w:pPr>
      <w:bookmarkStart w:id="264" w:name="_Toc3148"/>
      <w:bookmarkStart w:id="265" w:name="_Toc16673"/>
      <w:bookmarkStart w:id="266" w:name="_Toc259093693"/>
      <w:bookmarkStart w:id="267" w:name="_Toc279701264"/>
      <w:bookmarkStart w:id="268" w:name="_Toc12004"/>
      <w:bookmarkStart w:id="269" w:name="_Toc487900374"/>
      <w:r>
        <w:rPr>
          <w:rFonts w:hint="eastAsia" w:ascii="宋体" w:hAnsi="宋体" w:eastAsia="宋体" w:cs="宋体"/>
          <w:b/>
          <w:sz w:val="24"/>
        </w:rPr>
        <w:t>2.21 履约保证金</w:t>
      </w:r>
      <w:bookmarkEnd w:id="264"/>
      <w:bookmarkEnd w:id="265"/>
      <w:bookmarkEnd w:id="266"/>
      <w:bookmarkEnd w:id="267"/>
      <w:bookmarkEnd w:id="268"/>
    </w:p>
    <w:p w14:paraId="1AF67D64">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2.21.1 采购文件要求乙方提交履约保证金的，乙方应按</w:t>
      </w:r>
      <w:r>
        <w:rPr>
          <w:rFonts w:hint="eastAsia" w:ascii="宋体" w:hAnsi="宋体" w:eastAsia="宋体" w:cs="宋体"/>
          <w:b/>
          <w:sz w:val="24"/>
          <w:u w:val="single"/>
        </w:rPr>
        <w:t>合同专用条款</w:t>
      </w:r>
      <w:r>
        <w:rPr>
          <w:rFonts w:hint="eastAsia" w:ascii="宋体" w:hAnsi="宋体" w:eastAsia="宋体" w:cs="宋体"/>
          <w:sz w:val="24"/>
        </w:rPr>
        <w:t>约定的方式，以支票、汇票、本票或者金融机构、担保机构出具的保函等非现金形式，提交不超过合同价10%的履约保证金；</w:t>
      </w:r>
    </w:p>
    <w:p w14:paraId="7D352251">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2.21.2  履约保证金在</w:t>
      </w:r>
      <w:r>
        <w:rPr>
          <w:rFonts w:hint="eastAsia" w:ascii="宋体" w:hAnsi="宋体" w:eastAsia="宋体" w:cs="宋体"/>
          <w:b/>
          <w:sz w:val="24"/>
          <w:u w:val="single"/>
        </w:rPr>
        <w:t>合同专用条款</w:t>
      </w:r>
      <w:r>
        <w:rPr>
          <w:rFonts w:hint="eastAsia" w:ascii="宋体" w:hAnsi="宋体" w:eastAsia="宋体" w:cs="宋体"/>
          <w:sz w:val="24"/>
        </w:rPr>
        <w:t>约定期间内或者货物质量保证期内不予退还或者应完全有效，前述约定期间届满或者货物质量保证期届满之日起</w:t>
      </w:r>
      <w:r>
        <w:rPr>
          <w:rFonts w:hint="eastAsia" w:ascii="宋体" w:hAnsi="宋体" w:eastAsia="宋体" w:cs="宋体"/>
          <w:sz w:val="24"/>
          <w:u w:val="single"/>
        </w:rPr>
        <w:t xml:space="preserve">10 </w:t>
      </w:r>
      <w:r>
        <w:rPr>
          <w:rFonts w:hint="eastAsia" w:ascii="宋体" w:hAnsi="宋体" w:eastAsia="宋体" w:cs="宋体"/>
          <w:sz w:val="24"/>
        </w:rPr>
        <w:t>个工作日内，甲方应将履约保证金退还乙方；</w:t>
      </w:r>
    </w:p>
    <w:p w14:paraId="7A72781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69"/>
    <w:p w14:paraId="1475A4CF">
      <w:pPr>
        <w:snapToGrid w:val="0"/>
        <w:spacing w:line="360" w:lineRule="auto"/>
        <w:ind w:firstLine="482" w:firstLineChars="200"/>
        <w:outlineLvl w:val="0"/>
        <w:rPr>
          <w:rFonts w:hint="eastAsia" w:ascii="宋体" w:hAnsi="宋体" w:eastAsia="宋体" w:cs="宋体"/>
          <w:b/>
          <w:sz w:val="24"/>
        </w:rPr>
      </w:pPr>
      <w:bookmarkStart w:id="270" w:name="_Toc14001"/>
      <w:bookmarkStart w:id="271" w:name="_Toc19890"/>
      <w:bookmarkStart w:id="272" w:name="_Toc6885"/>
      <w:r>
        <w:rPr>
          <w:rFonts w:hint="eastAsia" w:ascii="宋体" w:hAnsi="宋体" w:eastAsia="宋体" w:cs="宋体"/>
          <w:b/>
          <w:sz w:val="24"/>
        </w:rPr>
        <w:t>2.22 合同份数</w:t>
      </w:r>
      <w:bookmarkEnd w:id="270"/>
      <w:bookmarkEnd w:id="271"/>
      <w:bookmarkEnd w:id="272"/>
    </w:p>
    <w:p w14:paraId="0040515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合同份数按</w:t>
      </w:r>
      <w:r>
        <w:rPr>
          <w:rFonts w:hint="eastAsia" w:ascii="宋体" w:hAnsi="宋体" w:eastAsia="宋体" w:cs="宋体"/>
          <w:b/>
          <w:sz w:val="24"/>
          <w:u w:val="single"/>
        </w:rPr>
        <w:t>合同专用条款</w:t>
      </w:r>
      <w:r>
        <w:rPr>
          <w:rFonts w:hint="eastAsia" w:ascii="宋体" w:hAnsi="宋体" w:eastAsia="宋体" w:cs="宋体"/>
          <w:sz w:val="24"/>
        </w:rPr>
        <w:t>规定，每份均具有同等法律效力。</w:t>
      </w:r>
    </w:p>
    <w:p w14:paraId="3E7C9280">
      <w:pPr>
        <w:spacing w:line="560" w:lineRule="exact"/>
        <w:jc w:val="center"/>
        <w:rPr>
          <w:rFonts w:hint="eastAsia" w:ascii="宋体" w:hAnsi="宋体" w:cs="宋体"/>
          <w:b/>
          <w:szCs w:val="24"/>
        </w:rPr>
      </w:pPr>
      <w:r>
        <w:rPr>
          <w:rFonts w:ascii="宋体" w:hAnsi="宋体" w:cs="宋体"/>
          <w:szCs w:val="24"/>
        </w:rPr>
        <w:br w:type="page"/>
      </w:r>
      <w:bookmarkStart w:id="273" w:name="_Toc331685784"/>
      <w:r>
        <w:rPr>
          <w:rFonts w:ascii="宋体" w:hAnsi="宋体" w:cs="宋体"/>
          <w:b/>
          <w:szCs w:val="24"/>
        </w:rPr>
        <w:t>第三部分  合同专用条款</w:t>
      </w:r>
      <w:bookmarkEnd w:id="273"/>
    </w:p>
    <w:p w14:paraId="4C0D1EEE">
      <w:pPr>
        <w:spacing w:line="560" w:lineRule="exact"/>
        <w:ind w:firstLine="480" w:firstLineChars="200"/>
      </w:pPr>
      <w:r>
        <w:rPr>
          <w:rFonts w:hint="eastAsia" w:ascii="宋体" w:hAnsi="宋体" w:eastAsia="宋体" w:cs="宋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12"/>
        <w:tblW w:w="9242" w:type="dxa"/>
        <w:tblInd w:w="18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8441"/>
      </w:tblGrid>
      <w:tr w14:paraId="195B9C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14:paraId="2E685DF0">
            <w:pPr>
              <w:spacing w:line="560" w:lineRule="exact"/>
              <w:jc w:val="center"/>
              <w:rPr>
                <w:rFonts w:hint="eastAsia" w:ascii="宋体" w:hAnsi="宋体" w:eastAsia="宋体" w:cs="宋体"/>
                <w:b/>
                <w:sz w:val="24"/>
              </w:rPr>
            </w:pPr>
            <w:r>
              <w:rPr>
                <w:rFonts w:hint="eastAsia" w:ascii="宋体" w:hAnsi="宋体" w:eastAsia="宋体" w:cs="宋体"/>
                <w:b/>
                <w:sz w:val="24"/>
              </w:rPr>
              <w:t>条款号</w:t>
            </w:r>
          </w:p>
        </w:tc>
        <w:tc>
          <w:tcPr>
            <w:tcW w:w="8441" w:type="dxa"/>
            <w:vAlign w:val="center"/>
          </w:tcPr>
          <w:p w14:paraId="74E892FB">
            <w:pPr>
              <w:spacing w:line="560" w:lineRule="exact"/>
              <w:jc w:val="center"/>
              <w:rPr>
                <w:rFonts w:hint="eastAsia" w:ascii="宋体" w:hAnsi="宋体" w:eastAsia="宋体" w:cs="宋体"/>
                <w:b/>
                <w:sz w:val="24"/>
              </w:rPr>
            </w:pPr>
            <w:r>
              <w:rPr>
                <w:rFonts w:hint="eastAsia" w:ascii="宋体" w:hAnsi="宋体" w:eastAsia="宋体" w:cs="宋体"/>
                <w:b/>
                <w:sz w:val="24"/>
              </w:rPr>
              <w:t>约定内容</w:t>
            </w:r>
          </w:p>
        </w:tc>
      </w:tr>
      <w:tr w14:paraId="2583CA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801" w:type="dxa"/>
            <w:tcBorders>
              <w:left w:val="single" w:color="auto" w:sz="4" w:space="0"/>
            </w:tcBorders>
            <w:vAlign w:val="center"/>
          </w:tcPr>
          <w:p w14:paraId="6A8AC5A5">
            <w:pPr>
              <w:spacing w:line="560" w:lineRule="exact"/>
              <w:jc w:val="center"/>
              <w:rPr>
                <w:rFonts w:hint="eastAsia" w:ascii="宋体" w:hAnsi="宋体" w:eastAsia="宋体" w:cs="宋体"/>
                <w:kern w:val="2"/>
                <w:sz w:val="24"/>
              </w:rPr>
            </w:pPr>
            <w:r>
              <w:rPr>
                <w:rFonts w:hint="eastAsia" w:ascii="宋体" w:hAnsi="宋体" w:eastAsia="宋体" w:cs="宋体"/>
                <w:sz w:val="24"/>
              </w:rPr>
              <w:t>2.3.2</w:t>
            </w:r>
          </w:p>
        </w:tc>
        <w:tc>
          <w:tcPr>
            <w:tcW w:w="8441" w:type="dxa"/>
            <w:vAlign w:val="center"/>
          </w:tcPr>
          <w:p w14:paraId="68CD42AD">
            <w:pPr>
              <w:snapToGrid w:val="0"/>
              <w:rPr>
                <w:rFonts w:hint="eastAsia" w:ascii="宋体" w:hAnsi="宋体" w:eastAsia="宋体" w:cs="宋体"/>
                <w:kern w:val="2"/>
                <w:sz w:val="24"/>
              </w:rPr>
            </w:pPr>
            <w:r>
              <w:rPr>
                <w:rFonts w:hint="eastAsia" w:ascii="宋体" w:hAnsi="宋体" w:eastAsia="宋体" w:cs="宋体"/>
                <w:sz w:val="24"/>
              </w:rPr>
              <w:t>合同涉及技术成果的归属和收益的分成办法：甲方付清合同价款当日，货物的所有权均归甲方所有。</w:t>
            </w:r>
          </w:p>
        </w:tc>
      </w:tr>
      <w:tr w14:paraId="299C29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801" w:type="dxa"/>
            <w:tcBorders>
              <w:left w:val="single" w:color="auto" w:sz="4" w:space="0"/>
            </w:tcBorders>
            <w:vAlign w:val="center"/>
          </w:tcPr>
          <w:p w14:paraId="4C052047">
            <w:pPr>
              <w:spacing w:line="420" w:lineRule="exact"/>
              <w:jc w:val="center"/>
              <w:rPr>
                <w:rFonts w:hint="eastAsia" w:ascii="宋体" w:hAnsi="宋体" w:eastAsia="宋体" w:cs="宋体"/>
                <w:sz w:val="24"/>
              </w:rPr>
            </w:pPr>
            <w:r>
              <w:rPr>
                <w:rFonts w:hint="eastAsia" w:ascii="宋体" w:hAnsi="宋体" w:eastAsia="宋体" w:cs="宋体"/>
                <w:sz w:val="24"/>
              </w:rPr>
              <w:t>2.4.1</w:t>
            </w:r>
          </w:p>
        </w:tc>
        <w:tc>
          <w:tcPr>
            <w:tcW w:w="8441" w:type="dxa"/>
            <w:vAlign w:val="center"/>
          </w:tcPr>
          <w:p w14:paraId="7BB43468">
            <w:pPr>
              <w:spacing w:line="420" w:lineRule="exact"/>
              <w:rPr>
                <w:rFonts w:hint="eastAsia" w:ascii="宋体" w:hAnsi="宋体" w:eastAsia="宋体" w:cs="宋体"/>
                <w:sz w:val="24"/>
              </w:rPr>
            </w:pPr>
            <w:r>
              <w:rPr>
                <w:rFonts w:hint="eastAsia" w:ascii="宋体" w:hAnsi="宋体" w:eastAsia="宋体" w:cs="宋体"/>
                <w:sz w:val="24"/>
              </w:rPr>
              <w:t>1、乙方提供的货物必须为原包装，在送交甲方验收前不得拆箱；</w:t>
            </w:r>
          </w:p>
          <w:p w14:paraId="4B4B7A35">
            <w:pPr>
              <w:spacing w:line="420" w:lineRule="exact"/>
              <w:rPr>
                <w:rFonts w:hint="eastAsia" w:ascii="宋体" w:hAnsi="宋体" w:eastAsia="宋体" w:cs="宋体"/>
                <w:sz w:val="24"/>
              </w:rPr>
            </w:pPr>
            <w:r>
              <w:rPr>
                <w:rFonts w:hint="eastAsia" w:ascii="宋体" w:hAnsi="宋体" w:eastAsia="宋体" w:cs="宋体"/>
                <w:sz w:val="24"/>
              </w:rPr>
              <w:t>2、每一个包装箱内应附有出厂标准配置的有关技术、质量、三包等资料。</w:t>
            </w:r>
          </w:p>
        </w:tc>
      </w:tr>
      <w:tr w14:paraId="4B8D6A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1" w:hRule="atLeast"/>
        </w:trPr>
        <w:tc>
          <w:tcPr>
            <w:tcW w:w="801" w:type="dxa"/>
            <w:tcBorders>
              <w:left w:val="single" w:color="auto" w:sz="4" w:space="0"/>
            </w:tcBorders>
            <w:vAlign w:val="center"/>
          </w:tcPr>
          <w:p w14:paraId="67035D25">
            <w:pPr>
              <w:spacing w:line="420" w:lineRule="exact"/>
              <w:jc w:val="center"/>
              <w:rPr>
                <w:rFonts w:hint="eastAsia" w:ascii="宋体" w:hAnsi="宋体" w:eastAsia="宋体" w:cs="宋体"/>
                <w:sz w:val="24"/>
              </w:rPr>
            </w:pPr>
            <w:r>
              <w:rPr>
                <w:rFonts w:hint="eastAsia" w:ascii="宋体" w:hAnsi="宋体" w:eastAsia="宋体" w:cs="宋体"/>
                <w:sz w:val="24"/>
              </w:rPr>
              <w:t>2.4.2</w:t>
            </w:r>
          </w:p>
        </w:tc>
        <w:tc>
          <w:tcPr>
            <w:tcW w:w="8441" w:type="dxa"/>
            <w:vAlign w:val="center"/>
          </w:tcPr>
          <w:p w14:paraId="071941EA">
            <w:pPr>
              <w:spacing w:line="420" w:lineRule="exact"/>
              <w:rPr>
                <w:rFonts w:hint="eastAsia" w:ascii="宋体" w:hAnsi="宋体" w:eastAsia="宋体" w:cs="宋体"/>
                <w:sz w:val="24"/>
              </w:rPr>
            </w:pPr>
            <w:r>
              <w:rPr>
                <w:rFonts w:hint="eastAsia" w:ascii="宋体" w:hAnsi="宋体" w:eastAsia="宋体" w:cs="宋体"/>
                <w:sz w:val="24"/>
              </w:rPr>
              <w:t>1、乙方应采取必要的安全措施保证货物的运输及安装的安全，且须考虑到可能会发生的野蛮装卸、长途运输及多次装卸之需要。如因乙方包装不当以及其它原因造成损坏或丢失，应由乙方负一切责任。</w:t>
            </w:r>
          </w:p>
          <w:p w14:paraId="6F026FF1">
            <w:pPr>
              <w:spacing w:line="420" w:lineRule="exact"/>
              <w:rPr>
                <w:rFonts w:hint="eastAsia" w:ascii="宋体" w:hAnsi="宋体" w:eastAsia="宋体" w:cs="宋体"/>
                <w:sz w:val="24"/>
              </w:rPr>
            </w:pPr>
            <w:r>
              <w:rPr>
                <w:rFonts w:hint="eastAsia" w:ascii="宋体" w:hAnsi="宋体" w:eastAsia="宋体" w:cs="宋体"/>
                <w:sz w:val="24"/>
              </w:rPr>
              <w:t>2、乙方发货到甲方指定地点前应先告知甲方。产品交货时，应提供到货产品、材料的清单等。若未提供或少提供相应的货物，甲方有权扣除乙方缴纳的所有履约保证金。</w:t>
            </w:r>
          </w:p>
        </w:tc>
      </w:tr>
      <w:tr w14:paraId="318791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0B457836">
            <w:pPr>
              <w:spacing w:line="420" w:lineRule="exact"/>
              <w:jc w:val="center"/>
              <w:rPr>
                <w:rFonts w:hint="eastAsia" w:ascii="宋体" w:hAnsi="宋体" w:eastAsia="宋体" w:cs="宋体"/>
                <w:sz w:val="24"/>
              </w:rPr>
            </w:pPr>
            <w:r>
              <w:rPr>
                <w:rFonts w:hint="eastAsia" w:ascii="宋体" w:hAnsi="宋体" w:eastAsia="宋体" w:cs="宋体"/>
                <w:sz w:val="24"/>
              </w:rPr>
              <w:t>2.6</w:t>
            </w:r>
          </w:p>
        </w:tc>
        <w:tc>
          <w:tcPr>
            <w:tcW w:w="8441" w:type="dxa"/>
            <w:vAlign w:val="center"/>
          </w:tcPr>
          <w:p w14:paraId="03215A08">
            <w:pPr>
              <w:spacing w:line="420" w:lineRule="exact"/>
              <w:rPr>
                <w:rFonts w:hint="eastAsia" w:ascii="宋体" w:hAnsi="宋体" w:eastAsia="宋体" w:cs="宋体"/>
                <w:sz w:val="24"/>
              </w:rPr>
            </w:pPr>
            <w:r>
              <w:rPr>
                <w:rFonts w:hint="eastAsia" w:ascii="宋体" w:hAnsi="宋体" w:eastAsia="宋体" w:cs="宋体"/>
                <w:sz w:val="24"/>
              </w:rPr>
              <w:t>合同签订生效后，乙方按照甲方规定的交货时间分批将货物运送到甲方指定地点，且验收合格后，甲方付清每批货款。乙方须提供相应金额且符合甲方财务制度规定的增值税发票，甲方按程序审批后支付款项。</w:t>
            </w:r>
          </w:p>
        </w:tc>
      </w:tr>
      <w:tr w14:paraId="2DE189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38D405F3">
            <w:pPr>
              <w:spacing w:line="420" w:lineRule="exact"/>
              <w:jc w:val="center"/>
              <w:rPr>
                <w:rFonts w:hint="eastAsia" w:ascii="宋体" w:hAnsi="宋体" w:eastAsia="宋体" w:cs="宋体"/>
                <w:sz w:val="24"/>
              </w:rPr>
            </w:pPr>
            <w:r>
              <w:rPr>
                <w:rFonts w:hint="eastAsia" w:ascii="宋体" w:hAnsi="宋体" w:eastAsia="宋体" w:cs="宋体"/>
                <w:sz w:val="24"/>
              </w:rPr>
              <w:t>2.9</w:t>
            </w:r>
          </w:p>
        </w:tc>
        <w:tc>
          <w:tcPr>
            <w:tcW w:w="8441" w:type="dxa"/>
            <w:vAlign w:val="center"/>
          </w:tcPr>
          <w:p w14:paraId="38F5198A">
            <w:pPr>
              <w:spacing w:line="420" w:lineRule="exact"/>
              <w:rPr>
                <w:rFonts w:hint="eastAsia" w:ascii="宋体" w:hAnsi="宋体" w:eastAsia="宋体" w:cs="宋体"/>
                <w:sz w:val="24"/>
              </w:rPr>
            </w:pPr>
            <w:r>
              <w:rPr>
                <w:rFonts w:hint="eastAsia" w:ascii="宋体" w:hAnsi="宋体" w:eastAsia="宋体" w:cs="宋体"/>
                <w:sz w:val="24"/>
              </w:rPr>
              <w:t>货物或者在途货物或者交付给第一承运人后的货物毁损、灭失的风险负担由乙方承担。</w:t>
            </w:r>
          </w:p>
        </w:tc>
      </w:tr>
      <w:tr w14:paraId="45BB40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4075AEFA">
            <w:pPr>
              <w:spacing w:line="420" w:lineRule="exact"/>
              <w:jc w:val="center"/>
              <w:rPr>
                <w:rFonts w:hint="eastAsia" w:ascii="宋体" w:hAnsi="宋体" w:eastAsia="宋体" w:cs="宋体"/>
                <w:kern w:val="2"/>
                <w:sz w:val="24"/>
              </w:rPr>
            </w:pPr>
            <w:r>
              <w:rPr>
                <w:rFonts w:hint="eastAsia" w:ascii="宋体" w:hAnsi="宋体" w:eastAsia="宋体" w:cs="宋体"/>
                <w:sz w:val="24"/>
              </w:rPr>
              <w:t>2.13.3</w:t>
            </w:r>
          </w:p>
        </w:tc>
        <w:tc>
          <w:tcPr>
            <w:tcW w:w="8441" w:type="dxa"/>
            <w:vAlign w:val="center"/>
          </w:tcPr>
          <w:p w14:paraId="7DC69125">
            <w:pPr>
              <w:spacing w:line="420" w:lineRule="exact"/>
              <w:rPr>
                <w:rFonts w:hint="eastAsia" w:ascii="宋体" w:hAnsi="宋体" w:eastAsia="宋体" w:cs="宋体"/>
                <w:sz w:val="24"/>
              </w:rPr>
            </w:pPr>
            <w:r>
              <w:rPr>
                <w:rFonts w:hint="eastAsia" w:ascii="宋体" w:hAnsi="宋体" w:eastAsia="宋体" w:cs="宋体"/>
                <w:sz w:val="24"/>
              </w:rPr>
              <w:t>因不可抗力致使合同有变更必要的，双方当事人应在2个工作日内以书面形式变更合同。</w:t>
            </w:r>
          </w:p>
        </w:tc>
      </w:tr>
      <w:tr w14:paraId="2DB8D9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3BB7F569">
            <w:pPr>
              <w:spacing w:line="420" w:lineRule="exact"/>
              <w:jc w:val="center"/>
              <w:rPr>
                <w:rFonts w:hint="eastAsia" w:ascii="宋体" w:hAnsi="宋体" w:eastAsia="宋体" w:cs="宋体"/>
                <w:kern w:val="2"/>
                <w:sz w:val="24"/>
              </w:rPr>
            </w:pPr>
            <w:r>
              <w:rPr>
                <w:rFonts w:hint="eastAsia" w:ascii="宋体" w:hAnsi="宋体" w:eastAsia="宋体" w:cs="宋体"/>
                <w:sz w:val="24"/>
              </w:rPr>
              <w:t>2.13.4</w:t>
            </w:r>
          </w:p>
        </w:tc>
        <w:tc>
          <w:tcPr>
            <w:tcW w:w="8441" w:type="dxa"/>
            <w:vAlign w:val="center"/>
          </w:tcPr>
          <w:p w14:paraId="1B4E8108">
            <w:pPr>
              <w:spacing w:line="420" w:lineRule="exact"/>
              <w:rPr>
                <w:rFonts w:hint="eastAsia" w:ascii="宋体" w:hAnsi="宋体" w:eastAsia="宋体" w:cs="宋体"/>
                <w:sz w:val="24"/>
              </w:rPr>
            </w:pPr>
            <w:r>
              <w:rPr>
                <w:rFonts w:hint="eastAsia" w:ascii="宋体" w:hAnsi="宋体" w:eastAsia="宋体" w:cs="宋体"/>
                <w:sz w:val="24"/>
              </w:rPr>
              <w:t>受不可抗力影响的一方在不可抗力发生后，应在2个工作日内以书面形式通知对方当事人，并在5个工作日内，将有关部门出具的证明文件送达对方当事人。</w:t>
            </w:r>
          </w:p>
        </w:tc>
      </w:tr>
      <w:tr w14:paraId="71A677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276DF2C5">
            <w:pPr>
              <w:spacing w:line="420" w:lineRule="exact"/>
              <w:jc w:val="center"/>
              <w:rPr>
                <w:rFonts w:hint="eastAsia" w:ascii="宋体" w:hAnsi="宋体" w:eastAsia="宋体" w:cs="宋体"/>
                <w:sz w:val="24"/>
              </w:rPr>
            </w:pPr>
            <w:r>
              <w:rPr>
                <w:rFonts w:hint="eastAsia" w:ascii="宋体" w:hAnsi="宋体" w:eastAsia="宋体" w:cs="宋体"/>
                <w:sz w:val="24"/>
              </w:rPr>
              <w:t>2.17.1</w:t>
            </w:r>
          </w:p>
        </w:tc>
        <w:tc>
          <w:tcPr>
            <w:tcW w:w="8441" w:type="dxa"/>
            <w:vAlign w:val="center"/>
          </w:tcPr>
          <w:p w14:paraId="4007431D">
            <w:pPr>
              <w:spacing w:line="420" w:lineRule="exact"/>
              <w:rPr>
                <w:rFonts w:hint="eastAsia" w:ascii="宋体" w:hAnsi="宋体" w:eastAsia="宋体" w:cs="宋体"/>
                <w:sz w:val="24"/>
              </w:rPr>
            </w:pPr>
            <w:r>
              <w:rPr>
                <w:rFonts w:hint="eastAsia" w:ascii="宋体" w:hAnsi="宋体" w:eastAsia="宋体" w:cs="宋体"/>
                <w:sz w:val="24"/>
              </w:rPr>
              <w:t>货物交付时，乙方在须在甲方收到货后的7个工作日内组织验收，并可依法邀请相关方参加，验收应出具验收书。</w:t>
            </w:r>
          </w:p>
        </w:tc>
      </w:tr>
      <w:tr w14:paraId="3FA84A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1A3C38B8">
            <w:pPr>
              <w:spacing w:line="420" w:lineRule="exact"/>
              <w:jc w:val="center"/>
              <w:rPr>
                <w:rFonts w:hint="eastAsia" w:ascii="宋体" w:hAnsi="宋体" w:eastAsia="宋体" w:cs="宋体"/>
                <w:sz w:val="24"/>
              </w:rPr>
            </w:pPr>
            <w:r>
              <w:rPr>
                <w:rFonts w:hint="eastAsia" w:ascii="宋体" w:hAnsi="宋体" w:eastAsia="宋体" w:cs="宋体"/>
                <w:sz w:val="24"/>
              </w:rPr>
              <w:t>2.17.3</w:t>
            </w:r>
          </w:p>
        </w:tc>
        <w:tc>
          <w:tcPr>
            <w:tcW w:w="8441" w:type="dxa"/>
            <w:vAlign w:val="center"/>
          </w:tcPr>
          <w:p w14:paraId="135899AD">
            <w:pPr>
              <w:spacing w:line="420" w:lineRule="exact"/>
              <w:rPr>
                <w:rFonts w:hint="eastAsia" w:ascii="宋体" w:hAnsi="宋体" w:eastAsia="宋体" w:cs="宋体"/>
                <w:sz w:val="24"/>
              </w:rPr>
            </w:pPr>
            <w:r>
              <w:rPr>
                <w:rFonts w:hint="eastAsia" w:ascii="宋体" w:hAnsi="宋体" w:eastAsia="宋体" w:cs="宋体"/>
                <w:sz w:val="24"/>
              </w:rPr>
              <w:t>1、乙方在提供服装的同时，须根据磋商文件要求，提供具有资质的专业检测机构出具的合格的检测报告，检测报告须根据各工作服需求的面料特性须含有面料材质、内在质量、功能性及环保等主要技术指标（如纤维含量、纱支、克重、甲醛含量、PH值、异味、可分解致癌芳香胺染料、色牢度、起毛起球、耐磨性能、撕破强力等），相关技术指标应达到或优于项目需求及国家纺织品基本</w:t>
            </w:r>
            <w:r>
              <w:rPr>
                <w:rFonts w:hint="eastAsia" w:ascii="宋体" w:hAnsi="宋体" w:eastAsia="宋体" w:cs="宋体"/>
                <w:sz w:val="24"/>
                <w:szCs w:val="24"/>
              </w:rPr>
              <w:t>安全技术规范的要求。</w:t>
            </w:r>
            <w:r>
              <w:rPr>
                <w:rFonts w:hint="eastAsia" w:ascii="宋体" w:hAnsi="宋体" w:eastAsia="宋体" w:cs="宋体"/>
                <w:sz w:val="24"/>
              </w:rPr>
              <w:t>检测费用由乙方自行承担，若无法提供检测报告或提供的检测报告不符合甲方要求的，甲方有权终止合同，造成的一切损失由乙方承担。</w:t>
            </w:r>
          </w:p>
          <w:p w14:paraId="490C497B">
            <w:pPr>
              <w:spacing w:line="420" w:lineRule="exact"/>
            </w:pPr>
            <w:r>
              <w:rPr>
                <w:rFonts w:hint="eastAsia" w:ascii="宋体" w:hAnsi="宋体" w:eastAsia="宋体" w:cs="宋体"/>
                <w:sz w:val="24"/>
              </w:rPr>
              <w:t>2、乙方所供服装在通过专项验收时，应对由于设计、工艺或材料的缺陷而发生的任何不足或故障负责，并承担由此引起的一切后果。</w:t>
            </w:r>
          </w:p>
          <w:p w14:paraId="776BC008">
            <w:pPr>
              <w:spacing w:line="420" w:lineRule="exact"/>
              <w:rPr>
                <w:rFonts w:hint="eastAsia" w:ascii="宋体" w:hAnsi="宋体" w:eastAsia="宋体" w:cs="宋体"/>
                <w:sz w:val="24"/>
              </w:rPr>
            </w:pPr>
            <w:r>
              <w:rPr>
                <w:rFonts w:hint="eastAsia" w:ascii="宋体" w:hAnsi="宋体" w:eastAsia="宋体" w:cs="宋体"/>
                <w:sz w:val="24"/>
              </w:rPr>
              <w:t>3、对于检测不合格的货物，甲方将无条件退回，乙方承担因此涉及到的所有费用。同时甲方认定为乙方自身的原因而导致的该结果，有权单方面解除采购合同。</w:t>
            </w:r>
          </w:p>
          <w:p w14:paraId="7BB2F6A0">
            <w:pPr>
              <w:spacing w:line="420" w:lineRule="exact"/>
              <w:rPr>
                <w:rFonts w:hint="eastAsia" w:ascii="宋体" w:hAnsi="宋体" w:eastAsia="宋体" w:cs="宋体"/>
                <w:sz w:val="24"/>
              </w:rPr>
            </w:pPr>
            <w:r>
              <w:rPr>
                <w:rFonts w:hint="eastAsia" w:ascii="宋体" w:hAnsi="宋体" w:eastAsia="宋体" w:cs="宋体"/>
                <w:sz w:val="24"/>
              </w:rPr>
              <w:t>4、验收过程中发现产品不符合要求的，甲方有权拒收未通过验收的货物，同时甲方亦有权终止合同，造成的一切损失由乙方承担。</w:t>
            </w:r>
          </w:p>
          <w:p w14:paraId="1BAC64EB">
            <w:pPr>
              <w:spacing w:line="420" w:lineRule="exact"/>
              <w:rPr>
                <w:rFonts w:hint="eastAsia" w:ascii="宋体" w:hAnsi="宋体" w:eastAsia="宋体" w:cs="宋体"/>
                <w:sz w:val="24"/>
              </w:rPr>
            </w:pPr>
            <w:r>
              <w:rPr>
                <w:rFonts w:hint="eastAsia" w:ascii="宋体" w:hAnsi="宋体" w:eastAsia="宋体" w:cs="宋体"/>
                <w:sz w:val="24"/>
              </w:rPr>
              <w:t>5、在甲方收到乙方提供的服装后，甲方位有权送南通市市场监督管理局进行抽样检验，如在抽检过程中成交供应商不能到场配合的，将视甲方为其委托单位配合抽检，并在相关文书签字确认。甲方认为有必要的情况下，可采取公证抽样取证办法。如检验结果不符合磋商文件要求、国家强制标准，甲方有权要求其整改，如整改仍不到位，将视作验收不合格，终止双方合同，款项不予支付，履约保证金不予退还并报相关部门予以处罚。因质量检测发生的所有费用由乙方承担。</w:t>
            </w:r>
          </w:p>
        </w:tc>
      </w:tr>
      <w:tr w14:paraId="00EBDD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36404854">
            <w:pPr>
              <w:spacing w:line="420" w:lineRule="exact"/>
              <w:jc w:val="center"/>
              <w:rPr>
                <w:rFonts w:hint="eastAsia" w:ascii="宋体" w:hAnsi="宋体" w:cs="宋体"/>
                <w:sz w:val="24"/>
              </w:rPr>
            </w:pPr>
            <w:r>
              <w:rPr>
                <w:rFonts w:hint="eastAsia" w:ascii="宋体" w:hAnsi="宋体" w:cs="宋体"/>
                <w:sz w:val="24"/>
              </w:rPr>
              <w:t>2.21.1</w:t>
            </w:r>
          </w:p>
        </w:tc>
        <w:tc>
          <w:tcPr>
            <w:tcW w:w="8441" w:type="dxa"/>
            <w:vAlign w:val="center"/>
          </w:tcPr>
          <w:p w14:paraId="5B23A132">
            <w:pPr>
              <w:spacing w:line="420" w:lineRule="exact"/>
              <w:rPr>
                <w:rFonts w:hint="eastAsia" w:ascii="宋体" w:hAnsi="宋体" w:eastAsia="宋体" w:cs="宋体"/>
                <w:sz w:val="24"/>
              </w:rPr>
            </w:pPr>
            <w:r>
              <w:rPr>
                <w:rFonts w:hint="eastAsia" w:ascii="宋体" w:hAnsi="宋体" w:eastAsia="宋体" w:cs="宋体"/>
                <w:sz w:val="24"/>
              </w:rPr>
              <w:t>本项目不涉及履约保证金。</w:t>
            </w:r>
          </w:p>
        </w:tc>
      </w:tr>
      <w:tr w14:paraId="2581B6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739C2A6B">
            <w:pPr>
              <w:spacing w:line="420" w:lineRule="exact"/>
              <w:jc w:val="center"/>
              <w:rPr>
                <w:rFonts w:hint="eastAsia" w:ascii="宋体" w:hAnsi="宋体" w:cs="宋体"/>
                <w:sz w:val="24"/>
              </w:rPr>
            </w:pPr>
            <w:r>
              <w:rPr>
                <w:rFonts w:hint="eastAsia" w:ascii="宋体" w:hAnsi="宋体" w:cs="宋体"/>
                <w:sz w:val="24"/>
              </w:rPr>
              <w:t>2.21.2</w:t>
            </w:r>
          </w:p>
        </w:tc>
        <w:tc>
          <w:tcPr>
            <w:tcW w:w="8441" w:type="dxa"/>
            <w:vAlign w:val="center"/>
          </w:tcPr>
          <w:p w14:paraId="4914454E">
            <w:pPr>
              <w:spacing w:line="420" w:lineRule="exact"/>
              <w:rPr>
                <w:rFonts w:hint="eastAsia" w:ascii="宋体" w:hAnsi="宋体" w:eastAsia="宋体" w:cs="宋体"/>
                <w:sz w:val="24"/>
              </w:rPr>
            </w:pPr>
            <w:r>
              <w:rPr>
                <w:rFonts w:hint="eastAsia" w:ascii="宋体" w:hAnsi="宋体" w:eastAsia="宋体" w:cs="宋体"/>
                <w:sz w:val="24"/>
              </w:rPr>
              <w:t>1、乙方全部履约合同义务，经甲方验收合格无质量、进度等问题的，甲方位在验收合格后一次性退还履约保证金。</w:t>
            </w:r>
          </w:p>
          <w:p w14:paraId="29B39F13">
            <w:pPr>
              <w:spacing w:line="420" w:lineRule="exact"/>
              <w:rPr>
                <w:rFonts w:hint="eastAsia" w:ascii="宋体" w:hAnsi="宋体" w:eastAsia="宋体" w:cs="宋体"/>
                <w:sz w:val="24"/>
              </w:rPr>
            </w:pPr>
            <w:r>
              <w:rPr>
                <w:rFonts w:hint="eastAsia" w:ascii="宋体" w:hAnsi="宋体" w:eastAsia="宋体" w:cs="宋体"/>
                <w:sz w:val="24"/>
              </w:rPr>
              <w:t>2、发生以下情况的，履约保证金不予退还或部分退还：</w:t>
            </w:r>
          </w:p>
          <w:p w14:paraId="6AEA584B">
            <w:pPr>
              <w:spacing w:line="420" w:lineRule="exact"/>
              <w:rPr>
                <w:rFonts w:hint="eastAsia" w:ascii="宋体" w:hAnsi="宋体" w:eastAsia="宋体" w:cs="宋体"/>
                <w:sz w:val="24"/>
              </w:rPr>
            </w:pPr>
            <w:r>
              <w:rPr>
                <w:rFonts w:hint="eastAsia" w:ascii="宋体" w:hAnsi="宋体" w:eastAsia="宋体" w:cs="宋体"/>
                <w:sz w:val="24"/>
              </w:rPr>
              <w:t>a.签订合同后，乙方不履行合同义务的，甲方有权全额扣除履约保证金，全额不予退还，同时甲方亦有权终止合同，乙方还须承担相应的法律赔偿责任。</w:t>
            </w:r>
          </w:p>
          <w:p w14:paraId="3B4A1E85">
            <w:pPr>
              <w:spacing w:line="420" w:lineRule="exact"/>
              <w:rPr>
                <w:rFonts w:hint="eastAsia" w:ascii="宋体" w:hAnsi="宋体" w:eastAsia="宋体" w:cs="宋体"/>
                <w:sz w:val="24"/>
              </w:rPr>
            </w:pPr>
            <w:r>
              <w:rPr>
                <w:rFonts w:hint="eastAsia" w:ascii="宋体" w:hAnsi="宋体" w:eastAsia="宋体" w:cs="宋体"/>
                <w:sz w:val="24"/>
              </w:rPr>
              <w:t>b.乙方在履约过程中发生违约行为，给甲方造成损失的，甲方有权在乙方缴纳的履约保证金中予以扣款，以弥补甲方经济损失，不足的部分乙方另外补齐。</w:t>
            </w:r>
          </w:p>
        </w:tc>
      </w:tr>
      <w:tr w14:paraId="2A5617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7C33B87E">
            <w:pPr>
              <w:spacing w:line="420" w:lineRule="exact"/>
              <w:jc w:val="center"/>
              <w:rPr>
                <w:rFonts w:hint="eastAsia" w:ascii="宋体" w:hAnsi="宋体" w:cs="宋体"/>
                <w:sz w:val="24"/>
              </w:rPr>
            </w:pPr>
            <w:r>
              <w:rPr>
                <w:rFonts w:hint="eastAsia" w:ascii="宋体" w:hAnsi="宋体" w:cs="宋体"/>
                <w:sz w:val="24"/>
              </w:rPr>
              <w:t>2.22</w:t>
            </w:r>
          </w:p>
        </w:tc>
        <w:tc>
          <w:tcPr>
            <w:tcW w:w="8441" w:type="dxa"/>
            <w:vAlign w:val="center"/>
          </w:tcPr>
          <w:p w14:paraId="6739AAB0">
            <w:pPr>
              <w:spacing w:line="420" w:lineRule="exact"/>
              <w:rPr>
                <w:rFonts w:hint="eastAsia" w:ascii="宋体" w:hAnsi="宋体" w:eastAsia="宋体" w:cs="宋体"/>
                <w:sz w:val="24"/>
              </w:rPr>
            </w:pPr>
            <w:r>
              <w:rPr>
                <w:rFonts w:hint="eastAsia" w:ascii="宋体" w:hAnsi="宋体" w:eastAsia="宋体" w:cs="宋体"/>
                <w:sz w:val="24"/>
              </w:rPr>
              <w:t>合同份数：</w:t>
            </w:r>
            <w:r>
              <w:rPr>
                <w:rFonts w:hint="eastAsia" w:ascii="宋体" w:hAnsi="宋体" w:eastAsia="宋体" w:cs="宋体"/>
                <w:sz w:val="24"/>
                <w:u w:val="single"/>
              </w:rPr>
              <w:t xml:space="preserve"> 肆 </w:t>
            </w:r>
            <w:r>
              <w:rPr>
                <w:rFonts w:hint="eastAsia" w:ascii="宋体" w:hAnsi="宋体" w:eastAsia="宋体" w:cs="宋体"/>
                <w:sz w:val="24"/>
              </w:rPr>
              <w:t>份，采购单位（甲方）执</w:t>
            </w:r>
            <w:r>
              <w:rPr>
                <w:rFonts w:hint="eastAsia" w:ascii="宋体" w:hAnsi="宋体" w:eastAsia="宋体" w:cs="宋体"/>
                <w:sz w:val="24"/>
                <w:u w:val="single"/>
              </w:rPr>
              <w:t xml:space="preserve"> 贰 </w:t>
            </w:r>
            <w:r>
              <w:rPr>
                <w:rFonts w:hint="eastAsia" w:ascii="宋体" w:hAnsi="宋体" w:eastAsia="宋体" w:cs="宋体"/>
                <w:sz w:val="24"/>
              </w:rPr>
              <w:t>份，供应商(乙方）执</w:t>
            </w:r>
            <w:r>
              <w:rPr>
                <w:rFonts w:hint="eastAsia" w:ascii="宋体" w:hAnsi="宋体" w:eastAsia="宋体" w:cs="宋体"/>
                <w:sz w:val="24"/>
                <w:u w:val="single"/>
              </w:rPr>
              <w:t xml:space="preserve"> 贰 </w:t>
            </w:r>
            <w:r>
              <w:rPr>
                <w:rFonts w:hint="eastAsia" w:ascii="宋体" w:hAnsi="宋体" w:eastAsia="宋体" w:cs="宋体"/>
                <w:sz w:val="24"/>
              </w:rPr>
              <w:t>份；每份均具有同等法律效力。</w:t>
            </w:r>
          </w:p>
        </w:tc>
      </w:tr>
    </w:tbl>
    <w:p w14:paraId="43E1A257">
      <w:pPr>
        <w:spacing w:before="156" w:beforeLines="50" w:after="156" w:afterLines="50" w:line="360" w:lineRule="auto"/>
        <w:jc w:val="center"/>
        <w:rPr>
          <w:rFonts w:hint="eastAsia" w:ascii="宋体" w:hAnsi="宋体" w:eastAsia="宋体" w:cs="宋体"/>
          <w:b/>
          <w:bCs/>
          <w:kern w:val="2"/>
          <w:sz w:val="24"/>
        </w:rPr>
      </w:pPr>
      <w:r>
        <w:rPr>
          <w:rFonts w:ascii="宋体" w:hAnsi="宋体"/>
          <w:color w:val="000000"/>
          <w:sz w:val="36"/>
        </w:rPr>
        <w:br w:type="page"/>
      </w:r>
      <w:r>
        <w:rPr>
          <w:rFonts w:hint="eastAsia" w:ascii="宋体" w:hAnsi="宋体" w:eastAsia="宋体" w:cs="宋体"/>
          <w:b/>
          <w:bCs/>
          <w:w w:val="80"/>
          <w:kern w:val="2"/>
          <w:sz w:val="44"/>
          <w:szCs w:val="44"/>
        </w:rPr>
        <w:t>第六部分  响应文件组成</w:t>
      </w:r>
    </w:p>
    <w:p w14:paraId="421DAE02">
      <w:pPr>
        <w:widowControl/>
        <w:snapToGrid w:val="0"/>
        <w:spacing w:line="360" w:lineRule="auto"/>
        <w:ind w:firstLine="472" w:firstLineChars="196"/>
        <w:jc w:val="left"/>
        <w:rPr>
          <w:rFonts w:hint="eastAsia" w:ascii="宋体" w:hAnsi="宋体" w:eastAsia="宋体" w:cs="宋体"/>
          <w:b/>
          <w:bCs/>
          <w:kern w:val="2"/>
          <w:sz w:val="24"/>
        </w:rPr>
      </w:pPr>
    </w:p>
    <w:p w14:paraId="07A96ABB">
      <w:pPr>
        <w:widowControl/>
        <w:snapToGrid w:val="0"/>
        <w:spacing w:line="360" w:lineRule="auto"/>
        <w:ind w:firstLine="472" w:firstLineChars="196"/>
        <w:jc w:val="left"/>
        <w:rPr>
          <w:rFonts w:ascii="宋体" w:hAnsi="Times New Roman" w:eastAsia="宋体"/>
          <w:b/>
          <w:bCs/>
          <w:kern w:val="2"/>
          <w:sz w:val="24"/>
        </w:rPr>
      </w:pPr>
      <w:r>
        <w:rPr>
          <w:rFonts w:hint="eastAsia" w:ascii="宋体" w:hAnsi="宋体" w:eastAsia="宋体" w:cs="宋体"/>
          <w:b/>
          <w:bCs/>
          <w:kern w:val="2"/>
          <w:sz w:val="24"/>
        </w:rPr>
        <w:t>响应文件由资格审查文件、商务技术响应文件、报价响应文件三部分组成。请供应商根据本磋商文件的要求分别制作、密封响应的材料。</w:t>
      </w:r>
    </w:p>
    <w:p w14:paraId="09703FE9">
      <w:pPr>
        <w:snapToGrid w:val="0"/>
        <w:spacing w:line="360" w:lineRule="auto"/>
        <w:ind w:firstLine="496" w:firstLineChars="206"/>
        <w:outlineLvl w:val="1"/>
        <w:rPr>
          <w:rFonts w:hint="eastAsia" w:ascii="宋体" w:hAnsi="宋体" w:eastAsia="宋体" w:cs="宋体"/>
          <w:b/>
          <w:sz w:val="24"/>
        </w:rPr>
      </w:pPr>
      <w:r>
        <w:rPr>
          <w:rFonts w:hint="eastAsia" w:ascii="宋体" w:hAnsi="宋体" w:eastAsia="宋体" w:cs="宋体"/>
          <w:b/>
          <w:sz w:val="24"/>
        </w:rPr>
        <w:t>（一）资格审查文件（单独密封，不能出现报价响应文件的内容）</w:t>
      </w:r>
    </w:p>
    <w:p w14:paraId="3250750F">
      <w:pPr>
        <w:snapToGrid w:val="0"/>
        <w:spacing w:line="360" w:lineRule="auto"/>
        <w:ind w:firstLine="470" w:firstLineChars="196"/>
        <w:jc w:val="left"/>
        <w:textAlignment w:val="baseline"/>
        <w:rPr>
          <w:rFonts w:hint="eastAsia" w:ascii="宋体" w:hAnsi="宋体" w:eastAsia="宋体" w:cs="宋体"/>
          <w:kern w:val="2"/>
          <w:sz w:val="24"/>
        </w:rPr>
      </w:pPr>
      <w:r>
        <w:rPr>
          <w:rFonts w:hint="eastAsia" w:ascii="宋体" w:hAnsi="宋体" w:eastAsia="宋体" w:cs="宋体"/>
          <w:kern w:val="2"/>
          <w:sz w:val="24"/>
        </w:rPr>
        <w:t>1、供应商必须提供有效的营业执照复印件或扫描件。</w:t>
      </w:r>
    </w:p>
    <w:p w14:paraId="53A788C1">
      <w:pPr>
        <w:shd w:val="clear" w:color="auto" w:fill="FFFFFF"/>
        <w:snapToGrid w:val="0"/>
        <w:spacing w:line="360" w:lineRule="auto"/>
        <w:ind w:firstLine="480"/>
        <w:rPr>
          <w:rFonts w:hint="eastAsia" w:ascii="宋体" w:hAnsi="宋体" w:eastAsia="宋体" w:cs="宋体"/>
          <w:color w:val="000000"/>
          <w:sz w:val="24"/>
        </w:rPr>
      </w:pPr>
      <w:r>
        <w:rPr>
          <w:rFonts w:hint="eastAsia" w:ascii="宋体" w:hAnsi="宋体" w:eastAsia="宋体" w:cs="宋体"/>
          <w:kern w:val="2"/>
          <w:sz w:val="24"/>
        </w:rPr>
        <w:t>2、</w:t>
      </w:r>
      <w:r>
        <w:rPr>
          <w:rFonts w:hint="eastAsia" w:ascii="宋体" w:hAnsi="宋体" w:eastAsia="宋体" w:cs="宋体"/>
          <w:color w:val="000000"/>
          <w:sz w:val="24"/>
        </w:rPr>
        <w:t>供应商法定代表人参加的，必须提供法定代表人身份证明（</w:t>
      </w:r>
      <w:r>
        <w:rPr>
          <w:rFonts w:hint="eastAsia" w:ascii="宋体" w:hAnsi="宋体" w:eastAsia="宋体" w:cs="宋体"/>
          <w:sz w:val="24"/>
        </w:rPr>
        <w:t>格式见附件</w:t>
      </w:r>
      <w:r>
        <w:rPr>
          <w:rFonts w:hint="eastAsia" w:ascii="宋体" w:hAnsi="宋体" w:eastAsia="宋体" w:cs="宋体"/>
          <w:color w:val="000000"/>
          <w:sz w:val="24"/>
        </w:rPr>
        <w:t>）；</w:t>
      </w:r>
    </w:p>
    <w:p w14:paraId="5D3638D1">
      <w:pPr>
        <w:snapToGrid w:val="0"/>
        <w:spacing w:line="360" w:lineRule="auto"/>
        <w:ind w:firstLine="470" w:firstLineChars="196"/>
        <w:jc w:val="left"/>
        <w:textAlignment w:val="baseline"/>
        <w:rPr>
          <w:rFonts w:hint="eastAsia" w:ascii="宋体" w:hAnsi="宋体" w:eastAsia="宋体" w:cs="宋体"/>
          <w:kern w:val="2"/>
          <w:sz w:val="24"/>
        </w:rPr>
      </w:pPr>
      <w:r>
        <w:rPr>
          <w:rFonts w:hint="eastAsia" w:ascii="宋体" w:hAnsi="宋体" w:eastAsia="宋体" w:cs="宋体"/>
          <w:color w:val="000000"/>
          <w:sz w:val="24"/>
        </w:rPr>
        <w:t>非法定代表人参加的，必须提供法定代表人签字或盖章的授权委托书（格</w:t>
      </w:r>
      <w:r>
        <w:rPr>
          <w:rFonts w:hint="eastAsia" w:ascii="宋体" w:hAnsi="宋体" w:eastAsia="宋体" w:cs="宋体"/>
          <w:sz w:val="24"/>
        </w:rPr>
        <w:t>式见附件</w:t>
      </w:r>
      <w:r>
        <w:rPr>
          <w:rFonts w:hint="eastAsia" w:ascii="宋体" w:hAnsi="宋体" w:eastAsia="宋体" w:cs="宋体"/>
          <w:color w:val="000000"/>
          <w:sz w:val="24"/>
        </w:rPr>
        <w:t>）。</w:t>
      </w:r>
    </w:p>
    <w:p w14:paraId="042E8890">
      <w:pPr>
        <w:snapToGrid w:val="0"/>
        <w:spacing w:line="360" w:lineRule="auto"/>
        <w:ind w:firstLine="470" w:firstLineChars="196"/>
        <w:jc w:val="left"/>
        <w:textAlignment w:val="baseline"/>
        <w:rPr>
          <w:rFonts w:hint="eastAsia" w:ascii="宋体" w:hAnsi="宋体" w:eastAsia="宋体" w:cs="宋体"/>
          <w:kern w:val="2"/>
          <w:sz w:val="24"/>
        </w:rPr>
      </w:pPr>
      <w:r>
        <w:rPr>
          <w:rFonts w:hint="eastAsia" w:ascii="宋体" w:hAnsi="宋体" w:eastAsia="宋体" w:cs="宋体"/>
          <w:kern w:val="2"/>
          <w:sz w:val="24"/>
        </w:rPr>
        <w:t>3、供应商须提供《供应商信用承诺书》（格式见附件）。</w:t>
      </w:r>
    </w:p>
    <w:p w14:paraId="0839BF9A">
      <w:pPr>
        <w:snapToGrid w:val="0"/>
        <w:spacing w:line="360" w:lineRule="auto"/>
        <w:ind w:firstLine="470" w:firstLineChars="196"/>
        <w:jc w:val="left"/>
        <w:textAlignment w:val="baseline"/>
        <w:rPr>
          <w:rFonts w:hint="eastAsia" w:ascii="宋体" w:hAnsi="宋体" w:eastAsia="宋体" w:cs="宋体"/>
          <w:kern w:val="2"/>
          <w:sz w:val="24"/>
        </w:rPr>
      </w:pPr>
      <w:r>
        <w:rPr>
          <w:rFonts w:hint="eastAsia" w:ascii="宋体" w:hAnsi="宋体" w:eastAsia="宋体" w:cs="宋体"/>
          <w:kern w:val="2"/>
          <w:sz w:val="24"/>
        </w:rPr>
        <w:t>4、供应商具有良好的商业信誉和健全的财务会计制度；具有履行合同所必需的设备和专业技术能力；有依法缴纳税收和社会保障资金的良好记录；参加本次采购活动前三年内，在经营活动中没有重大违法记录</w:t>
      </w:r>
      <w:r>
        <w:rPr>
          <w:rFonts w:ascii="宋体" w:hAnsi="宋体" w:eastAsia="宋体" w:cs="宋体"/>
          <w:kern w:val="2"/>
          <w:sz w:val="24"/>
        </w:rPr>
        <w:t>；法律、行政法规规定的其他条件。须提供：</w:t>
      </w:r>
      <w:r>
        <w:rPr>
          <w:rFonts w:hint="eastAsia" w:ascii="宋体" w:hAnsi="宋体" w:eastAsia="宋体" w:cs="宋体"/>
          <w:kern w:val="2"/>
          <w:sz w:val="24"/>
        </w:rPr>
        <w:t>符合条件的</w:t>
      </w:r>
      <w:r>
        <w:rPr>
          <w:rFonts w:ascii="宋体" w:hAnsi="宋体" w:eastAsia="宋体" w:cs="宋体"/>
          <w:kern w:val="2"/>
          <w:sz w:val="24"/>
        </w:rPr>
        <w:t>声明函</w:t>
      </w:r>
      <w:r>
        <w:rPr>
          <w:rFonts w:hint="eastAsia" w:ascii="宋体" w:hAnsi="宋体" w:eastAsia="宋体" w:cs="宋体"/>
          <w:kern w:val="2"/>
          <w:sz w:val="24"/>
        </w:rPr>
        <w:t>（</w:t>
      </w:r>
      <w:r>
        <w:rPr>
          <w:rFonts w:hint="eastAsia" w:ascii="宋体" w:hAnsi="宋体" w:eastAsia="宋体" w:cs="宋体"/>
          <w:sz w:val="24"/>
        </w:rPr>
        <w:t>格式见附件</w:t>
      </w:r>
      <w:r>
        <w:rPr>
          <w:rFonts w:hint="eastAsia" w:ascii="宋体" w:hAnsi="宋体" w:eastAsia="宋体" w:cs="宋体"/>
          <w:kern w:val="2"/>
          <w:sz w:val="24"/>
        </w:rPr>
        <w:t>）。</w:t>
      </w:r>
    </w:p>
    <w:p w14:paraId="2A782EC5">
      <w:pPr>
        <w:autoSpaceDE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5、未被“信用中国”网站（www.creditchina.gov.cn）列入失信被执行人、重大税收违法案件当事人名单、政府采购严重违法失信行为记录名单</w:t>
      </w:r>
      <w:r>
        <w:rPr>
          <w:rFonts w:hint="eastAsia" w:ascii="宋体" w:hAnsi="宋体" w:eastAsia="宋体" w:cs="宋体"/>
          <w:b/>
          <w:bCs/>
          <w:sz w:val="24"/>
        </w:rPr>
        <w:t>。</w:t>
      </w:r>
    </w:p>
    <w:p w14:paraId="5FA6FB67">
      <w:pPr>
        <w:snapToGrid w:val="0"/>
        <w:spacing w:line="360" w:lineRule="auto"/>
        <w:ind w:firstLine="470" w:firstLineChars="196"/>
        <w:jc w:val="left"/>
        <w:textAlignment w:val="baseline"/>
        <w:rPr>
          <w:rFonts w:hint="eastAsia" w:ascii="宋体" w:hAnsi="宋体" w:eastAsia="宋体" w:cs="宋体"/>
          <w:sz w:val="24"/>
        </w:rPr>
      </w:pPr>
      <w:r>
        <w:rPr>
          <w:rFonts w:hint="eastAsia" w:ascii="宋体" w:hAnsi="宋体" w:eastAsia="宋体" w:cs="宋体"/>
          <w:sz w:val="24"/>
        </w:rPr>
        <w:t>6、本项目专门面向中小企业采购，全部货物产品的制造商应为中小微企业、监狱企业、残疾人福利性单位。须提供《中小企业声明函》（格式附后）、《残疾人福利性单位声明函》（格式附后）或监狱和戒毒企业证明材料（格式附后）。</w:t>
      </w:r>
    </w:p>
    <w:p w14:paraId="24079555">
      <w:pPr>
        <w:snapToGrid w:val="0"/>
        <w:spacing w:line="360" w:lineRule="auto"/>
        <w:ind w:firstLine="470" w:firstLineChars="196"/>
        <w:jc w:val="left"/>
        <w:textAlignment w:val="baseline"/>
        <w:rPr>
          <w:rFonts w:hint="eastAsia" w:ascii="宋体" w:hAnsi="宋体" w:eastAsia="宋体" w:cs="宋体"/>
          <w:sz w:val="24"/>
        </w:rPr>
      </w:pPr>
      <w:r>
        <w:rPr>
          <w:rFonts w:hint="eastAsia" w:ascii="宋体" w:hAnsi="宋体" w:eastAsia="宋体" w:cs="宋体"/>
          <w:sz w:val="24"/>
        </w:rPr>
        <w:t>7、其他需要提交的资格审查证明材料。</w:t>
      </w:r>
    </w:p>
    <w:p w14:paraId="51F89B78">
      <w:pPr>
        <w:snapToGrid w:val="0"/>
        <w:spacing w:line="360" w:lineRule="auto"/>
        <w:ind w:firstLine="482" w:firstLineChars="200"/>
        <w:textAlignment w:val="baseline"/>
        <w:rPr>
          <w:rFonts w:hint="eastAsia" w:ascii="宋体" w:hAnsi="宋体" w:eastAsia="宋体" w:cs="宋体"/>
          <w:b/>
          <w:bCs/>
          <w:kern w:val="2"/>
          <w:sz w:val="24"/>
        </w:rPr>
      </w:pPr>
      <w:r>
        <w:rPr>
          <w:rFonts w:hint="eastAsia" w:ascii="宋体" w:hAnsi="宋体" w:eastAsia="宋体" w:cs="宋体"/>
          <w:b/>
          <w:bCs/>
          <w:kern w:val="2"/>
          <w:sz w:val="24"/>
        </w:rPr>
        <w:t>注：以上材料均需加盖单位公章，要求提供原件查验的，因携带原件不全而由此引起的后果由供应商自负。</w:t>
      </w:r>
    </w:p>
    <w:p w14:paraId="49713045">
      <w:pPr>
        <w:widowControl/>
        <w:snapToGrid w:val="0"/>
        <w:spacing w:line="360" w:lineRule="auto"/>
        <w:ind w:firstLine="482" w:firstLineChars="200"/>
        <w:jc w:val="left"/>
        <w:rPr>
          <w:rFonts w:hint="eastAsia" w:ascii="宋体" w:hAnsi="宋体" w:eastAsia="宋体" w:cs="宋体"/>
          <w:b/>
          <w:sz w:val="24"/>
        </w:rPr>
      </w:pPr>
      <w:r>
        <w:rPr>
          <w:rFonts w:hint="eastAsia" w:ascii="宋体" w:hAnsi="宋体" w:eastAsia="宋体" w:cs="宋体"/>
          <w:b/>
          <w:sz w:val="24"/>
        </w:rPr>
        <w:t>（二）商务技术响应文件（单独密封，不能出现报价响应文件的内容）</w:t>
      </w:r>
    </w:p>
    <w:p w14:paraId="1655B391">
      <w:pPr>
        <w:snapToGrid w:val="0"/>
        <w:spacing w:line="360" w:lineRule="auto"/>
        <w:ind w:firstLine="494" w:firstLineChars="206"/>
        <w:outlineLvl w:val="1"/>
        <w:rPr>
          <w:rFonts w:hint="eastAsia" w:ascii="宋体" w:hAnsi="宋体" w:eastAsia="宋体" w:cs="宋体"/>
          <w:sz w:val="24"/>
        </w:rPr>
      </w:pPr>
      <w:r>
        <w:rPr>
          <w:rFonts w:hint="eastAsia" w:ascii="宋体" w:hAnsi="宋体" w:eastAsia="宋体" w:cs="宋体"/>
          <w:bCs/>
          <w:sz w:val="24"/>
        </w:rPr>
        <w:t>1、</w:t>
      </w:r>
      <w:r>
        <w:rPr>
          <w:rFonts w:hint="eastAsia" w:ascii="宋体" w:hAnsi="宋体" w:eastAsia="宋体" w:cs="宋体"/>
          <w:bCs/>
          <w:sz w:val="24"/>
          <w:lang w:val="zh-CN"/>
        </w:rPr>
        <w:t>供应商情况一览表</w:t>
      </w:r>
      <w:r>
        <w:rPr>
          <w:rFonts w:hint="eastAsia" w:ascii="宋体" w:hAnsi="宋体" w:eastAsia="宋体" w:cs="宋体"/>
          <w:sz w:val="24"/>
        </w:rPr>
        <w:t>（格式见附件）；</w:t>
      </w:r>
    </w:p>
    <w:p w14:paraId="70D675C0">
      <w:pPr>
        <w:snapToGrid w:val="0"/>
        <w:spacing w:line="360" w:lineRule="auto"/>
        <w:ind w:firstLine="494" w:firstLineChars="206"/>
        <w:outlineLvl w:val="1"/>
        <w:rPr>
          <w:rFonts w:hint="eastAsia" w:ascii="宋体" w:hAnsi="宋体" w:eastAsia="宋体" w:cs="宋体"/>
          <w:sz w:val="24"/>
        </w:rPr>
      </w:pPr>
      <w:r>
        <w:rPr>
          <w:rFonts w:hint="eastAsia" w:ascii="宋体" w:hAnsi="宋体" w:eastAsia="宋体" w:cs="宋体"/>
          <w:sz w:val="24"/>
        </w:rPr>
        <w:t>2、商务部分正负偏离表（格式见附件）；</w:t>
      </w:r>
    </w:p>
    <w:p w14:paraId="6E7029CD">
      <w:pPr>
        <w:snapToGrid w:val="0"/>
        <w:spacing w:line="360" w:lineRule="auto"/>
        <w:ind w:firstLine="494" w:firstLineChars="206"/>
        <w:outlineLvl w:val="1"/>
        <w:rPr>
          <w:rFonts w:hint="eastAsia" w:ascii="宋体" w:hAnsi="宋体" w:eastAsia="宋体" w:cs="宋体"/>
          <w:sz w:val="24"/>
        </w:rPr>
      </w:pPr>
      <w:r>
        <w:rPr>
          <w:rFonts w:hint="eastAsia" w:ascii="宋体" w:hAnsi="宋体" w:eastAsia="宋体" w:cs="宋体"/>
          <w:sz w:val="24"/>
        </w:rPr>
        <w:t>3、技术部分正负偏离表（格式见附件）；</w:t>
      </w:r>
    </w:p>
    <w:p w14:paraId="6000A2C5">
      <w:pPr>
        <w:snapToGrid w:val="0"/>
        <w:spacing w:line="360" w:lineRule="auto"/>
        <w:ind w:firstLine="494" w:firstLineChars="206"/>
        <w:outlineLvl w:val="1"/>
        <w:rPr>
          <w:rFonts w:hint="eastAsia" w:ascii="宋体" w:hAnsi="宋体" w:eastAsia="宋体" w:cs="宋体"/>
          <w:sz w:val="24"/>
        </w:rPr>
      </w:pPr>
      <w:r>
        <w:rPr>
          <w:rFonts w:hint="eastAsia" w:ascii="宋体" w:hAnsi="宋体" w:eastAsia="宋体" w:cs="宋体"/>
          <w:sz w:val="24"/>
        </w:rPr>
        <w:t>4、商务技术评分标准中须提供的相关得分佐证材料；</w:t>
      </w:r>
    </w:p>
    <w:p w14:paraId="13713ECE">
      <w:pPr>
        <w:snapToGrid w:val="0"/>
        <w:spacing w:line="360" w:lineRule="auto"/>
        <w:ind w:firstLine="494" w:firstLineChars="206"/>
        <w:outlineLvl w:val="1"/>
      </w:pPr>
      <w:r>
        <w:rPr>
          <w:rFonts w:hint="eastAsia" w:ascii="宋体" w:hAnsi="宋体" w:eastAsia="宋体" w:cs="宋体"/>
          <w:sz w:val="24"/>
        </w:rPr>
        <w:t>5、供应商认为需要提交的其他商务技术材料。</w:t>
      </w:r>
    </w:p>
    <w:p w14:paraId="7A831323">
      <w:pPr>
        <w:widowControl/>
        <w:snapToGrid w:val="0"/>
        <w:spacing w:line="360" w:lineRule="auto"/>
        <w:ind w:firstLine="482" w:firstLineChars="200"/>
        <w:jc w:val="left"/>
        <w:rPr>
          <w:rFonts w:hint="eastAsia" w:ascii="宋体" w:hAnsi="宋体" w:eastAsia="宋体" w:cs="宋体"/>
          <w:sz w:val="24"/>
        </w:rPr>
      </w:pPr>
      <w:r>
        <w:rPr>
          <w:rFonts w:hint="eastAsia" w:ascii="宋体" w:hAnsi="宋体" w:eastAsia="宋体" w:cs="宋体"/>
          <w:b/>
          <w:sz w:val="24"/>
        </w:rPr>
        <w:t>（三）价格响应文件（单独装订密封）</w:t>
      </w:r>
    </w:p>
    <w:p w14:paraId="11822FA9">
      <w:pPr>
        <w:snapToGrid w:val="0"/>
        <w:spacing w:line="360" w:lineRule="auto"/>
        <w:ind w:firstLine="494" w:firstLineChars="206"/>
        <w:outlineLvl w:val="1"/>
        <w:rPr>
          <w:rFonts w:hint="eastAsia" w:ascii="宋体" w:hAnsi="宋体" w:eastAsia="宋体" w:cs="宋体"/>
          <w:sz w:val="24"/>
        </w:rPr>
      </w:pPr>
      <w:r>
        <w:rPr>
          <w:rFonts w:hint="eastAsia" w:ascii="宋体" w:hAnsi="宋体" w:eastAsia="宋体" w:cs="宋体"/>
          <w:sz w:val="24"/>
        </w:rPr>
        <w:t>1、磋商响应报价总表，格式见附件；</w:t>
      </w:r>
    </w:p>
    <w:p w14:paraId="4A6B294E">
      <w:pPr>
        <w:snapToGrid w:val="0"/>
        <w:spacing w:line="360" w:lineRule="auto"/>
        <w:ind w:firstLine="494" w:firstLineChars="206"/>
        <w:outlineLvl w:val="1"/>
        <w:rPr>
          <w:rFonts w:hint="eastAsia" w:ascii="宋体" w:hAnsi="宋体" w:eastAsia="宋体" w:cs="宋体"/>
          <w:sz w:val="24"/>
        </w:rPr>
      </w:pPr>
      <w:r>
        <w:rPr>
          <w:rFonts w:hint="eastAsia" w:ascii="宋体" w:hAnsi="宋体" w:eastAsia="宋体" w:cs="宋体"/>
          <w:sz w:val="24"/>
        </w:rPr>
        <w:t>2、磋商响应首次报价明细表，格式见附件。</w:t>
      </w:r>
    </w:p>
    <w:p w14:paraId="0C1C770C">
      <w:pPr>
        <w:rPr>
          <w:rFonts w:hint="eastAsia" w:ascii="宋体" w:hAnsi="宋体" w:eastAsia="宋体" w:cs="宋体"/>
          <w:sz w:val="24"/>
        </w:rPr>
      </w:pPr>
      <w:r>
        <w:rPr>
          <w:rFonts w:hint="eastAsia" w:ascii="宋体" w:hAnsi="宋体" w:eastAsia="宋体" w:cs="宋体"/>
          <w:sz w:val="24"/>
        </w:rPr>
        <w:br w:type="page"/>
      </w:r>
    </w:p>
    <w:p w14:paraId="3B0FB571">
      <w:pPr>
        <w:rPr>
          <w:rFonts w:ascii="宋体" w:hAnsi="Times New Roman" w:eastAsia="宋体"/>
          <w:b/>
          <w:bCs/>
          <w:kern w:val="2"/>
          <w:sz w:val="28"/>
          <w:szCs w:val="28"/>
        </w:rPr>
      </w:pPr>
      <w:r>
        <w:rPr>
          <w:rFonts w:hint="eastAsia" w:ascii="宋体" w:hAnsi="宋体" w:eastAsia="宋体" w:cs="宋体"/>
          <w:b/>
          <w:bCs/>
          <w:kern w:val="2"/>
          <w:sz w:val="28"/>
          <w:szCs w:val="28"/>
        </w:rPr>
        <w:t>附件：</w:t>
      </w:r>
    </w:p>
    <w:p w14:paraId="64B07EB9">
      <w:pPr>
        <w:adjustRightInd w:val="0"/>
        <w:snapToGrid w:val="0"/>
        <w:spacing w:line="420" w:lineRule="exact"/>
        <w:jc w:val="center"/>
        <w:outlineLvl w:val="1"/>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（封面）</w:t>
      </w:r>
    </w:p>
    <w:p w14:paraId="61FA74C5">
      <w:pPr>
        <w:spacing w:before="312" w:beforeLines="100" w:line="360" w:lineRule="exact"/>
        <w:jc w:val="center"/>
        <w:rPr>
          <w:rFonts w:hint="eastAsia" w:asciiTheme="majorEastAsia" w:hAnsiTheme="majorEastAsia" w:eastAsiaTheme="majorEastAsia" w:cstheme="majorEastAsia"/>
          <w:w w:val="80"/>
          <w:kern w:val="44"/>
          <w:sz w:val="24"/>
        </w:rPr>
      </w:pPr>
    </w:p>
    <w:p w14:paraId="605E832E">
      <w:pPr>
        <w:spacing w:line="360" w:lineRule="auto"/>
        <w:jc w:val="center"/>
        <w:rPr>
          <w:rFonts w:hint="eastAsia" w:asciiTheme="majorEastAsia" w:hAnsiTheme="majorEastAsia" w:eastAsiaTheme="majorEastAsia" w:cstheme="majorEastAsia"/>
          <w:b/>
          <w:bCs/>
          <w:sz w:val="24"/>
        </w:rPr>
      </w:pPr>
      <w:r>
        <w:rPr>
          <w:rFonts w:hint="eastAsia" w:asciiTheme="majorEastAsia" w:hAnsiTheme="majorEastAsia" w:eastAsiaTheme="majorEastAsia" w:cstheme="majorEastAsia"/>
          <w:b/>
          <w:bCs/>
          <w:sz w:val="32"/>
          <w:szCs w:val="32"/>
        </w:rPr>
        <w:t>南通市交通运输综合行政执法支队制服采购项目</w:t>
      </w:r>
    </w:p>
    <w:p w14:paraId="24DB5ED8">
      <w:pPr>
        <w:spacing w:line="360" w:lineRule="auto"/>
        <w:jc w:val="center"/>
        <w:rPr>
          <w:rFonts w:hint="eastAsia" w:asciiTheme="majorEastAsia" w:hAnsiTheme="majorEastAsia" w:eastAsiaTheme="majorEastAsia" w:cstheme="majorEastAsia"/>
          <w:b/>
          <w:bCs/>
          <w:sz w:val="24"/>
        </w:rPr>
      </w:pPr>
    </w:p>
    <w:p w14:paraId="0ED243DD">
      <w:pPr>
        <w:spacing w:line="360" w:lineRule="auto"/>
        <w:jc w:val="center"/>
        <w:rPr>
          <w:rFonts w:hint="eastAsia" w:asciiTheme="majorEastAsia" w:hAnsiTheme="majorEastAsia" w:eastAsiaTheme="majorEastAsia" w:cstheme="majorEastAsia"/>
          <w:b/>
          <w:bCs/>
          <w:sz w:val="24"/>
        </w:rPr>
      </w:pPr>
    </w:p>
    <w:p w14:paraId="33821C06">
      <w:pPr>
        <w:spacing w:line="360" w:lineRule="auto"/>
        <w:jc w:val="center"/>
        <w:rPr>
          <w:rFonts w:hint="eastAsia" w:asciiTheme="majorEastAsia" w:hAnsiTheme="majorEastAsia" w:eastAsiaTheme="majorEastAsia" w:cstheme="majorEastAsia"/>
          <w:b/>
          <w:bCs/>
          <w:sz w:val="24"/>
        </w:rPr>
      </w:pPr>
    </w:p>
    <w:p w14:paraId="2179E880">
      <w:pPr>
        <w:spacing w:line="360" w:lineRule="auto"/>
        <w:jc w:val="center"/>
        <w:rPr>
          <w:rFonts w:ascii="Times New Roman" w:hAnsi="Times New Roman" w:eastAsia="宋体" w:cs="宋体"/>
          <w:b/>
          <w:bCs/>
          <w:kern w:val="2"/>
          <w:sz w:val="36"/>
          <w:szCs w:val="36"/>
        </w:rPr>
      </w:pPr>
      <w:r>
        <w:rPr>
          <w:rFonts w:hint="eastAsia" w:ascii="Times New Roman" w:hAnsi="Times New Roman" w:eastAsia="宋体" w:cs="宋体"/>
          <w:b/>
          <w:bCs/>
          <w:kern w:val="2"/>
          <w:sz w:val="36"/>
          <w:szCs w:val="36"/>
        </w:rPr>
        <w:t>竞争性磋商响应文件</w:t>
      </w:r>
    </w:p>
    <w:p w14:paraId="5CD93391">
      <w:pPr>
        <w:spacing w:line="520" w:lineRule="exact"/>
        <w:jc w:val="center"/>
        <w:rPr>
          <w:rFonts w:hint="eastAsia" w:asciiTheme="majorEastAsia" w:hAnsiTheme="majorEastAsia" w:eastAsiaTheme="majorEastAsia" w:cstheme="majorEastAsia"/>
          <w:sz w:val="24"/>
        </w:rPr>
      </w:pPr>
    </w:p>
    <w:p w14:paraId="139C1CF1">
      <w:pPr>
        <w:spacing w:line="360" w:lineRule="auto"/>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对应竞争性磋商响应文件，相应填写：资格审查文件</w:t>
      </w:r>
    </w:p>
    <w:p w14:paraId="670F062A">
      <w:pPr>
        <w:spacing w:line="360" w:lineRule="auto"/>
        <w:ind w:firstLine="6300" w:firstLineChars="225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商务技术响应文件</w:t>
      </w:r>
    </w:p>
    <w:p w14:paraId="466C7770">
      <w:pPr>
        <w:spacing w:line="360" w:lineRule="auto"/>
        <w:ind w:firstLine="6300" w:firstLineChars="225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价格响应文件</w:t>
      </w:r>
    </w:p>
    <w:p w14:paraId="4A2ED908">
      <w:pPr>
        <w:spacing w:line="360" w:lineRule="exact"/>
        <w:jc w:val="center"/>
        <w:rPr>
          <w:rFonts w:hint="eastAsia" w:asciiTheme="majorEastAsia" w:hAnsiTheme="majorEastAsia" w:eastAsiaTheme="majorEastAsia" w:cstheme="majorEastAsia"/>
          <w:sz w:val="28"/>
          <w:szCs w:val="28"/>
        </w:rPr>
      </w:pPr>
    </w:p>
    <w:p w14:paraId="0248DD7A">
      <w:pPr>
        <w:spacing w:line="360" w:lineRule="exact"/>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8"/>
          <w:szCs w:val="28"/>
        </w:rPr>
        <w:t xml:space="preserve">项目编号：JSXDF2025071101                   </w:t>
      </w:r>
    </w:p>
    <w:p w14:paraId="4065556E">
      <w:pPr>
        <w:spacing w:line="360" w:lineRule="exact"/>
        <w:jc w:val="center"/>
        <w:rPr>
          <w:rFonts w:hint="eastAsia" w:asciiTheme="majorEastAsia" w:hAnsiTheme="majorEastAsia" w:eastAsiaTheme="majorEastAsia" w:cstheme="majorEastAsia"/>
          <w:sz w:val="24"/>
        </w:rPr>
      </w:pPr>
    </w:p>
    <w:p w14:paraId="0A8B3B14">
      <w:pPr>
        <w:spacing w:line="360" w:lineRule="exact"/>
        <w:jc w:val="center"/>
        <w:rPr>
          <w:rFonts w:hint="eastAsia" w:asciiTheme="majorEastAsia" w:hAnsiTheme="majorEastAsia" w:eastAsiaTheme="majorEastAsia" w:cstheme="majorEastAsia"/>
          <w:sz w:val="24"/>
        </w:rPr>
      </w:pPr>
    </w:p>
    <w:p w14:paraId="1A6617C7">
      <w:pPr>
        <w:spacing w:line="360" w:lineRule="exact"/>
        <w:jc w:val="center"/>
        <w:rPr>
          <w:rFonts w:hint="eastAsia" w:asciiTheme="majorEastAsia" w:hAnsiTheme="majorEastAsia" w:eastAsiaTheme="majorEastAsia" w:cstheme="majorEastAsia"/>
          <w:sz w:val="24"/>
        </w:rPr>
      </w:pPr>
    </w:p>
    <w:p w14:paraId="59AAF8E5">
      <w:pPr>
        <w:spacing w:line="360" w:lineRule="exact"/>
        <w:jc w:val="center"/>
        <w:rPr>
          <w:rFonts w:hint="eastAsia" w:asciiTheme="majorEastAsia" w:hAnsiTheme="majorEastAsia" w:eastAsiaTheme="majorEastAsia" w:cstheme="majorEastAsia"/>
          <w:sz w:val="24"/>
        </w:rPr>
      </w:pPr>
    </w:p>
    <w:p w14:paraId="0F1B4D99">
      <w:pPr>
        <w:spacing w:line="360" w:lineRule="exact"/>
        <w:jc w:val="center"/>
        <w:rPr>
          <w:rFonts w:hint="eastAsia" w:asciiTheme="majorEastAsia" w:hAnsiTheme="majorEastAsia" w:eastAsiaTheme="majorEastAsia" w:cstheme="majorEastAsia"/>
          <w:sz w:val="24"/>
        </w:rPr>
      </w:pPr>
    </w:p>
    <w:p w14:paraId="257CA958">
      <w:pPr>
        <w:spacing w:line="360" w:lineRule="exact"/>
        <w:jc w:val="center"/>
        <w:rPr>
          <w:rFonts w:hint="eastAsia" w:asciiTheme="majorEastAsia" w:hAnsiTheme="majorEastAsia" w:eastAsiaTheme="majorEastAsia" w:cstheme="majorEastAsia"/>
          <w:sz w:val="24"/>
        </w:rPr>
      </w:pPr>
    </w:p>
    <w:p w14:paraId="3A7968BD">
      <w:pPr>
        <w:spacing w:line="360" w:lineRule="exact"/>
        <w:jc w:val="center"/>
        <w:rPr>
          <w:rFonts w:hint="eastAsia" w:asciiTheme="majorEastAsia" w:hAnsiTheme="majorEastAsia" w:eastAsiaTheme="majorEastAsia" w:cstheme="majorEastAsia"/>
          <w:sz w:val="24"/>
        </w:rPr>
      </w:pPr>
    </w:p>
    <w:p w14:paraId="5EB3F758">
      <w:pPr>
        <w:spacing w:line="360" w:lineRule="exact"/>
        <w:jc w:val="center"/>
        <w:rPr>
          <w:rFonts w:hint="eastAsia" w:asciiTheme="majorEastAsia" w:hAnsiTheme="majorEastAsia" w:eastAsiaTheme="majorEastAsia" w:cstheme="majorEastAsia"/>
          <w:sz w:val="24"/>
        </w:rPr>
      </w:pPr>
    </w:p>
    <w:p w14:paraId="3924DF42">
      <w:pPr>
        <w:spacing w:line="360" w:lineRule="exact"/>
        <w:rPr>
          <w:rFonts w:hint="eastAsia" w:asciiTheme="majorEastAsia" w:hAnsiTheme="majorEastAsia" w:eastAsiaTheme="majorEastAsia" w:cstheme="majorEastAsia"/>
          <w:sz w:val="24"/>
        </w:rPr>
      </w:pPr>
    </w:p>
    <w:p w14:paraId="5695BD38">
      <w:pPr>
        <w:spacing w:line="360" w:lineRule="exact"/>
        <w:jc w:val="center"/>
        <w:rPr>
          <w:rFonts w:hint="eastAsia" w:asciiTheme="majorEastAsia" w:hAnsiTheme="majorEastAsia" w:eastAsiaTheme="majorEastAsia" w:cstheme="majorEastAsia"/>
          <w:sz w:val="24"/>
        </w:rPr>
      </w:pPr>
    </w:p>
    <w:p w14:paraId="4988E9CE">
      <w:pPr>
        <w:spacing w:line="360" w:lineRule="exact"/>
        <w:jc w:val="center"/>
        <w:rPr>
          <w:rFonts w:hint="eastAsia" w:asciiTheme="majorEastAsia" w:hAnsiTheme="majorEastAsia" w:eastAsiaTheme="majorEastAsia" w:cstheme="majorEastAsia"/>
          <w:sz w:val="24"/>
        </w:rPr>
      </w:pPr>
    </w:p>
    <w:p w14:paraId="247E6339">
      <w:pPr>
        <w:rPr>
          <w:rFonts w:hint="eastAsia" w:asciiTheme="majorEastAsia" w:hAnsiTheme="majorEastAsia" w:eastAsiaTheme="majorEastAsia" w:cstheme="majorEastAsia"/>
          <w:sz w:val="24"/>
        </w:rPr>
      </w:pPr>
    </w:p>
    <w:p w14:paraId="1FB13DF4">
      <w:pPr>
        <w:spacing w:line="360" w:lineRule="exact"/>
        <w:jc w:val="center"/>
        <w:rPr>
          <w:rFonts w:hint="eastAsia" w:asciiTheme="majorEastAsia" w:hAnsiTheme="majorEastAsia" w:eastAsiaTheme="majorEastAsia" w:cstheme="majorEastAsia"/>
          <w:sz w:val="30"/>
          <w:szCs w:val="30"/>
        </w:rPr>
      </w:pPr>
    </w:p>
    <w:p w14:paraId="6DA26E9D">
      <w:pPr>
        <w:adjustRightInd w:val="0"/>
        <w:snapToGrid w:val="0"/>
        <w:spacing w:line="480" w:lineRule="auto"/>
        <w:jc w:val="center"/>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供应商：供应商全称（单位盖章）</w:t>
      </w:r>
    </w:p>
    <w:p w14:paraId="0B7A66FD">
      <w:pPr>
        <w:jc w:val="center"/>
        <w:rPr>
          <w:rFonts w:hint="eastAsia" w:asciiTheme="majorEastAsia" w:hAnsiTheme="majorEastAsia" w:eastAsiaTheme="majorEastAsia" w:cstheme="majorEastAsia"/>
          <w:b/>
          <w:color w:val="000000"/>
          <w:sz w:val="30"/>
          <w:szCs w:val="30"/>
        </w:rPr>
      </w:pPr>
      <w:r>
        <w:rPr>
          <w:rFonts w:hint="eastAsia" w:asciiTheme="majorEastAsia" w:hAnsiTheme="majorEastAsia" w:eastAsiaTheme="majorEastAsia" w:cstheme="majorEastAsia"/>
          <w:sz w:val="30"/>
          <w:szCs w:val="30"/>
        </w:rPr>
        <w:t>二〇二五年  月  日</w:t>
      </w:r>
    </w:p>
    <w:p w14:paraId="71CDA564">
      <w:pPr>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br w:type="page"/>
      </w:r>
      <w:r>
        <w:rPr>
          <w:rFonts w:hint="eastAsia" w:ascii="宋体" w:hAnsi="宋体" w:eastAsia="宋体" w:cs="宋体"/>
          <w:b/>
          <w:color w:val="000000"/>
          <w:sz w:val="28"/>
          <w:szCs w:val="28"/>
        </w:rPr>
        <w:t>1、法定代表人身份证明</w:t>
      </w:r>
    </w:p>
    <w:p w14:paraId="794ED0FB">
      <w:pPr>
        <w:snapToGrid w:val="0"/>
        <w:spacing w:line="520" w:lineRule="exact"/>
        <w:jc w:val="center"/>
        <w:textAlignment w:val="baseline"/>
        <w:rPr>
          <w:rFonts w:hint="eastAsia" w:ascii="宋体" w:hAnsi="宋体" w:eastAsia="宋体" w:cs="宋体"/>
          <w:color w:val="000000"/>
          <w:sz w:val="24"/>
        </w:rPr>
      </w:pPr>
    </w:p>
    <w:p w14:paraId="5FB41D80">
      <w:pPr>
        <w:snapToGrid w:val="0"/>
        <w:spacing w:line="360" w:lineRule="auto"/>
        <w:ind w:firstLine="480" w:firstLineChars="200"/>
        <w:textAlignment w:val="baseline"/>
        <w:rPr>
          <w:rFonts w:hint="eastAsia" w:ascii="宋体" w:hAnsi="宋体" w:eastAsia="宋体" w:cs="宋体"/>
          <w:kern w:val="2"/>
          <w:sz w:val="24"/>
          <w:u w:val="single"/>
        </w:rPr>
      </w:pPr>
      <w:r>
        <w:rPr>
          <w:rFonts w:hint="eastAsia" w:ascii="宋体" w:hAnsi="宋体" w:eastAsia="宋体" w:cs="宋体"/>
          <w:kern w:val="2"/>
          <w:sz w:val="24"/>
          <w:u w:val="single"/>
        </w:rPr>
        <w:t>南通市交通运输综合行政执法支队：</w:t>
      </w:r>
    </w:p>
    <w:p w14:paraId="1BDC9C22">
      <w:pPr>
        <w:snapToGrid w:val="0"/>
        <w:spacing w:line="360" w:lineRule="auto"/>
        <w:ind w:firstLine="960" w:firstLineChars="400"/>
        <w:textAlignment w:val="baseline"/>
        <w:rPr>
          <w:rFonts w:hint="eastAsia" w:ascii="宋体" w:hAnsi="宋体" w:eastAsia="宋体" w:cs="宋体"/>
          <w:sz w:val="24"/>
        </w:rPr>
      </w:pPr>
      <w:r>
        <w:rPr>
          <w:rFonts w:hint="eastAsia" w:ascii="宋体" w:hAnsi="宋体" w:eastAsia="宋体" w:cs="宋体"/>
          <w:sz w:val="24"/>
          <w:u w:val="single" w:color="000000"/>
        </w:rPr>
        <w:t>　　　　　</w:t>
      </w:r>
      <w:r>
        <w:rPr>
          <w:rFonts w:hint="eastAsia" w:ascii="宋体" w:hAnsi="宋体" w:eastAsia="宋体" w:cs="宋体"/>
          <w:sz w:val="24"/>
        </w:rPr>
        <w:t>（先生／女士）现任我单位</w:t>
      </w:r>
      <w:r>
        <w:rPr>
          <w:rFonts w:hint="eastAsia" w:ascii="宋体" w:hAnsi="宋体" w:eastAsia="宋体" w:cs="宋体"/>
          <w:sz w:val="24"/>
          <w:u w:val="single" w:color="000000"/>
        </w:rPr>
        <w:t>　　　　 　　　</w:t>
      </w:r>
      <w:r>
        <w:rPr>
          <w:rFonts w:hint="eastAsia" w:ascii="宋体" w:hAnsi="宋体" w:eastAsia="宋体" w:cs="宋体"/>
          <w:sz w:val="24"/>
        </w:rPr>
        <w:t>职务，为法定代表人，特此证明。</w:t>
      </w:r>
    </w:p>
    <w:p w14:paraId="795E75A7">
      <w:pPr>
        <w:snapToGri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身份证号码：</w:t>
      </w:r>
    </w:p>
    <w:p w14:paraId="37D47570">
      <w:pPr>
        <w:snapToGrid w:val="0"/>
        <w:spacing w:line="420" w:lineRule="exact"/>
        <w:ind w:firstLine="480" w:firstLineChars="200"/>
        <w:textAlignment w:val="baseline"/>
        <w:rPr>
          <w:rFonts w:hint="eastAsia" w:ascii="宋体" w:hAnsi="宋体" w:eastAsia="宋体" w:cs="宋体"/>
          <w:sz w:val="24"/>
        </w:rPr>
      </w:pPr>
    </w:p>
    <w:p w14:paraId="6CAA2792">
      <w:pPr>
        <w:snapToGrid w:val="0"/>
        <w:spacing w:line="420" w:lineRule="exact"/>
        <w:ind w:firstLine="480" w:firstLineChars="200"/>
        <w:textAlignment w:val="baseline"/>
        <w:rPr>
          <w:rFonts w:hint="eastAsia" w:ascii="宋体" w:hAnsi="宋体" w:eastAsia="宋体" w:cs="宋体"/>
          <w:sz w:val="24"/>
          <w:u w:val="single"/>
        </w:rPr>
      </w:pPr>
    </w:p>
    <w:p w14:paraId="56BCFCBB">
      <w:pPr>
        <w:snapToGrid w:val="0"/>
        <w:spacing w:line="480" w:lineRule="auto"/>
        <w:ind w:right="79"/>
        <w:textAlignment w:val="baseline"/>
        <w:rPr>
          <w:rFonts w:hint="eastAsia" w:ascii="宋体" w:hAnsi="宋体" w:eastAsia="宋体" w:cs="宋体"/>
          <w:color w:val="000000"/>
          <w:sz w:val="24"/>
        </w:rPr>
      </w:pPr>
      <w:r>
        <w:rPr>
          <w:rFonts w:hint="eastAsia" w:ascii="宋体" w:hAnsi="宋体" w:eastAsia="宋体" w:cs="宋体"/>
          <w:sz w:val="24"/>
        </w:rPr>
        <w:t xml:space="preserve">  供应商：（单位盖章）</w:t>
      </w:r>
    </w:p>
    <w:p w14:paraId="2B3872F8">
      <w:pPr>
        <w:snapToGrid w:val="0"/>
        <w:spacing w:line="420" w:lineRule="exact"/>
        <w:ind w:right="960" w:firstLine="240" w:firstLineChars="100"/>
        <w:textAlignment w:val="baseline"/>
        <w:rPr>
          <w:rFonts w:hint="eastAsia" w:ascii="宋体" w:hAnsi="宋体" w:eastAsia="宋体" w:cs="宋体"/>
          <w:sz w:val="24"/>
        </w:rPr>
      </w:pPr>
      <w:r>
        <w:rPr>
          <w:rFonts w:hint="eastAsia" w:ascii="宋体" w:hAnsi="宋体" w:eastAsia="宋体" w:cs="宋体"/>
          <w:color w:val="000000"/>
          <w:sz w:val="24"/>
          <w:lang w:val="zh-CN"/>
        </w:rPr>
        <w:t>日期：</w:t>
      </w:r>
      <w:r>
        <w:rPr>
          <w:rFonts w:hint="eastAsia" w:ascii="宋体" w:hAnsi="宋体" w:eastAsia="宋体" w:cs="宋体"/>
          <w:color w:val="000000"/>
          <w:sz w:val="24"/>
        </w:rPr>
        <w:t xml:space="preserve"> </w:t>
      </w:r>
      <w:r>
        <w:rPr>
          <w:rFonts w:hint="eastAsia" w:ascii="宋体" w:hAnsi="宋体" w:eastAsia="宋体" w:cs="宋体"/>
          <w:color w:val="000000"/>
          <w:sz w:val="24"/>
          <w:lang w:val="zh-CN"/>
        </w:rPr>
        <w:t>年</w:t>
      </w:r>
      <w:r>
        <w:rPr>
          <w:rFonts w:hint="eastAsia" w:ascii="宋体" w:hAnsi="宋体" w:eastAsia="宋体" w:cs="宋体"/>
          <w:color w:val="000000"/>
          <w:sz w:val="24"/>
        </w:rPr>
        <w:t xml:space="preserve">  </w:t>
      </w:r>
      <w:r>
        <w:rPr>
          <w:rFonts w:hint="eastAsia" w:ascii="宋体" w:hAnsi="宋体" w:eastAsia="宋体" w:cs="宋体"/>
          <w:color w:val="000000"/>
          <w:sz w:val="24"/>
          <w:lang w:val="zh-CN"/>
        </w:rPr>
        <w:t>月</w:t>
      </w:r>
      <w:r>
        <w:rPr>
          <w:rFonts w:hint="eastAsia" w:ascii="宋体" w:hAnsi="宋体" w:eastAsia="宋体" w:cs="宋体"/>
          <w:color w:val="000000"/>
          <w:sz w:val="24"/>
        </w:rPr>
        <w:t xml:space="preserve">  </w:t>
      </w:r>
      <w:r>
        <w:rPr>
          <w:rFonts w:hint="eastAsia" w:ascii="宋体" w:hAnsi="宋体" w:eastAsia="宋体" w:cs="宋体"/>
          <w:color w:val="000000"/>
          <w:sz w:val="24"/>
          <w:lang w:val="zh-CN"/>
        </w:rPr>
        <w:t>日</w:t>
      </w:r>
    </w:p>
    <w:p w14:paraId="2F9F5030">
      <w:pPr>
        <w:snapToGrid w:val="0"/>
        <w:spacing w:line="420" w:lineRule="exact"/>
        <w:ind w:firstLine="484" w:firstLineChars="202"/>
        <w:jc w:val="left"/>
        <w:textAlignment w:val="baseline"/>
        <w:rPr>
          <w:rFonts w:hint="eastAsia" w:ascii="宋体" w:hAnsi="宋体" w:eastAsia="宋体" w:cs="宋体"/>
          <w:sz w:val="24"/>
        </w:rPr>
      </w:pPr>
    </w:p>
    <w:tbl>
      <w:tblPr>
        <w:tblStyle w:val="12"/>
        <w:tblW w:w="7848" w:type="dxa"/>
        <w:tblInd w:w="10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8"/>
      </w:tblGrid>
      <w:tr w14:paraId="355D9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6" w:hRule="atLeast"/>
        </w:trPr>
        <w:tc>
          <w:tcPr>
            <w:tcW w:w="7848" w:type="dxa"/>
          </w:tcPr>
          <w:p w14:paraId="0DD40ED8">
            <w:pPr>
              <w:snapToGrid w:val="0"/>
              <w:spacing w:line="420" w:lineRule="exact"/>
              <w:ind w:firstLine="484" w:firstLineChars="202"/>
              <w:jc w:val="left"/>
              <w:textAlignment w:val="baseline"/>
              <w:rPr>
                <w:rFonts w:hint="eastAsia" w:ascii="宋体" w:hAnsi="宋体" w:eastAsia="宋体" w:cs="宋体"/>
                <w:kern w:val="2"/>
                <w:sz w:val="24"/>
              </w:rPr>
            </w:pPr>
          </w:p>
          <w:p w14:paraId="1B4A19EF">
            <w:pPr>
              <w:snapToGrid w:val="0"/>
              <w:spacing w:line="420" w:lineRule="exact"/>
              <w:ind w:firstLine="484" w:firstLineChars="202"/>
              <w:jc w:val="left"/>
              <w:textAlignment w:val="baseline"/>
              <w:rPr>
                <w:rFonts w:hint="eastAsia" w:ascii="宋体" w:hAnsi="宋体" w:eastAsia="宋体" w:cs="宋体"/>
                <w:kern w:val="2"/>
                <w:sz w:val="24"/>
              </w:rPr>
            </w:pPr>
          </w:p>
          <w:p w14:paraId="04D1B8C6">
            <w:pPr>
              <w:snapToGrid w:val="0"/>
              <w:spacing w:line="420" w:lineRule="exact"/>
              <w:jc w:val="center"/>
              <w:textAlignment w:val="baseline"/>
              <w:rPr>
                <w:rFonts w:hint="eastAsia" w:ascii="宋体" w:hAnsi="宋体" w:eastAsia="宋体" w:cs="宋体"/>
                <w:b/>
                <w:bCs/>
                <w:kern w:val="2"/>
                <w:sz w:val="24"/>
              </w:rPr>
            </w:pPr>
            <w:r>
              <w:rPr>
                <w:rFonts w:hint="eastAsia" w:ascii="宋体" w:hAnsi="宋体" w:eastAsia="宋体" w:cs="宋体"/>
                <w:b/>
                <w:bCs/>
                <w:kern w:val="2"/>
                <w:sz w:val="24"/>
              </w:rPr>
              <w:t>法定代表人身份证</w:t>
            </w:r>
            <w:r>
              <w:rPr>
                <w:rFonts w:hint="eastAsia" w:ascii="宋体" w:hAnsi="宋体" w:eastAsia="宋体" w:cs="宋体"/>
                <w:b/>
                <w:kern w:val="2"/>
                <w:sz w:val="24"/>
              </w:rPr>
              <w:t>（正、反面）</w:t>
            </w:r>
            <w:r>
              <w:rPr>
                <w:rFonts w:hint="eastAsia" w:ascii="宋体" w:hAnsi="宋体" w:eastAsia="宋体" w:cs="宋体"/>
                <w:b/>
                <w:bCs/>
                <w:kern w:val="2"/>
                <w:sz w:val="24"/>
              </w:rPr>
              <w:t>复印件或扫描件并加盖供应商公章</w:t>
            </w:r>
          </w:p>
          <w:p w14:paraId="7CAA3A53">
            <w:pPr>
              <w:snapToGrid w:val="0"/>
              <w:spacing w:line="420" w:lineRule="exact"/>
              <w:jc w:val="center"/>
              <w:textAlignment w:val="baseline"/>
              <w:rPr>
                <w:rFonts w:hint="eastAsia" w:ascii="宋体" w:hAnsi="宋体" w:eastAsia="宋体" w:cs="宋体"/>
                <w:b/>
                <w:bCs/>
                <w:kern w:val="2"/>
                <w:sz w:val="24"/>
              </w:rPr>
            </w:pPr>
          </w:p>
          <w:p w14:paraId="298C7D69">
            <w:pPr>
              <w:snapToGrid w:val="0"/>
              <w:spacing w:line="420" w:lineRule="exact"/>
              <w:jc w:val="center"/>
              <w:textAlignment w:val="baseline"/>
              <w:rPr>
                <w:rFonts w:hint="eastAsia" w:ascii="宋体" w:hAnsi="宋体" w:eastAsia="宋体" w:cs="宋体"/>
                <w:b/>
                <w:bCs/>
                <w:kern w:val="2"/>
                <w:sz w:val="24"/>
              </w:rPr>
            </w:pPr>
          </w:p>
          <w:p w14:paraId="0DB3F758">
            <w:pPr>
              <w:snapToGrid w:val="0"/>
              <w:spacing w:line="420" w:lineRule="exact"/>
              <w:jc w:val="center"/>
              <w:textAlignment w:val="baseline"/>
              <w:rPr>
                <w:rFonts w:hint="eastAsia" w:ascii="宋体" w:hAnsi="宋体" w:eastAsia="宋体" w:cs="宋体"/>
                <w:b/>
                <w:bCs/>
                <w:kern w:val="2"/>
                <w:sz w:val="24"/>
              </w:rPr>
            </w:pPr>
          </w:p>
          <w:p w14:paraId="4C24A869">
            <w:pPr>
              <w:snapToGrid w:val="0"/>
              <w:spacing w:line="420" w:lineRule="exact"/>
              <w:jc w:val="center"/>
              <w:textAlignment w:val="baseline"/>
              <w:rPr>
                <w:rFonts w:hint="eastAsia" w:ascii="宋体" w:hAnsi="宋体" w:eastAsia="宋体" w:cs="宋体"/>
                <w:kern w:val="2"/>
                <w:sz w:val="24"/>
              </w:rPr>
            </w:pPr>
          </w:p>
        </w:tc>
      </w:tr>
    </w:tbl>
    <w:p w14:paraId="633221D7">
      <w:pPr>
        <w:snapToGrid w:val="0"/>
        <w:spacing w:line="420" w:lineRule="exact"/>
        <w:jc w:val="center"/>
        <w:textAlignment w:val="baseline"/>
        <w:rPr>
          <w:rFonts w:hint="eastAsia" w:ascii="宋体" w:hAnsi="宋体" w:eastAsia="宋体" w:cs="宋体"/>
          <w:sz w:val="24"/>
        </w:rPr>
      </w:pPr>
    </w:p>
    <w:p w14:paraId="15490ECC">
      <w:pPr>
        <w:snapToGrid w:val="0"/>
        <w:spacing w:line="420" w:lineRule="exact"/>
        <w:jc w:val="center"/>
        <w:textAlignment w:val="baseline"/>
        <w:rPr>
          <w:rFonts w:hint="eastAsia" w:ascii="宋体" w:hAnsi="宋体" w:eastAsia="宋体" w:cs="宋体"/>
          <w:sz w:val="24"/>
        </w:rPr>
      </w:pPr>
    </w:p>
    <w:p w14:paraId="2EC96BD9">
      <w:pPr>
        <w:snapToGrid w:val="0"/>
        <w:spacing w:line="420" w:lineRule="exact"/>
        <w:jc w:val="center"/>
        <w:textAlignment w:val="baseline"/>
        <w:rPr>
          <w:rFonts w:hint="eastAsia" w:ascii="宋体" w:hAnsi="宋体" w:eastAsia="宋体" w:cs="宋体"/>
          <w:sz w:val="24"/>
        </w:rPr>
      </w:pPr>
    </w:p>
    <w:p w14:paraId="003B1F1B">
      <w:pPr>
        <w:snapToGrid w:val="0"/>
        <w:spacing w:line="360" w:lineRule="auto"/>
        <w:ind w:firstLine="480" w:firstLineChars="200"/>
        <w:jc w:val="left"/>
        <w:textAlignment w:val="baseline"/>
        <w:rPr>
          <w:rFonts w:hint="eastAsia" w:ascii="宋体" w:hAnsi="宋体" w:eastAsia="宋体" w:cs="宋体"/>
          <w:sz w:val="24"/>
        </w:rPr>
      </w:pPr>
      <w:r>
        <w:rPr>
          <w:rFonts w:hint="eastAsia" w:ascii="宋体" w:hAnsi="宋体" w:eastAsia="宋体" w:cs="宋体"/>
          <w:sz w:val="24"/>
        </w:rPr>
        <w:t>注：如为法定代表人参加项目</w:t>
      </w:r>
      <w:r>
        <w:rPr>
          <w:rFonts w:hint="eastAsia" w:ascii="宋体" w:hAnsi="宋体" w:eastAsia="宋体" w:cs="宋体"/>
          <w:color w:val="000000"/>
          <w:sz w:val="24"/>
        </w:rPr>
        <w:t>竞争性磋商响应</w:t>
      </w:r>
      <w:r>
        <w:rPr>
          <w:rFonts w:hint="eastAsia" w:ascii="宋体" w:hAnsi="宋体" w:eastAsia="宋体" w:cs="宋体"/>
          <w:sz w:val="24"/>
        </w:rPr>
        <w:t>，须将身份证原件带至竞争性磋商现场备查。</w:t>
      </w:r>
    </w:p>
    <w:p w14:paraId="7724F5EB">
      <w:pPr>
        <w:snapToGrid w:val="0"/>
        <w:spacing w:line="360" w:lineRule="auto"/>
        <w:ind w:firstLine="480" w:firstLineChars="200"/>
        <w:jc w:val="left"/>
        <w:textAlignment w:val="baseline"/>
        <w:rPr>
          <w:rFonts w:hint="eastAsia" w:ascii="宋体" w:hAnsi="宋体" w:eastAsia="宋体" w:cs="宋体"/>
          <w:sz w:val="24"/>
        </w:rPr>
      </w:pPr>
      <w:r>
        <w:rPr>
          <w:rFonts w:hint="eastAsia" w:ascii="宋体" w:hAnsi="宋体" w:eastAsia="宋体" w:cs="宋体"/>
          <w:sz w:val="24"/>
        </w:rPr>
        <w:t>如为委托代理人参加项目竞争性</w:t>
      </w:r>
      <w:r>
        <w:rPr>
          <w:rFonts w:hint="eastAsia" w:ascii="宋体" w:hAnsi="宋体" w:eastAsia="宋体" w:cs="宋体"/>
          <w:color w:val="000000"/>
          <w:sz w:val="24"/>
        </w:rPr>
        <w:t>磋商</w:t>
      </w:r>
      <w:r>
        <w:rPr>
          <w:rFonts w:hint="eastAsia" w:ascii="宋体" w:hAnsi="宋体" w:eastAsia="宋体" w:cs="宋体"/>
          <w:sz w:val="24"/>
        </w:rPr>
        <w:t>响应，无须将法定代表人身份证原件带至竞争性</w:t>
      </w:r>
      <w:r>
        <w:rPr>
          <w:rFonts w:hint="eastAsia" w:ascii="宋体" w:hAnsi="宋体" w:eastAsia="宋体" w:cs="宋体"/>
          <w:color w:val="000000"/>
          <w:sz w:val="24"/>
        </w:rPr>
        <w:t>磋商</w:t>
      </w:r>
      <w:r>
        <w:rPr>
          <w:rFonts w:hint="eastAsia" w:ascii="宋体" w:hAnsi="宋体" w:eastAsia="宋体" w:cs="宋体"/>
          <w:sz w:val="24"/>
        </w:rPr>
        <w:t>现场备查，仅需提供本证明和授权委托书。</w:t>
      </w:r>
    </w:p>
    <w:p w14:paraId="5FFB3188">
      <w:pPr>
        <w:snapToGrid w:val="0"/>
        <w:textAlignment w:val="baseline"/>
        <w:rPr>
          <w:rFonts w:hint="eastAsia" w:ascii="宋体" w:hAnsi="宋体" w:eastAsia="宋体" w:cs="宋体"/>
          <w:b/>
          <w:sz w:val="24"/>
        </w:rPr>
      </w:pPr>
      <w:r>
        <w:rPr>
          <w:rFonts w:hint="eastAsia" w:ascii="宋体" w:hAnsi="宋体" w:eastAsia="宋体" w:cs="宋体"/>
          <w:b/>
          <w:sz w:val="24"/>
        </w:rPr>
        <w:br w:type="textWrapping"/>
      </w:r>
    </w:p>
    <w:p w14:paraId="42A80BB1">
      <w:pPr>
        <w:snapToGrid w:val="0"/>
        <w:spacing w:line="520" w:lineRule="exact"/>
        <w:jc w:val="center"/>
        <w:textAlignment w:val="baseline"/>
        <w:rPr>
          <w:rFonts w:hint="eastAsia" w:ascii="宋体" w:hAnsi="宋体" w:eastAsia="宋体" w:cs="宋体"/>
          <w:b/>
          <w:sz w:val="24"/>
        </w:rPr>
      </w:pPr>
      <w:r>
        <w:rPr>
          <w:rFonts w:hint="eastAsia" w:ascii="宋体" w:hAnsi="宋体" w:cs="宋体"/>
          <w:b/>
          <w:sz w:val="24"/>
        </w:rPr>
        <w:br w:type="page"/>
      </w:r>
      <w:r>
        <w:rPr>
          <w:rFonts w:hint="eastAsia" w:ascii="宋体" w:hAnsi="宋体" w:eastAsia="宋体" w:cs="宋体"/>
          <w:b/>
          <w:sz w:val="28"/>
          <w:szCs w:val="28"/>
        </w:rPr>
        <w:t>2、授权委托书</w:t>
      </w:r>
    </w:p>
    <w:p w14:paraId="43D5649C">
      <w:pPr>
        <w:snapToGrid w:val="0"/>
        <w:spacing w:line="520" w:lineRule="exact"/>
        <w:jc w:val="center"/>
        <w:textAlignment w:val="baseline"/>
        <w:rPr>
          <w:rFonts w:hint="eastAsia" w:ascii="宋体" w:hAnsi="宋体" w:eastAsia="宋体" w:cs="宋体"/>
          <w:bCs/>
          <w:color w:val="000000"/>
          <w:sz w:val="24"/>
        </w:rPr>
      </w:pPr>
      <w:r>
        <w:rPr>
          <w:rFonts w:hint="eastAsia" w:ascii="宋体" w:hAnsi="宋体" w:eastAsia="宋体" w:cs="宋体"/>
          <w:bCs/>
          <w:color w:val="000000"/>
          <w:sz w:val="24"/>
        </w:rPr>
        <w:t>（如委托代理人参加磋商，须出示此证明）</w:t>
      </w:r>
    </w:p>
    <w:p w14:paraId="6C81904F">
      <w:pPr>
        <w:snapToGrid w:val="0"/>
        <w:spacing w:line="520" w:lineRule="exact"/>
        <w:jc w:val="center"/>
        <w:textAlignment w:val="baseline"/>
        <w:rPr>
          <w:rFonts w:hint="eastAsia" w:ascii="宋体" w:hAnsi="宋体" w:eastAsia="宋体" w:cs="宋体"/>
          <w:bCs/>
          <w:color w:val="000000"/>
          <w:sz w:val="24"/>
        </w:rPr>
      </w:pPr>
    </w:p>
    <w:p w14:paraId="418A0628">
      <w:pPr>
        <w:snapToGrid w:val="0"/>
        <w:spacing w:line="360" w:lineRule="auto"/>
        <w:textAlignment w:val="baseline"/>
        <w:rPr>
          <w:rFonts w:hint="eastAsia" w:ascii="宋体" w:hAnsi="宋体" w:eastAsia="宋体" w:cs="宋体"/>
          <w:kern w:val="2"/>
          <w:sz w:val="24"/>
          <w:u w:val="single"/>
        </w:rPr>
      </w:pPr>
      <w:r>
        <w:rPr>
          <w:rFonts w:hint="eastAsia" w:ascii="宋体" w:hAnsi="宋体" w:eastAsia="宋体" w:cs="宋体"/>
          <w:kern w:val="2"/>
          <w:sz w:val="24"/>
          <w:u w:val="single"/>
        </w:rPr>
        <w:t>南通市交通运输综合行政执法支队：</w:t>
      </w:r>
    </w:p>
    <w:p w14:paraId="671B1641">
      <w:pPr>
        <w:snapToGrid w:val="0"/>
        <w:spacing w:line="360" w:lineRule="auto"/>
        <w:ind w:firstLine="484" w:firstLineChars="202"/>
        <w:textAlignment w:val="baseline"/>
        <w:rPr>
          <w:rFonts w:hint="eastAsia" w:ascii="宋体" w:hAnsi="宋体" w:eastAsia="宋体" w:cs="宋体"/>
          <w:sz w:val="24"/>
        </w:rPr>
      </w:pPr>
      <w:r>
        <w:rPr>
          <w:rFonts w:hint="eastAsia" w:ascii="宋体" w:hAnsi="宋体" w:eastAsia="宋体" w:cs="宋体"/>
          <w:sz w:val="24"/>
        </w:rPr>
        <w:t>本授权委托书声明：我</w:t>
      </w:r>
      <w:r>
        <w:rPr>
          <w:rFonts w:hint="eastAsia" w:ascii="宋体" w:hAnsi="宋体" w:eastAsia="宋体" w:cs="宋体"/>
          <w:sz w:val="24"/>
          <w:u w:val="single" w:color="000000"/>
        </w:rPr>
        <w:t xml:space="preserve">　    </w:t>
      </w:r>
      <w:r>
        <w:rPr>
          <w:rFonts w:hint="eastAsia" w:ascii="宋体" w:hAnsi="宋体" w:eastAsia="宋体" w:cs="宋体"/>
          <w:sz w:val="24"/>
        </w:rPr>
        <w:t>（姓名）系</w:t>
      </w:r>
      <w:r>
        <w:rPr>
          <w:rFonts w:hint="eastAsia" w:ascii="宋体" w:hAnsi="宋体" w:eastAsia="宋体" w:cs="宋体"/>
          <w:sz w:val="24"/>
          <w:u w:val="single" w:color="000000"/>
        </w:rPr>
        <w:t xml:space="preserve">　            </w:t>
      </w:r>
      <w:r>
        <w:rPr>
          <w:rFonts w:hint="eastAsia" w:ascii="宋体" w:hAnsi="宋体" w:eastAsia="宋体" w:cs="宋体"/>
          <w:sz w:val="24"/>
        </w:rPr>
        <w:t>（供应商名称）的法定代表人，现授权委托</w:t>
      </w:r>
      <w:r>
        <w:rPr>
          <w:rFonts w:hint="eastAsia" w:ascii="宋体" w:hAnsi="宋体" w:eastAsia="宋体" w:cs="宋体"/>
          <w:sz w:val="24"/>
          <w:u w:val="single" w:color="000000"/>
        </w:rPr>
        <w:t xml:space="preserve">　　     </w:t>
      </w:r>
      <w:r>
        <w:rPr>
          <w:rFonts w:hint="eastAsia" w:ascii="宋体" w:hAnsi="宋体" w:eastAsia="宋体" w:cs="宋体"/>
          <w:sz w:val="24"/>
        </w:rPr>
        <w:t>（姓名）为我公司代理人，以本公司的名义参加本项目的竞争性磋商响应活动。</w:t>
      </w:r>
      <w:r>
        <w:rPr>
          <w:rFonts w:hint="eastAsia" w:ascii="宋体" w:hAnsi="宋体" w:eastAsia="宋体" w:cs="宋体"/>
          <w:bCs/>
          <w:color w:val="000000"/>
          <w:sz w:val="24"/>
        </w:rPr>
        <w:t>委托代理人</w:t>
      </w:r>
      <w:r>
        <w:rPr>
          <w:rFonts w:hint="eastAsia" w:ascii="宋体" w:hAnsi="宋体" w:eastAsia="宋体" w:cs="宋体"/>
          <w:sz w:val="24"/>
        </w:rPr>
        <w:t>在开标、评审磋商活动、合同谈判过程中所签署的一切文件和处理与之有关的一切事务，我均予以承认。</w:t>
      </w:r>
    </w:p>
    <w:p w14:paraId="1531A0C5">
      <w:pPr>
        <w:snapToGrid w:val="0"/>
        <w:spacing w:line="360" w:lineRule="auto"/>
        <w:ind w:firstLine="484" w:firstLineChars="202"/>
        <w:textAlignment w:val="baseline"/>
        <w:rPr>
          <w:rFonts w:hint="eastAsia" w:ascii="宋体" w:hAnsi="宋体" w:eastAsia="宋体" w:cs="宋体"/>
          <w:sz w:val="24"/>
        </w:rPr>
      </w:pPr>
      <w:r>
        <w:rPr>
          <w:rFonts w:hint="eastAsia" w:ascii="宋体" w:hAnsi="宋体" w:eastAsia="宋体" w:cs="宋体"/>
          <w:bCs/>
          <w:color w:val="000000"/>
          <w:sz w:val="24"/>
        </w:rPr>
        <w:t>委托代理人</w:t>
      </w:r>
      <w:r>
        <w:rPr>
          <w:rFonts w:hint="eastAsia" w:ascii="宋体" w:hAnsi="宋体" w:eastAsia="宋体" w:cs="宋体"/>
          <w:sz w:val="24"/>
        </w:rPr>
        <w:t>无转委权。特此委托。</w:t>
      </w:r>
    </w:p>
    <w:p w14:paraId="2BF16149">
      <w:pPr>
        <w:snapToGrid w:val="0"/>
        <w:spacing w:line="360" w:lineRule="auto"/>
        <w:textAlignment w:val="baseline"/>
        <w:rPr>
          <w:rFonts w:hint="eastAsia" w:ascii="宋体" w:hAnsi="宋体" w:cs="宋体"/>
          <w:sz w:val="24"/>
          <w:szCs w:val="24"/>
        </w:rPr>
      </w:pPr>
    </w:p>
    <w:p w14:paraId="662DFE71">
      <w:pPr>
        <w:snapToGrid w:val="0"/>
        <w:spacing w:line="360" w:lineRule="auto"/>
        <w:ind w:firstLine="972" w:firstLineChars="405"/>
        <w:textAlignment w:val="baseline"/>
        <w:rPr>
          <w:rFonts w:hint="eastAsia" w:ascii="宋体" w:hAnsi="宋体" w:eastAsia="宋体" w:cs="宋体"/>
          <w:sz w:val="24"/>
        </w:rPr>
      </w:pPr>
      <w:r>
        <w:rPr>
          <w:rFonts w:hint="eastAsia" w:ascii="宋体" w:hAnsi="宋体" w:eastAsia="宋体" w:cs="宋体"/>
          <w:sz w:val="24"/>
        </w:rPr>
        <w:t>法定代表人签字：</w:t>
      </w:r>
    </w:p>
    <w:p w14:paraId="0D87157D">
      <w:pPr>
        <w:snapToGrid w:val="0"/>
        <w:spacing w:line="360" w:lineRule="auto"/>
        <w:ind w:firstLine="972" w:firstLineChars="405"/>
        <w:textAlignment w:val="baseline"/>
        <w:rPr>
          <w:rFonts w:hint="eastAsia" w:ascii="宋体" w:hAnsi="宋体" w:eastAsia="宋体" w:cs="宋体"/>
          <w:sz w:val="24"/>
        </w:rPr>
      </w:pPr>
      <w:r>
        <w:rPr>
          <w:rFonts w:hint="eastAsia" w:ascii="宋体" w:hAnsi="宋体" w:eastAsia="宋体" w:cs="宋体"/>
          <w:bCs/>
          <w:color w:val="000000"/>
          <w:sz w:val="24"/>
        </w:rPr>
        <w:t>委托代理人</w:t>
      </w:r>
      <w:r>
        <w:rPr>
          <w:rFonts w:hint="eastAsia" w:ascii="宋体" w:hAnsi="宋体" w:eastAsia="宋体" w:cs="宋体"/>
          <w:sz w:val="24"/>
        </w:rPr>
        <w:t>身份证号：</w:t>
      </w:r>
    </w:p>
    <w:p w14:paraId="1250071F">
      <w:pPr>
        <w:snapToGrid w:val="0"/>
        <w:spacing w:line="360" w:lineRule="auto"/>
        <w:ind w:firstLine="972" w:firstLineChars="405"/>
        <w:textAlignment w:val="baseline"/>
        <w:rPr>
          <w:rFonts w:hint="eastAsia" w:ascii="宋体" w:hAnsi="宋体" w:eastAsia="宋体" w:cs="宋体"/>
          <w:sz w:val="24"/>
        </w:rPr>
      </w:pPr>
      <w:r>
        <w:rPr>
          <w:rFonts w:hint="eastAsia" w:ascii="宋体" w:hAnsi="宋体" w:eastAsia="宋体" w:cs="宋体"/>
          <w:bCs/>
          <w:color w:val="000000"/>
          <w:sz w:val="24"/>
        </w:rPr>
        <w:t>委托代理人</w:t>
      </w:r>
      <w:r>
        <w:rPr>
          <w:rFonts w:hint="eastAsia" w:ascii="宋体" w:hAnsi="宋体" w:eastAsia="宋体" w:cs="宋体"/>
          <w:sz w:val="24"/>
        </w:rPr>
        <w:t>签字：</w:t>
      </w:r>
    </w:p>
    <w:p w14:paraId="232DF845">
      <w:pPr>
        <w:rPr>
          <w:rFonts w:hint="eastAsia" w:ascii="宋体" w:hAnsi="宋体" w:cs="宋体"/>
          <w:sz w:val="24"/>
          <w:szCs w:val="24"/>
        </w:rPr>
      </w:pPr>
    </w:p>
    <w:p w14:paraId="359A37E6">
      <w:pPr>
        <w:snapToGrid w:val="0"/>
        <w:spacing w:line="480" w:lineRule="auto"/>
        <w:ind w:right="79" w:firstLine="6240" w:firstLineChars="2600"/>
        <w:textAlignment w:val="baseline"/>
        <w:rPr>
          <w:rFonts w:hint="eastAsia" w:ascii="宋体" w:hAnsi="宋体" w:eastAsia="宋体" w:cs="宋体"/>
          <w:color w:val="000000"/>
          <w:sz w:val="24"/>
        </w:rPr>
      </w:pPr>
      <w:r>
        <w:rPr>
          <w:rFonts w:hint="eastAsia" w:ascii="宋体" w:hAnsi="宋体" w:eastAsia="宋体" w:cs="宋体"/>
          <w:sz w:val="24"/>
        </w:rPr>
        <w:t>供应商：（单位盖章）</w:t>
      </w:r>
    </w:p>
    <w:p w14:paraId="785F3B4F">
      <w:pPr>
        <w:snapToGrid w:val="0"/>
        <w:spacing w:line="420" w:lineRule="exact"/>
        <w:ind w:firstLine="6240" w:firstLineChars="2600"/>
        <w:textAlignment w:val="baseline"/>
        <w:rPr>
          <w:rFonts w:hint="eastAsia" w:ascii="宋体" w:hAnsi="宋体" w:eastAsia="宋体" w:cs="宋体"/>
          <w:sz w:val="24"/>
        </w:rPr>
      </w:pPr>
      <w:r>
        <w:rPr>
          <w:rFonts w:hint="eastAsia" w:ascii="宋体" w:hAnsi="宋体" w:eastAsia="宋体" w:cs="宋体"/>
          <w:color w:val="000000"/>
          <w:sz w:val="24"/>
          <w:lang w:val="zh-CN"/>
        </w:rPr>
        <w:t>日期：</w:t>
      </w:r>
      <w:r>
        <w:rPr>
          <w:rFonts w:hint="eastAsia" w:ascii="宋体" w:hAnsi="宋体" w:eastAsia="宋体" w:cs="宋体"/>
          <w:color w:val="000000"/>
          <w:sz w:val="24"/>
        </w:rPr>
        <w:t xml:space="preserve">  </w:t>
      </w:r>
      <w:r>
        <w:rPr>
          <w:rFonts w:hint="eastAsia" w:ascii="宋体" w:hAnsi="宋体" w:eastAsia="宋体" w:cs="宋体"/>
          <w:color w:val="000000"/>
          <w:sz w:val="24"/>
          <w:lang w:val="zh-CN"/>
        </w:rPr>
        <w:t>年</w:t>
      </w:r>
      <w:r>
        <w:rPr>
          <w:rFonts w:hint="eastAsia" w:ascii="宋体" w:hAnsi="宋体" w:eastAsia="宋体" w:cs="宋体"/>
          <w:color w:val="000000"/>
          <w:sz w:val="24"/>
        </w:rPr>
        <w:t xml:space="preserve">  </w:t>
      </w:r>
      <w:r>
        <w:rPr>
          <w:rFonts w:hint="eastAsia" w:ascii="宋体" w:hAnsi="宋体" w:eastAsia="宋体" w:cs="宋体"/>
          <w:color w:val="000000"/>
          <w:sz w:val="24"/>
          <w:lang w:val="zh-CN"/>
        </w:rPr>
        <w:t>月</w:t>
      </w:r>
      <w:r>
        <w:rPr>
          <w:rFonts w:hint="eastAsia" w:ascii="宋体" w:hAnsi="宋体" w:eastAsia="宋体" w:cs="宋体"/>
          <w:color w:val="000000"/>
          <w:sz w:val="24"/>
        </w:rPr>
        <w:t xml:space="preserve">  </w:t>
      </w:r>
      <w:r>
        <w:rPr>
          <w:rFonts w:hint="eastAsia" w:ascii="宋体" w:hAnsi="宋体" w:eastAsia="宋体" w:cs="宋体"/>
          <w:color w:val="000000"/>
          <w:sz w:val="24"/>
          <w:lang w:val="zh-CN"/>
        </w:rPr>
        <w:t>日</w:t>
      </w:r>
    </w:p>
    <w:p w14:paraId="78732DD9">
      <w:pPr>
        <w:snapToGrid w:val="0"/>
        <w:spacing w:line="420" w:lineRule="exact"/>
        <w:ind w:firstLine="484" w:firstLineChars="202"/>
        <w:jc w:val="left"/>
        <w:textAlignment w:val="baseline"/>
        <w:rPr>
          <w:rFonts w:hint="eastAsia" w:ascii="宋体" w:hAnsi="宋体" w:eastAsia="宋体" w:cs="宋体"/>
          <w:sz w:val="24"/>
        </w:rPr>
      </w:pPr>
    </w:p>
    <w:tbl>
      <w:tblPr>
        <w:tblStyle w:val="12"/>
        <w:tblW w:w="7236" w:type="dxa"/>
        <w:tblInd w:w="10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6"/>
      </w:tblGrid>
      <w:tr w14:paraId="66FFF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236" w:type="dxa"/>
          </w:tcPr>
          <w:p w14:paraId="75B2CA40">
            <w:pPr>
              <w:snapToGrid w:val="0"/>
              <w:spacing w:line="420" w:lineRule="exact"/>
              <w:ind w:firstLine="484" w:firstLineChars="202"/>
              <w:jc w:val="left"/>
              <w:textAlignment w:val="baseline"/>
              <w:rPr>
                <w:rFonts w:hint="eastAsia" w:ascii="宋体" w:hAnsi="宋体" w:eastAsia="宋体" w:cs="宋体"/>
                <w:kern w:val="2"/>
                <w:sz w:val="24"/>
              </w:rPr>
            </w:pPr>
          </w:p>
          <w:p w14:paraId="6705F328">
            <w:pPr>
              <w:snapToGrid w:val="0"/>
              <w:spacing w:line="420" w:lineRule="exact"/>
              <w:jc w:val="center"/>
              <w:textAlignment w:val="baseline"/>
              <w:rPr>
                <w:rFonts w:hint="eastAsia" w:ascii="宋体" w:hAnsi="宋体" w:eastAsia="宋体" w:cs="宋体"/>
                <w:b/>
                <w:bCs/>
                <w:kern w:val="2"/>
                <w:sz w:val="24"/>
              </w:rPr>
            </w:pPr>
            <w:r>
              <w:rPr>
                <w:rFonts w:hint="eastAsia" w:ascii="宋体" w:hAnsi="宋体" w:eastAsia="宋体" w:cs="宋体"/>
                <w:b/>
                <w:bCs/>
                <w:kern w:val="2"/>
                <w:sz w:val="24"/>
              </w:rPr>
              <w:t>委托代理人身份证</w:t>
            </w:r>
            <w:r>
              <w:rPr>
                <w:rFonts w:hint="eastAsia" w:ascii="宋体" w:hAnsi="宋体" w:eastAsia="宋体" w:cs="宋体"/>
                <w:b/>
                <w:kern w:val="2"/>
                <w:sz w:val="24"/>
              </w:rPr>
              <w:t>（正、反面）</w:t>
            </w:r>
            <w:r>
              <w:rPr>
                <w:rFonts w:hint="eastAsia" w:ascii="宋体" w:hAnsi="宋体" w:eastAsia="宋体" w:cs="宋体"/>
                <w:b/>
                <w:bCs/>
                <w:kern w:val="2"/>
                <w:sz w:val="24"/>
              </w:rPr>
              <w:t>复印件或扫描件并加盖供应商公章</w:t>
            </w:r>
          </w:p>
          <w:p w14:paraId="6A4E33C0">
            <w:pPr>
              <w:snapToGrid w:val="0"/>
              <w:spacing w:line="420" w:lineRule="exact"/>
              <w:jc w:val="center"/>
              <w:textAlignment w:val="baseline"/>
              <w:rPr>
                <w:rFonts w:hint="eastAsia" w:ascii="宋体" w:hAnsi="宋体" w:eastAsia="宋体" w:cs="宋体"/>
                <w:b/>
                <w:bCs/>
                <w:kern w:val="2"/>
                <w:sz w:val="24"/>
              </w:rPr>
            </w:pPr>
          </w:p>
          <w:p w14:paraId="55242E02">
            <w:pPr>
              <w:snapToGrid w:val="0"/>
              <w:spacing w:line="420" w:lineRule="exact"/>
              <w:jc w:val="center"/>
              <w:textAlignment w:val="baseline"/>
              <w:rPr>
                <w:rFonts w:hint="eastAsia" w:ascii="宋体" w:hAnsi="宋体" w:eastAsia="宋体" w:cs="宋体"/>
                <w:b/>
                <w:bCs/>
                <w:kern w:val="2"/>
                <w:sz w:val="24"/>
              </w:rPr>
            </w:pPr>
          </w:p>
          <w:p w14:paraId="6805D3B9">
            <w:pPr>
              <w:snapToGrid w:val="0"/>
              <w:spacing w:line="420" w:lineRule="exact"/>
              <w:jc w:val="center"/>
              <w:textAlignment w:val="baseline"/>
              <w:rPr>
                <w:rFonts w:hint="eastAsia" w:ascii="宋体" w:hAnsi="宋体" w:eastAsia="宋体" w:cs="宋体"/>
                <w:kern w:val="2"/>
                <w:sz w:val="24"/>
              </w:rPr>
            </w:pPr>
          </w:p>
          <w:p w14:paraId="4298479C">
            <w:pPr>
              <w:snapToGrid w:val="0"/>
              <w:spacing w:line="420" w:lineRule="exact"/>
              <w:jc w:val="center"/>
              <w:textAlignment w:val="baseline"/>
              <w:rPr>
                <w:rFonts w:hint="eastAsia" w:ascii="宋体" w:hAnsi="宋体" w:eastAsia="宋体" w:cs="宋体"/>
                <w:kern w:val="2"/>
                <w:sz w:val="24"/>
              </w:rPr>
            </w:pPr>
          </w:p>
        </w:tc>
      </w:tr>
    </w:tbl>
    <w:p w14:paraId="04F1DA82">
      <w:pPr>
        <w:snapToGrid w:val="0"/>
        <w:spacing w:line="420" w:lineRule="exact"/>
        <w:jc w:val="center"/>
        <w:textAlignment w:val="baseline"/>
        <w:rPr>
          <w:rFonts w:hint="eastAsia" w:ascii="宋体" w:hAnsi="宋体" w:eastAsia="宋体" w:cs="宋体"/>
          <w:sz w:val="24"/>
        </w:rPr>
      </w:pPr>
    </w:p>
    <w:p w14:paraId="4D587289">
      <w:pPr>
        <w:snapToGrid w:val="0"/>
        <w:spacing w:line="420" w:lineRule="exact"/>
        <w:jc w:val="center"/>
        <w:textAlignment w:val="baseline"/>
        <w:rPr>
          <w:rFonts w:hint="eastAsia" w:ascii="宋体" w:hAnsi="宋体" w:eastAsia="宋体" w:cs="宋体"/>
          <w:sz w:val="24"/>
        </w:rPr>
      </w:pPr>
    </w:p>
    <w:p w14:paraId="552ECC48">
      <w:pPr>
        <w:snapToGrid w:val="0"/>
        <w:spacing w:line="420" w:lineRule="exact"/>
        <w:jc w:val="left"/>
        <w:textAlignment w:val="baseline"/>
        <w:rPr>
          <w:rFonts w:hint="eastAsia" w:ascii="宋体" w:hAnsi="宋体" w:eastAsia="宋体" w:cs="宋体"/>
          <w:sz w:val="24"/>
        </w:rPr>
      </w:pPr>
      <w:r>
        <w:rPr>
          <w:rFonts w:hint="eastAsia" w:ascii="宋体" w:hAnsi="宋体" w:eastAsia="宋体" w:cs="宋体"/>
          <w:sz w:val="24"/>
        </w:rPr>
        <w:t>注：如为委托代理人参加项目竞争性磋商响应，须将身份证原件带至竞争性磋商现场备查。</w:t>
      </w:r>
    </w:p>
    <w:p w14:paraId="7F5FD02D">
      <w:pPr>
        <w:spacing w:before="240" w:line="312" w:lineRule="auto"/>
        <w:jc w:val="center"/>
        <w:rPr>
          <w:rFonts w:hint="eastAsia" w:ascii="宋体" w:hAnsi="宋体" w:eastAsia="宋体" w:cs="宋体"/>
          <w:b/>
          <w:sz w:val="32"/>
          <w:szCs w:val="32"/>
        </w:rPr>
      </w:pPr>
      <w:r>
        <w:rPr>
          <w:rFonts w:hint="eastAsia" w:cs="宋体"/>
          <w:sz w:val="24"/>
        </w:rPr>
        <w:br w:type="page"/>
      </w:r>
      <w:r>
        <w:rPr>
          <w:rFonts w:hint="eastAsia" w:ascii="宋体" w:hAnsi="宋体" w:eastAsia="宋体" w:cs="宋体"/>
          <w:b/>
          <w:bCs/>
          <w:color w:val="000000"/>
          <w:kern w:val="2"/>
          <w:sz w:val="28"/>
          <w:szCs w:val="28"/>
        </w:rPr>
        <w:t>3、</w:t>
      </w:r>
      <w:r>
        <w:rPr>
          <w:rFonts w:hint="eastAsia" w:ascii="宋体" w:hAnsi="宋体" w:eastAsia="宋体" w:cs="宋体"/>
          <w:b/>
          <w:sz w:val="28"/>
          <w:szCs w:val="28"/>
        </w:rPr>
        <w:t>供应商信用承诺书</w:t>
      </w:r>
    </w:p>
    <w:p w14:paraId="19C24F60">
      <w:pPr>
        <w:spacing w:line="360" w:lineRule="auto"/>
        <w:ind w:firstLine="480" w:firstLineChars="200"/>
        <w:rPr>
          <w:rFonts w:hint="eastAsia" w:ascii="宋体" w:hAnsi="宋体" w:eastAsia="宋体" w:cs="宋体"/>
          <w:sz w:val="24"/>
          <w:lang w:val="zh-CN"/>
        </w:rPr>
      </w:pPr>
    </w:p>
    <w:p w14:paraId="4E6BE79F">
      <w:pPr>
        <w:overflowPunct w:val="0"/>
        <w:adjustRightInd w:val="0"/>
        <w:spacing w:line="360" w:lineRule="auto"/>
        <w:ind w:firstLine="420"/>
        <w:jc w:val="left"/>
        <w:textAlignment w:val="baseline"/>
        <w:rPr>
          <w:rFonts w:hint="eastAsia" w:ascii="宋体" w:hAnsi="宋体" w:eastAsia="宋体" w:cs="宋体"/>
          <w:sz w:val="24"/>
        </w:rPr>
      </w:pPr>
      <w:r>
        <w:rPr>
          <w:rFonts w:hint="eastAsia" w:ascii="宋体" w:hAnsi="宋体" w:eastAsia="宋体" w:cs="宋体"/>
          <w:sz w:val="24"/>
        </w:rPr>
        <w:t>为营造公开、公平、公正的采购交易环境，树立诚信守法的供应商形象，本人代表本单位作出以下承诺：</w:t>
      </w:r>
    </w:p>
    <w:p w14:paraId="1CA19F1F">
      <w:pPr>
        <w:overflowPunct w:val="0"/>
        <w:adjustRightInd w:val="0"/>
        <w:spacing w:line="360" w:lineRule="auto"/>
        <w:ind w:firstLine="420"/>
        <w:jc w:val="left"/>
        <w:textAlignment w:val="baseline"/>
        <w:rPr>
          <w:rFonts w:hint="eastAsia" w:ascii="宋体" w:hAnsi="宋体" w:eastAsia="宋体" w:cs="宋体"/>
          <w:sz w:val="24"/>
        </w:rPr>
      </w:pPr>
      <w:r>
        <w:rPr>
          <w:rFonts w:hint="eastAsia" w:ascii="宋体" w:hAnsi="宋体" w:eastAsia="宋体" w:cs="宋体"/>
          <w:sz w:val="24"/>
        </w:rPr>
        <w:t>一、本单位对所提交的单位基本信息、单位负责人、项目负责人、技术负责人、从业资质和资格、业绩、财务状况、信誉等所有资料，均合法、真实、准确、有效，无任何伪造、修改、虚假成分；</w:t>
      </w:r>
    </w:p>
    <w:p w14:paraId="7F62325D">
      <w:pPr>
        <w:overflowPunct w:val="0"/>
        <w:adjustRightInd w:val="0"/>
        <w:spacing w:line="360" w:lineRule="auto"/>
        <w:ind w:firstLine="420"/>
        <w:jc w:val="left"/>
        <w:textAlignment w:val="baseline"/>
        <w:rPr>
          <w:rFonts w:hint="eastAsia" w:ascii="宋体" w:hAnsi="宋体" w:eastAsia="宋体" w:cs="宋体"/>
          <w:sz w:val="24"/>
        </w:rPr>
      </w:pPr>
      <w:r>
        <w:rPr>
          <w:rFonts w:hint="eastAsia" w:ascii="宋体" w:hAnsi="宋体" w:eastAsia="宋体" w:cs="宋体"/>
          <w:sz w:val="24"/>
        </w:rPr>
        <w:t>二、严格依照国家和省、市关于采购等方面的法律、法规、规章、规范性文件，参加交易活动；积极履行社会责任，促进廉政建设；</w:t>
      </w:r>
    </w:p>
    <w:p w14:paraId="75330C46">
      <w:pPr>
        <w:overflowPunct w:val="0"/>
        <w:adjustRightInd w:val="0"/>
        <w:spacing w:line="360" w:lineRule="auto"/>
        <w:ind w:firstLine="420"/>
        <w:jc w:val="left"/>
        <w:textAlignment w:val="baseline"/>
        <w:rPr>
          <w:rFonts w:hint="eastAsia" w:ascii="宋体" w:hAnsi="宋体" w:eastAsia="宋体" w:cs="宋体"/>
          <w:sz w:val="24"/>
        </w:rPr>
      </w:pPr>
      <w:r>
        <w:rPr>
          <w:rFonts w:hint="eastAsia" w:ascii="宋体" w:hAnsi="宋体" w:eastAsia="宋体" w:cs="宋体"/>
          <w:sz w:val="24"/>
        </w:rPr>
        <w:t>三、自我约束、自我管理，守合同、重信用，不参与围标串标、弄虚作假、骗取成交、干扰评标、违约毁约、恶意投诉等行为，主动维护采购活动的良好秩序；</w:t>
      </w:r>
    </w:p>
    <w:p w14:paraId="426AC840">
      <w:pPr>
        <w:overflowPunct w:val="0"/>
        <w:adjustRightInd w:val="0"/>
        <w:spacing w:line="360" w:lineRule="auto"/>
        <w:ind w:firstLine="420"/>
        <w:jc w:val="left"/>
        <w:textAlignment w:val="baseline"/>
        <w:rPr>
          <w:rFonts w:hint="eastAsia" w:ascii="宋体" w:hAnsi="宋体" w:eastAsia="宋体" w:cs="宋体"/>
          <w:sz w:val="24"/>
        </w:rPr>
      </w:pPr>
      <w:r>
        <w:rPr>
          <w:rFonts w:hint="eastAsia" w:ascii="宋体" w:hAnsi="宋体" w:eastAsia="宋体" w:cs="宋体"/>
          <w:sz w:val="24"/>
        </w:rPr>
        <w:t>四、本单位自愿接受有关行政监督部门及相关部门的依法检查。如发生违法违规或不良行为或存在其他法律法规对采购响应行为予以限制的情形，自愿接受有关行政监督部门及相关部门依法给予的行政处罚（处理），并依法承担相应的法律责任；</w:t>
      </w:r>
    </w:p>
    <w:p w14:paraId="15910B9B">
      <w:pPr>
        <w:overflowPunct w:val="0"/>
        <w:adjustRightInd w:val="0"/>
        <w:spacing w:line="360" w:lineRule="auto"/>
        <w:ind w:firstLine="420"/>
        <w:jc w:val="left"/>
        <w:textAlignment w:val="baseline"/>
        <w:rPr>
          <w:rFonts w:hint="eastAsia" w:ascii="宋体" w:hAnsi="宋体" w:eastAsia="宋体" w:cs="宋体"/>
          <w:sz w:val="24"/>
        </w:rPr>
      </w:pPr>
      <w:r>
        <w:rPr>
          <w:rFonts w:hint="eastAsia" w:ascii="宋体" w:hAnsi="宋体" w:eastAsia="宋体" w:cs="宋体"/>
          <w:sz w:val="24"/>
        </w:rPr>
        <w:t>五、自觉接受政府部门、行业组织、社会公众、新闻舆论等监督；</w:t>
      </w:r>
    </w:p>
    <w:p w14:paraId="7876F04E">
      <w:pPr>
        <w:overflowPunct w:val="0"/>
        <w:adjustRightInd w:val="0"/>
        <w:spacing w:line="360" w:lineRule="auto"/>
        <w:ind w:firstLine="420"/>
        <w:jc w:val="left"/>
        <w:textAlignment w:val="baseline"/>
        <w:rPr>
          <w:rFonts w:hint="eastAsia" w:ascii="宋体" w:hAnsi="宋体" w:eastAsia="宋体" w:cs="宋体"/>
          <w:sz w:val="24"/>
        </w:rPr>
      </w:pPr>
      <w:r>
        <w:rPr>
          <w:rFonts w:hint="eastAsia" w:ascii="宋体" w:hAnsi="宋体" w:eastAsia="宋体" w:cs="宋体"/>
          <w:sz w:val="24"/>
        </w:rPr>
        <w:t>六、上述承诺已向本单位员工做了宣传教育。</w:t>
      </w:r>
    </w:p>
    <w:p w14:paraId="05EDC69E">
      <w:pPr>
        <w:spacing w:line="360" w:lineRule="auto"/>
        <w:ind w:firstLine="480" w:firstLineChars="200"/>
        <w:rPr>
          <w:rFonts w:hint="eastAsia" w:ascii="宋体" w:hAnsi="宋体" w:eastAsia="宋体" w:cs="宋体"/>
          <w:b/>
          <w:sz w:val="24"/>
          <w:lang w:val="zh-CN"/>
        </w:rPr>
      </w:pPr>
      <w:r>
        <w:rPr>
          <w:rFonts w:hint="eastAsia" w:ascii="宋体" w:hAnsi="宋体" w:eastAsia="宋体" w:cs="宋体"/>
          <w:sz w:val="24"/>
        </w:rPr>
        <w:t>如有违反上述承诺的不良行为，本单位同意将其予以上网公示。</w:t>
      </w:r>
    </w:p>
    <w:p w14:paraId="0DE94CA1">
      <w:pPr>
        <w:spacing w:line="360" w:lineRule="auto"/>
        <w:rPr>
          <w:rFonts w:hint="eastAsia" w:ascii="宋体" w:hAnsi="宋体" w:eastAsia="宋体" w:cs="宋体"/>
          <w:sz w:val="24"/>
          <w:lang w:val="zh-CN"/>
        </w:rPr>
      </w:pPr>
    </w:p>
    <w:p w14:paraId="4A2D7CED">
      <w:pPr>
        <w:spacing w:line="360" w:lineRule="auto"/>
        <w:ind w:firstLine="4560" w:firstLineChars="1900"/>
        <w:rPr>
          <w:rFonts w:hint="eastAsia" w:ascii="宋体" w:hAnsi="宋体" w:eastAsia="宋体" w:cs="宋体"/>
          <w:sz w:val="24"/>
          <w:lang w:val="zh-CN"/>
        </w:rPr>
      </w:pPr>
    </w:p>
    <w:p w14:paraId="4E1E7207">
      <w:pPr>
        <w:snapToGrid w:val="0"/>
        <w:spacing w:line="360" w:lineRule="auto"/>
        <w:ind w:firstLine="3120" w:firstLineChars="1300"/>
        <w:rPr>
          <w:rFonts w:hint="eastAsia" w:ascii="宋体" w:hAnsi="宋体" w:eastAsia="宋体" w:cs="宋体"/>
          <w:sz w:val="24"/>
          <w:lang w:val="zh-CN"/>
        </w:rPr>
      </w:pPr>
      <w:r>
        <w:rPr>
          <w:rFonts w:hint="eastAsia" w:ascii="宋体" w:hAnsi="宋体" w:eastAsia="宋体" w:cs="宋体"/>
          <w:sz w:val="24"/>
        </w:rPr>
        <w:t>供应商：（单位盖章）</w:t>
      </w:r>
    </w:p>
    <w:p w14:paraId="01095FE5">
      <w:pPr>
        <w:snapToGrid w:val="0"/>
        <w:spacing w:line="360" w:lineRule="auto"/>
        <w:ind w:firstLine="3120" w:firstLineChars="1300"/>
        <w:rPr>
          <w:rFonts w:hint="eastAsia" w:ascii="宋体" w:hAnsi="宋体" w:eastAsia="宋体" w:cs="宋体"/>
          <w:sz w:val="24"/>
        </w:rPr>
      </w:pPr>
      <w:r>
        <w:rPr>
          <w:rFonts w:hint="eastAsia" w:ascii="宋体" w:hAnsi="宋体" w:eastAsia="宋体" w:cs="宋体"/>
          <w:sz w:val="24"/>
        </w:rPr>
        <w:t>法定代表人或委托代理人：（签字或盖章）</w:t>
      </w:r>
    </w:p>
    <w:p w14:paraId="5FB09680">
      <w:pPr>
        <w:snapToGrid w:val="0"/>
        <w:spacing w:line="360" w:lineRule="auto"/>
        <w:jc w:val="center"/>
        <w:rPr>
          <w:rFonts w:hint="eastAsia" w:ascii="宋体" w:hAnsi="宋体" w:eastAsia="宋体" w:cs="宋体"/>
          <w:b/>
          <w:bCs/>
          <w:color w:val="000000"/>
          <w:kern w:val="2"/>
          <w:sz w:val="28"/>
          <w:szCs w:val="28"/>
        </w:rPr>
      </w:pPr>
      <w:r>
        <w:rPr>
          <w:rFonts w:hint="eastAsia" w:ascii="宋体" w:hAnsi="宋体" w:eastAsia="宋体" w:cs="宋体"/>
          <w:sz w:val="24"/>
        </w:rPr>
        <w:t>日期：     年      月     日</w:t>
      </w:r>
    </w:p>
    <w:p w14:paraId="148AA331">
      <w:pPr>
        <w:rPr>
          <w:rFonts w:hint="eastAsia" w:ascii="宋体" w:hAnsi="宋体" w:eastAsia="宋体" w:cs="宋体"/>
          <w:b/>
          <w:bCs/>
          <w:color w:val="000000"/>
          <w:kern w:val="2"/>
          <w:sz w:val="28"/>
          <w:szCs w:val="28"/>
        </w:rPr>
      </w:pPr>
      <w:r>
        <w:rPr>
          <w:rFonts w:hint="eastAsia" w:ascii="宋体" w:hAnsi="宋体" w:eastAsia="宋体" w:cs="宋体"/>
          <w:b/>
          <w:bCs/>
          <w:color w:val="000000"/>
          <w:kern w:val="2"/>
          <w:sz w:val="28"/>
          <w:szCs w:val="28"/>
        </w:rPr>
        <w:br w:type="page"/>
      </w:r>
    </w:p>
    <w:p w14:paraId="25A342F4">
      <w:pPr>
        <w:adjustRightInd w:val="0"/>
        <w:snapToGrid w:val="0"/>
        <w:spacing w:line="520" w:lineRule="exact"/>
        <w:jc w:val="center"/>
        <w:outlineLvl w:val="3"/>
        <w:rPr>
          <w:rFonts w:hint="eastAsia" w:ascii="宋体" w:hAnsi="宋体" w:eastAsia="宋体" w:cs="宋体"/>
          <w:b/>
          <w:bCs/>
          <w:kern w:val="2"/>
          <w:sz w:val="28"/>
          <w:szCs w:val="28"/>
        </w:rPr>
      </w:pPr>
      <w:r>
        <w:rPr>
          <w:rFonts w:hint="eastAsia" w:ascii="宋体" w:hAnsi="宋体" w:eastAsia="宋体" w:cs="宋体"/>
          <w:b/>
          <w:bCs/>
          <w:kern w:val="2"/>
          <w:sz w:val="28"/>
          <w:szCs w:val="28"/>
        </w:rPr>
        <w:t>4、符合条件的声明函</w:t>
      </w:r>
    </w:p>
    <w:p w14:paraId="034C4E4E">
      <w:pPr>
        <w:spacing w:line="460" w:lineRule="exact"/>
        <w:rPr>
          <w:rFonts w:hint="eastAsia" w:ascii="宋体" w:hAnsi="宋体" w:eastAsia="宋体"/>
          <w:b/>
          <w:bCs/>
          <w:kern w:val="2"/>
          <w:sz w:val="44"/>
          <w:szCs w:val="44"/>
        </w:rPr>
      </w:pPr>
    </w:p>
    <w:p w14:paraId="2164BAA3">
      <w:pPr>
        <w:spacing w:line="520" w:lineRule="exact"/>
        <w:ind w:firstLine="480" w:firstLineChars="200"/>
        <w:rPr>
          <w:rFonts w:hint="eastAsia" w:ascii="宋体" w:hAnsi="宋体" w:eastAsia="宋体" w:cs="宋体"/>
          <w:b/>
          <w:bCs/>
          <w:kern w:val="2"/>
          <w:sz w:val="24"/>
          <w:szCs w:val="21"/>
        </w:rPr>
      </w:pPr>
      <w:r>
        <w:rPr>
          <w:rFonts w:hint="eastAsia" w:ascii="宋体" w:hAnsi="宋体" w:eastAsia="宋体" w:cs="宋体"/>
          <w:bCs/>
          <w:kern w:val="2"/>
          <w:sz w:val="24"/>
          <w:szCs w:val="21"/>
        </w:rPr>
        <w:t>我单位参加</w:t>
      </w:r>
      <w:r>
        <w:rPr>
          <w:rFonts w:hint="eastAsia" w:ascii="宋体" w:hAnsi="宋体" w:eastAsia="宋体" w:cs="宋体"/>
          <w:kern w:val="2"/>
          <w:sz w:val="24"/>
          <w:u w:val="single"/>
        </w:rPr>
        <w:t>南通市交通运输综合行政执法支队制服采购项目（项目编号：JSXDF2025071101    )</w:t>
      </w:r>
      <w:r>
        <w:rPr>
          <w:rFonts w:hint="eastAsia" w:ascii="宋体" w:hAnsi="宋体" w:eastAsia="宋体" w:cs="宋体"/>
          <w:kern w:val="2"/>
          <w:sz w:val="24"/>
        </w:rPr>
        <w:t>的</w:t>
      </w:r>
      <w:r>
        <w:rPr>
          <w:rFonts w:hint="eastAsia" w:ascii="宋体" w:hAnsi="宋体" w:eastAsia="宋体" w:cs="宋体"/>
          <w:bCs/>
          <w:kern w:val="2"/>
          <w:sz w:val="24"/>
          <w:szCs w:val="21"/>
        </w:rPr>
        <w:t>磋商响应活动。针对竞争性磋商文件规定做出如下声明：</w:t>
      </w:r>
    </w:p>
    <w:p w14:paraId="3058D0D1">
      <w:pPr>
        <w:numPr>
          <w:ilvl w:val="0"/>
          <w:numId w:val="6"/>
        </w:numPr>
        <w:spacing w:line="520" w:lineRule="exact"/>
        <w:ind w:firstLine="482"/>
        <w:rPr>
          <w:rFonts w:hint="eastAsia" w:ascii="宋体" w:hAnsi="宋体" w:eastAsia="宋体" w:cs="宋体"/>
          <w:kern w:val="2"/>
          <w:sz w:val="24"/>
          <w:szCs w:val="21"/>
        </w:rPr>
      </w:pPr>
      <w:r>
        <w:rPr>
          <w:rFonts w:hint="eastAsia" w:ascii="宋体" w:hAnsi="宋体" w:eastAsia="宋体" w:cs="宋体"/>
          <w:bCs/>
          <w:kern w:val="2"/>
          <w:sz w:val="24"/>
          <w:szCs w:val="21"/>
        </w:rPr>
        <w:t>我单位具有独立承担民事责任的能力；</w:t>
      </w:r>
    </w:p>
    <w:p w14:paraId="5A4FA4FC">
      <w:pPr>
        <w:numPr>
          <w:ilvl w:val="0"/>
          <w:numId w:val="6"/>
        </w:numPr>
        <w:spacing w:line="520" w:lineRule="exact"/>
        <w:ind w:firstLine="482"/>
        <w:rPr>
          <w:rFonts w:hint="eastAsia" w:ascii="宋体" w:hAnsi="宋体" w:eastAsia="宋体" w:cs="宋体"/>
          <w:kern w:val="2"/>
          <w:sz w:val="24"/>
          <w:szCs w:val="21"/>
        </w:rPr>
      </w:pPr>
      <w:r>
        <w:rPr>
          <w:rFonts w:hint="eastAsia" w:ascii="宋体" w:hAnsi="宋体" w:eastAsia="宋体" w:cs="宋体"/>
          <w:kern w:val="2"/>
          <w:sz w:val="24"/>
          <w:szCs w:val="21"/>
        </w:rPr>
        <w:t>我单位具有良好的商业信誉和健全的财务会计制度；</w:t>
      </w:r>
    </w:p>
    <w:p w14:paraId="3C794731">
      <w:pPr>
        <w:numPr>
          <w:ilvl w:val="0"/>
          <w:numId w:val="6"/>
        </w:numPr>
        <w:spacing w:line="520" w:lineRule="exact"/>
        <w:ind w:firstLine="482"/>
        <w:rPr>
          <w:rFonts w:hint="eastAsia" w:ascii="宋体" w:hAnsi="宋体" w:eastAsia="宋体" w:cs="宋体"/>
          <w:kern w:val="2"/>
          <w:sz w:val="24"/>
          <w:szCs w:val="21"/>
        </w:rPr>
      </w:pPr>
      <w:r>
        <w:rPr>
          <w:rFonts w:hint="eastAsia" w:ascii="宋体" w:hAnsi="宋体" w:eastAsia="宋体" w:cs="宋体"/>
          <w:kern w:val="2"/>
          <w:sz w:val="24"/>
          <w:szCs w:val="21"/>
        </w:rPr>
        <w:t>我单位具有履行合同所必需的设备和专业技术能力；</w:t>
      </w:r>
    </w:p>
    <w:p w14:paraId="13ACEF02">
      <w:pPr>
        <w:numPr>
          <w:ilvl w:val="0"/>
          <w:numId w:val="6"/>
        </w:numPr>
        <w:spacing w:line="520" w:lineRule="exact"/>
        <w:ind w:firstLine="482"/>
        <w:rPr>
          <w:rFonts w:hint="eastAsia" w:ascii="宋体" w:hAnsi="宋体" w:eastAsia="宋体" w:cs="宋体"/>
          <w:kern w:val="2"/>
          <w:sz w:val="24"/>
          <w:szCs w:val="21"/>
        </w:rPr>
      </w:pPr>
      <w:r>
        <w:rPr>
          <w:rFonts w:hint="eastAsia" w:ascii="宋体" w:hAnsi="宋体" w:eastAsia="宋体" w:cs="宋体"/>
          <w:kern w:val="2"/>
          <w:sz w:val="24"/>
          <w:szCs w:val="21"/>
        </w:rPr>
        <w:t>我单位有依法缴纳税收和社会保障资金的良好记录；</w:t>
      </w:r>
    </w:p>
    <w:p w14:paraId="6C59C8C9">
      <w:pPr>
        <w:numPr>
          <w:ilvl w:val="0"/>
          <w:numId w:val="6"/>
        </w:numPr>
        <w:spacing w:line="520" w:lineRule="exact"/>
        <w:ind w:firstLine="482"/>
        <w:rPr>
          <w:rFonts w:hint="eastAsia" w:ascii="宋体" w:hAnsi="宋体" w:eastAsia="宋体" w:cs="宋体"/>
          <w:kern w:val="2"/>
          <w:sz w:val="24"/>
          <w:szCs w:val="21"/>
        </w:rPr>
      </w:pPr>
      <w:r>
        <w:rPr>
          <w:rFonts w:hint="eastAsia" w:ascii="宋体" w:hAnsi="宋体" w:eastAsia="宋体" w:cs="宋体"/>
          <w:kern w:val="2"/>
          <w:sz w:val="24"/>
          <w:szCs w:val="21"/>
        </w:rPr>
        <w:t>我单位参加本次采购活动前三年内，在经营活动中没有重大违法记录。</w:t>
      </w:r>
    </w:p>
    <w:p w14:paraId="4B78B58A">
      <w:pPr>
        <w:spacing w:line="520" w:lineRule="exact"/>
        <w:ind w:firstLine="480" w:firstLineChars="200"/>
        <w:rPr>
          <w:rFonts w:hint="eastAsia" w:ascii="宋体" w:hAnsi="宋体" w:eastAsia="宋体" w:cs="宋体"/>
          <w:kern w:val="2"/>
          <w:sz w:val="24"/>
          <w:szCs w:val="21"/>
        </w:rPr>
      </w:pPr>
      <w:r>
        <w:rPr>
          <w:rFonts w:hint="eastAsia" w:ascii="宋体" w:hAnsi="宋体" w:eastAsia="宋体" w:cs="宋体"/>
          <w:kern w:val="2"/>
          <w:sz w:val="24"/>
          <w:szCs w:val="21"/>
        </w:rPr>
        <w:t>注1.供应商在参加本次采购活动前三年内因违法经营被禁止在一定期限内参加政府采购活动，期限届满的，可以参加本次采购活动。2.“较大数额罚款”认定为200万元以上的罚款，法律、行政法规以及国务院有关部门明确规定相关领域“较大数额罚款”标准高于200万元的，从其规定。</w:t>
      </w:r>
    </w:p>
    <w:p w14:paraId="70D945F9">
      <w:pPr>
        <w:numPr>
          <w:ilvl w:val="0"/>
          <w:numId w:val="6"/>
        </w:numPr>
        <w:spacing w:line="520" w:lineRule="exact"/>
        <w:ind w:firstLine="482"/>
        <w:rPr>
          <w:rFonts w:hint="eastAsia" w:ascii="宋体" w:hAnsi="宋体" w:eastAsia="宋体" w:cs="宋体"/>
          <w:kern w:val="2"/>
          <w:sz w:val="24"/>
          <w:szCs w:val="21"/>
        </w:rPr>
      </w:pPr>
      <w:r>
        <w:rPr>
          <w:rFonts w:hint="eastAsia" w:ascii="宋体" w:hAnsi="宋体" w:eastAsia="宋体" w:cs="宋体"/>
          <w:kern w:val="2"/>
          <w:sz w:val="24"/>
          <w:szCs w:val="21"/>
        </w:rPr>
        <w:t>我单位满足法律、行政法规规定的其他条件。</w:t>
      </w:r>
    </w:p>
    <w:p w14:paraId="5A5E4F4D">
      <w:pPr>
        <w:spacing w:line="500" w:lineRule="exact"/>
        <w:ind w:firstLine="482"/>
        <w:rPr>
          <w:rFonts w:hint="eastAsia" w:ascii="宋体" w:hAnsi="宋体" w:eastAsia="宋体" w:cs="宋体"/>
          <w:kern w:val="2"/>
          <w:sz w:val="24"/>
          <w:szCs w:val="21"/>
        </w:rPr>
      </w:pPr>
    </w:p>
    <w:p w14:paraId="6F1521E6">
      <w:pPr>
        <w:tabs>
          <w:tab w:val="left" w:pos="840"/>
          <w:tab w:val="right" w:leader="dot" w:pos="9402"/>
        </w:tabs>
        <w:adjustRightInd w:val="0"/>
        <w:snapToGrid w:val="0"/>
        <w:spacing w:line="360" w:lineRule="auto"/>
        <w:jc w:val="left"/>
        <w:rPr>
          <w:rFonts w:hint="eastAsia" w:ascii="宋体" w:hAnsi="宋体" w:eastAsia="宋体" w:cs="宋体"/>
          <w:caps/>
          <w:w w:val="80"/>
          <w:kern w:val="2"/>
          <w:sz w:val="24"/>
        </w:rPr>
      </w:pPr>
    </w:p>
    <w:p w14:paraId="18C26819">
      <w:pPr>
        <w:rPr>
          <w:rFonts w:ascii="Times New Roman" w:hAnsi="Times New Roman" w:eastAsia="宋体"/>
          <w:kern w:val="2"/>
          <w:szCs w:val="21"/>
        </w:rPr>
      </w:pPr>
    </w:p>
    <w:p w14:paraId="75203E27">
      <w:pPr>
        <w:spacing w:line="360" w:lineRule="auto"/>
        <w:ind w:firstLine="3120" w:firstLineChars="1300"/>
        <w:rPr>
          <w:rFonts w:ascii="Times New Roman" w:hAnsi="Times New Roman" w:eastAsia="宋体"/>
          <w:kern w:val="2"/>
          <w:sz w:val="24"/>
        </w:rPr>
      </w:pPr>
      <w:r>
        <w:rPr>
          <w:rFonts w:hint="eastAsia" w:ascii="Times New Roman" w:hAnsi="Times New Roman" w:eastAsia="宋体" w:cs="宋体"/>
          <w:kern w:val="2"/>
          <w:sz w:val="24"/>
        </w:rPr>
        <w:t>声明人：（公章）</w:t>
      </w:r>
    </w:p>
    <w:p w14:paraId="70FD4B69">
      <w:pPr>
        <w:spacing w:line="360" w:lineRule="auto"/>
        <w:jc w:val="center"/>
        <w:rPr>
          <w:rFonts w:hint="eastAsia" w:ascii="宋体" w:hAnsi="宋体" w:eastAsia="宋体" w:cs="宋体"/>
          <w:kern w:val="2"/>
          <w:sz w:val="24"/>
        </w:rPr>
      </w:pPr>
      <w:r>
        <w:rPr>
          <w:rFonts w:hint="eastAsia" w:ascii="宋体" w:hAnsi="宋体" w:eastAsia="宋体" w:cs="宋体"/>
          <w:kern w:val="2"/>
          <w:sz w:val="24"/>
        </w:rPr>
        <w:t xml:space="preserve">  日期：        年      月     日</w:t>
      </w:r>
    </w:p>
    <w:p w14:paraId="4042F50E">
      <w:pPr>
        <w:rPr>
          <w:rFonts w:hint="eastAsia" w:ascii="宋体" w:hAnsi="宋体" w:eastAsia="宋体" w:cs="宋体"/>
          <w:kern w:val="2"/>
          <w:sz w:val="24"/>
        </w:rPr>
      </w:pPr>
      <w:r>
        <w:rPr>
          <w:rFonts w:hint="eastAsia" w:ascii="宋体" w:hAnsi="宋体" w:eastAsia="宋体" w:cs="宋体"/>
          <w:kern w:val="2"/>
          <w:sz w:val="24"/>
        </w:rPr>
        <w:br w:type="page"/>
      </w:r>
    </w:p>
    <w:p w14:paraId="63BFE1F1">
      <w:pPr>
        <w:snapToGrid w:val="0"/>
        <w:spacing w:line="520" w:lineRule="exact"/>
        <w:ind w:firstLine="562" w:firstLineChars="200"/>
        <w:jc w:val="center"/>
        <w:outlineLvl w:val="3"/>
        <w:rPr>
          <w:rFonts w:hint="eastAsia" w:ascii="宋体" w:hAnsi="宋体" w:eastAsia="宋体" w:cs="宋体"/>
          <w:b/>
          <w:bCs/>
          <w:color w:val="000000"/>
          <w:sz w:val="28"/>
          <w:szCs w:val="28"/>
        </w:rPr>
      </w:pPr>
      <w:r>
        <w:rPr>
          <w:rFonts w:hint="eastAsia" w:ascii="宋体" w:hAnsi="宋体" w:eastAsia="宋体" w:cs="宋体"/>
          <w:b/>
          <w:bCs/>
          <w:kern w:val="2"/>
          <w:sz w:val="28"/>
          <w:szCs w:val="28"/>
        </w:rPr>
        <w:t>5、</w:t>
      </w:r>
      <w:r>
        <w:rPr>
          <w:rFonts w:hint="eastAsia" w:ascii="宋体" w:hAnsi="宋体" w:eastAsia="宋体" w:cs="宋体"/>
          <w:b/>
          <w:bCs/>
          <w:color w:val="000000"/>
          <w:sz w:val="28"/>
          <w:szCs w:val="28"/>
        </w:rPr>
        <w:t>中小企业声明函（格式）</w:t>
      </w:r>
    </w:p>
    <w:p w14:paraId="534BBBCF">
      <w:pPr>
        <w:snapToGrid w:val="0"/>
        <w:spacing w:before="240" w:line="360" w:lineRule="auto"/>
        <w:ind w:firstLine="480" w:firstLineChars="200"/>
        <w:rPr>
          <w:rFonts w:hint="eastAsia" w:ascii="宋体" w:hAnsi="宋体" w:eastAsia="宋体" w:cs="宋体"/>
          <w:sz w:val="24"/>
        </w:rPr>
      </w:pPr>
      <w:r>
        <w:rPr>
          <w:rFonts w:hint="eastAsia" w:ascii="宋体" w:hAnsi="宋体" w:eastAsia="宋体" w:cs="宋体"/>
          <w:sz w:val="24"/>
        </w:rPr>
        <w:t>本公司郑重声明，根据《政府采购促进中小企业发展管理办法》（财库﹝2020﹞46 号）的规定，本公司参加</w:t>
      </w:r>
      <w:r>
        <w:rPr>
          <w:rFonts w:hint="eastAsia" w:ascii="宋体" w:hAnsi="宋体" w:eastAsia="宋体" w:cs="宋体"/>
          <w:kern w:val="2"/>
          <w:sz w:val="24"/>
          <w:u w:val="single"/>
        </w:rPr>
        <w:t>南通市交通运输综合行政执法支队</w:t>
      </w:r>
      <w:r>
        <w:rPr>
          <w:rFonts w:hint="eastAsia" w:ascii="宋体" w:hAnsi="宋体" w:eastAsia="宋体" w:cs="宋体"/>
          <w:sz w:val="24"/>
        </w:rPr>
        <w:t>的</w:t>
      </w:r>
      <w:r>
        <w:rPr>
          <w:rFonts w:hint="eastAsia" w:ascii="宋体" w:hAnsi="宋体" w:eastAsia="宋体" w:cs="宋体"/>
          <w:kern w:val="2"/>
          <w:sz w:val="24"/>
          <w:u w:val="single"/>
        </w:rPr>
        <w:t>南通市交通运输综合行政执法支队制服采购项目（项目编号：JSXDF2025071101    )</w:t>
      </w:r>
      <w:r>
        <w:rPr>
          <w:rFonts w:hint="eastAsia" w:ascii="宋体" w:hAnsi="宋体" w:eastAsia="宋体" w:cs="宋体"/>
          <w:sz w:val="24"/>
        </w:rPr>
        <w:t>采购活动，</w:t>
      </w:r>
      <w:r>
        <w:rPr>
          <w:rFonts w:hint="eastAsia" w:ascii="宋体" w:hAnsi="宋体" w:eastAsia="宋体" w:cs="宋体"/>
          <w:b/>
          <w:bCs/>
          <w:sz w:val="24"/>
        </w:rPr>
        <w:t>提供的货物全部</w:t>
      </w:r>
      <w:r>
        <w:rPr>
          <w:rFonts w:hint="eastAsia" w:ascii="宋体" w:hAnsi="宋体" w:eastAsia="宋体" w:cs="宋体"/>
          <w:sz w:val="24"/>
        </w:rPr>
        <w:t>由符合政策要求的中小企业制造。相关企业（含联合体中的中小企业、签订分包意向协议的中小企业）的具体情况如下</w:t>
      </w:r>
      <w:r>
        <w:rPr>
          <w:rFonts w:hint="eastAsia" w:ascii="宋体" w:hAnsi="宋体" w:eastAsia="宋体" w:cs="宋体"/>
          <w:b/>
          <w:bCs/>
          <w:sz w:val="24"/>
          <w:u w:val="thick" w:color="FF0000"/>
        </w:rPr>
        <w:t>（须按《第三部分 项目需求》采购清单中</w:t>
      </w:r>
      <w:r>
        <w:rPr>
          <w:rFonts w:hint="eastAsia" w:ascii="宋体" w:hAnsi="宋体" w:eastAsia="宋体" w:cs="宋体"/>
          <w:b/>
          <w:bCs/>
          <w:sz w:val="24"/>
          <w:szCs w:val="24"/>
          <w:u w:val="thick" w:color="FF0000"/>
        </w:rPr>
        <w:t>名称进行逐一编制，如有漏项，视为不符合资格审查要求</w:t>
      </w:r>
      <w:r>
        <w:rPr>
          <w:rFonts w:hint="eastAsia" w:ascii="宋体" w:hAnsi="宋体" w:eastAsia="宋体" w:cs="宋体"/>
          <w:b/>
          <w:bCs/>
          <w:sz w:val="24"/>
          <w:u w:val="thick" w:color="FF0000"/>
        </w:rPr>
        <w:t>）</w:t>
      </w:r>
      <w:r>
        <w:rPr>
          <w:rFonts w:hint="eastAsia" w:ascii="宋体" w:hAnsi="宋体" w:eastAsia="宋体" w:cs="宋体"/>
          <w:sz w:val="24"/>
        </w:rPr>
        <w:t xml:space="preserve">： </w:t>
      </w:r>
    </w:p>
    <w:p w14:paraId="1B70C533">
      <w:pPr>
        <w:numPr>
          <w:ilvl w:val="0"/>
          <w:numId w:val="7"/>
        </w:numPr>
        <w:tabs>
          <w:tab w:val="left" w:pos="1183"/>
          <w:tab w:val="left" w:pos="1484"/>
          <w:tab w:val="left" w:pos="4662"/>
          <w:tab w:val="left" w:pos="6903"/>
        </w:tabs>
        <w:autoSpaceDE w:val="0"/>
        <w:autoSpaceDN w:val="0"/>
        <w:snapToGrid w:val="0"/>
        <w:spacing w:line="360" w:lineRule="auto"/>
        <w:ind w:firstLine="480"/>
        <w:rPr>
          <w:rFonts w:hint="eastAsia" w:ascii="宋体" w:hAnsi="宋体" w:cs="宋体"/>
          <w:sz w:val="24"/>
          <w:szCs w:val="24"/>
        </w:rPr>
      </w:pPr>
      <w:r>
        <w:rPr>
          <w:rFonts w:hint="eastAsia" w:ascii="宋体" w:hAnsi="宋体" w:cs="宋体"/>
          <w:iCs/>
          <w:sz w:val="24"/>
          <w:szCs w:val="24"/>
          <w:u w:val="single"/>
        </w:rPr>
        <w:t>夏季战训服</w:t>
      </w:r>
      <w:r>
        <w:rPr>
          <w:rFonts w:hint="eastAsia" w:ascii="宋体" w:hAnsi="宋体" w:cs="宋体"/>
          <w:iCs/>
          <w:sz w:val="24"/>
          <w:szCs w:val="24"/>
        </w:rPr>
        <w:t>，属于</w:t>
      </w:r>
      <w:r>
        <w:rPr>
          <w:rFonts w:hint="eastAsia" w:ascii="宋体" w:hAnsi="宋体" w:cs="宋体"/>
          <w:iCs/>
          <w:sz w:val="24"/>
          <w:szCs w:val="24"/>
          <w:u w:val="single"/>
        </w:rPr>
        <w:t>工业</w:t>
      </w:r>
      <w:r>
        <w:rPr>
          <w:rFonts w:hint="eastAsia" w:ascii="宋体" w:hAnsi="宋体" w:cs="宋体"/>
          <w:iCs/>
          <w:sz w:val="24"/>
          <w:szCs w:val="24"/>
        </w:rPr>
        <w:t>；制造商为</w:t>
      </w:r>
      <w:r>
        <w:rPr>
          <w:rFonts w:hint="eastAsia" w:ascii="宋体" w:hAnsi="宋体" w:cs="宋体"/>
          <w:iCs/>
          <w:sz w:val="24"/>
          <w:szCs w:val="24"/>
          <w:u w:val="single"/>
        </w:rPr>
        <w:t>（企业名称）</w:t>
      </w:r>
      <w:r>
        <w:rPr>
          <w:rFonts w:hint="eastAsia" w:ascii="宋体" w:hAnsi="宋体" w:cs="宋体"/>
          <w:iCs/>
          <w:sz w:val="24"/>
          <w:szCs w:val="24"/>
        </w:rPr>
        <w:t>，从业人员人，营业收入为万元，资产总额为万元，属于</w:t>
      </w:r>
      <w:r>
        <w:rPr>
          <w:rFonts w:hint="eastAsia" w:ascii="宋体" w:hAnsi="宋体" w:cs="宋体"/>
          <w:iCs/>
          <w:sz w:val="24"/>
          <w:szCs w:val="24"/>
          <w:u w:val="single"/>
        </w:rPr>
        <w:t>（中型企业、小型企业、微型企业）</w:t>
      </w:r>
      <w:r>
        <w:rPr>
          <w:rFonts w:hint="eastAsia" w:ascii="宋体" w:hAnsi="宋体" w:cs="宋体"/>
          <w:iCs/>
          <w:sz w:val="24"/>
          <w:szCs w:val="24"/>
        </w:rPr>
        <w:t>；</w:t>
      </w:r>
    </w:p>
    <w:p w14:paraId="5049F690">
      <w:pPr>
        <w:numPr>
          <w:ilvl w:val="0"/>
          <w:numId w:val="7"/>
        </w:numPr>
        <w:tabs>
          <w:tab w:val="left" w:pos="1183"/>
          <w:tab w:val="left" w:pos="1484"/>
          <w:tab w:val="left" w:pos="4662"/>
          <w:tab w:val="left" w:pos="6903"/>
        </w:tabs>
        <w:autoSpaceDE w:val="0"/>
        <w:autoSpaceDN w:val="0"/>
        <w:snapToGrid w:val="0"/>
        <w:spacing w:line="360" w:lineRule="auto"/>
        <w:ind w:firstLine="480"/>
        <w:rPr>
          <w:rFonts w:hint="eastAsia" w:ascii="宋体" w:hAnsi="宋体" w:cs="宋体"/>
          <w:sz w:val="24"/>
          <w:szCs w:val="24"/>
        </w:rPr>
      </w:pPr>
      <w:r>
        <w:rPr>
          <w:rFonts w:hint="eastAsia" w:ascii="宋体" w:hAnsi="宋体" w:cs="宋体"/>
          <w:iCs/>
          <w:sz w:val="24"/>
          <w:szCs w:val="24"/>
          <w:u w:val="single"/>
        </w:rPr>
        <w:t>春秋战训服</w:t>
      </w:r>
      <w:r>
        <w:rPr>
          <w:rFonts w:hint="eastAsia" w:ascii="宋体" w:hAnsi="宋体" w:cs="宋体"/>
          <w:iCs/>
          <w:sz w:val="24"/>
          <w:szCs w:val="24"/>
        </w:rPr>
        <w:t xml:space="preserve"> ，属于</w:t>
      </w:r>
      <w:r>
        <w:rPr>
          <w:rFonts w:hint="eastAsia" w:ascii="宋体" w:hAnsi="宋体" w:cs="宋体"/>
          <w:iCs/>
          <w:sz w:val="24"/>
          <w:szCs w:val="24"/>
          <w:u w:val="single"/>
        </w:rPr>
        <w:t>工业</w:t>
      </w:r>
      <w:r>
        <w:rPr>
          <w:rFonts w:hint="eastAsia" w:ascii="宋体" w:hAnsi="宋体" w:cs="宋体"/>
          <w:iCs/>
          <w:sz w:val="24"/>
          <w:szCs w:val="24"/>
        </w:rPr>
        <w:t>；制造商为</w:t>
      </w:r>
      <w:r>
        <w:rPr>
          <w:rFonts w:hint="eastAsia" w:ascii="宋体" w:hAnsi="宋体" w:cs="宋体"/>
          <w:iCs/>
          <w:sz w:val="24"/>
          <w:szCs w:val="24"/>
          <w:u w:val="single"/>
        </w:rPr>
        <w:t>（企业名称）</w:t>
      </w:r>
      <w:r>
        <w:rPr>
          <w:rFonts w:hint="eastAsia" w:ascii="宋体" w:hAnsi="宋体" w:cs="宋体"/>
          <w:iCs/>
          <w:sz w:val="24"/>
          <w:szCs w:val="24"/>
        </w:rPr>
        <w:t>，从业人员人，营业收入为万元，资产总额为万元，属于</w:t>
      </w:r>
      <w:r>
        <w:rPr>
          <w:rFonts w:hint="eastAsia" w:ascii="宋体" w:hAnsi="宋体" w:cs="宋体"/>
          <w:iCs/>
          <w:sz w:val="24"/>
          <w:szCs w:val="24"/>
          <w:u w:val="single"/>
        </w:rPr>
        <w:t>（中型企业、小型企业、微型企业）</w:t>
      </w:r>
      <w:r>
        <w:rPr>
          <w:rFonts w:hint="eastAsia" w:ascii="宋体" w:hAnsi="宋体" w:cs="宋体"/>
          <w:iCs/>
          <w:sz w:val="24"/>
          <w:szCs w:val="24"/>
        </w:rPr>
        <w:t>；</w:t>
      </w:r>
    </w:p>
    <w:p w14:paraId="4084E5A1">
      <w:pPr>
        <w:numPr>
          <w:ilvl w:val="0"/>
          <w:numId w:val="7"/>
        </w:numPr>
        <w:tabs>
          <w:tab w:val="left" w:pos="1183"/>
          <w:tab w:val="left" w:pos="1484"/>
          <w:tab w:val="left" w:pos="4662"/>
          <w:tab w:val="left" w:pos="6903"/>
        </w:tabs>
        <w:autoSpaceDE w:val="0"/>
        <w:autoSpaceDN w:val="0"/>
        <w:snapToGrid w:val="0"/>
        <w:spacing w:line="360" w:lineRule="auto"/>
        <w:ind w:firstLine="480"/>
        <w:rPr>
          <w:rFonts w:hint="eastAsia" w:ascii="宋体" w:hAnsi="宋体" w:cs="宋体"/>
          <w:sz w:val="24"/>
          <w:szCs w:val="24"/>
        </w:rPr>
      </w:pPr>
      <w:r>
        <w:rPr>
          <w:rFonts w:hint="eastAsia" w:ascii="宋体" w:hAnsi="宋体" w:cs="宋体"/>
          <w:iCs/>
          <w:sz w:val="24"/>
          <w:szCs w:val="24"/>
          <w:u w:val="single"/>
        </w:rPr>
        <w:t>冬战训服</w:t>
      </w:r>
      <w:r>
        <w:rPr>
          <w:rFonts w:hint="eastAsia" w:ascii="宋体" w:hAnsi="宋体" w:cs="宋体"/>
          <w:iCs/>
          <w:sz w:val="24"/>
          <w:szCs w:val="24"/>
        </w:rPr>
        <w:t>，属于</w:t>
      </w:r>
      <w:r>
        <w:rPr>
          <w:rFonts w:hint="eastAsia" w:ascii="宋体" w:hAnsi="宋体" w:cs="宋体"/>
          <w:iCs/>
          <w:sz w:val="24"/>
          <w:szCs w:val="24"/>
          <w:u w:val="single"/>
        </w:rPr>
        <w:t>工业</w:t>
      </w:r>
      <w:r>
        <w:rPr>
          <w:rFonts w:hint="eastAsia" w:ascii="宋体" w:hAnsi="宋体" w:cs="宋体"/>
          <w:iCs/>
          <w:sz w:val="24"/>
          <w:szCs w:val="24"/>
        </w:rPr>
        <w:t>；制造商为</w:t>
      </w:r>
      <w:r>
        <w:rPr>
          <w:rFonts w:hint="eastAsia" w:ascii="宋体" w:hAnsi="宋体" w:cs="宋体"/>
          <w:iCs/>
          <w:sz w:val="24"/>
          <w:szCs w:val="24"/>
          <w:u w:val="single"/>
        </w:rPr>
        <w:t>（企业名称）</w:t>
      </w:r>
      <w:r>
        <w:rPr>
          <w:rFonts w:hint="eastAsia" w:ascii="宋体" w:hAnsi="宋体" w:cs="宋体"/>
          <w:iCs/>
          <w:sz w:val="24"/>
          <w:szCs w:val="24"/>
        </w:rPr>
        <w:t>，从业人员人，营业收入为万元，资产总额为万元，属于</w:t>
      </w:r>
      <w:r>
        <w:rPr>
          <w:rFonts w:hint="eastAsia" w:ascii="宋体" w:hAnsi="宋体" w:cs="宋体"/>
          <w:iCs/>
          <w:sz w:val="24"/>
          <w:szCs w:val="24"/>
          <w:u w:val="single"/>
        </w:rPr>
        <w:t>（中型企业、小型企业、微型企业）</w:t>
      </w:r>
      <w:r>
        <w:rPr>
          <w:rFonts w:hint="eastAsia" w:ascii="宋体" w:hAnsi="宋体" w:cs="宋体"/>
          <w:iCs/>
          <w:sz w:val="24"/>
          <w:szCs w:val="24"/>
        </w:rPr>
        <w:t>；</w:t>
      </w:r>
    </w:p>
    <w:p w14:paraId="456A19D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w:t>
      </w:r>
    </w:p>
    <w:p w14:paraId="126F4553">
      <w:pPr>
        <w:snapToGrid w:val="0"/>
        <w:spacing w:line="360" w:lineRule="auto"/>
        <w:ind w:firstLine="480" w:firstLineChars="200"/>
        <w:rPr>
          <w:rFonts w:hint="eastAsia" w:ascii="宋体" w:hAnsi="宋体" w:eastAsia="宋体" w:cs="宋体"/>
          <w:sz w:val="24"/>
        </w:rPr>
      </w:pPr>
      <w:r>
        <w:rPr>
          <w:rFonts w:hint="eastAsia" w:ascii="宋体" w:hAnsi="宋体" w:cs="宋体"/>
          <w:iCs/>
          <w:sz w:val="24"/>
          <w:szCs w:val="24"/>
        </w:rPr>
        <w:t>17.</w:t>
      </w:r>
      <w:r>
        <w:rPr>
          <w:rFonts w:hint="eastAsia" w:ascii="宋体" w:hAnsi="宋体" w:cs="宋体"/>
          <w:iCs/>
          <w:sz w:val="24"/>
          <w:szCs w:val="24"/>
          <w:u w:val="single"/>
        </w:rPr>
        <w:t>背贴</w:t>
      </w:r>
      <w:r>
        <w:rPr>
          <w:rFonts w:hint="eastAsia" w:ascii="宋体" w:hAnsi="宋体" w:cs="宋体"/>
          <w:iCs/>
          <w:sz w:val="24"/>
          <w:szCs w:val="24"/>
        </w:rPr>
        <w:t>，属于</w:t>
      </w:r>
      <w:r>
        <w:rPr>
          <w:rFonts w:hint="eastAsia" w:ascii="宋体" w:hAnsi="宋体" w:cs="宋体"/>
          <w:iCs/>
          <w:sz w:val="24"/>
          <w:szCs w:val="24"/>
          <w:u w:val="single"/>
        </w:rPr>
        <w:t>工业</w:t>
      </w:r>
      <w:r>
        <w:rPr>
          <w:rFonts w:hint="eastAsia" w:ascii="宋体" w:hAnsi="宋体" w:cs="宋体"/>
          <w:iCs/>
          <w:sz w:val="24"/>
          <w:szCs w:val="24"/>
        </w:rPr>
        <w:t>；制造商为</w:t>
      </w:r>
      <w:r>
        <w:rPr>
          <w:rFonts w:hint="eastAsia" w:ascii="宋体" w:hAnsi="宋体" w:cs="宋体"/>
          <w:iCs/>
          <w:sz w:val="24"/>
          <w:szCs w:val="24"/>
          <w:u w:val="single"/>
        </w:rPr>
        <w:t>（企业名称）</w:t>
      </w:r>
      <w:r>
        <w:rPr>
          <w:rFonts w:hint="eastAsia" w:ascii="宋体" w:hAnsi="宋体" w:cs="宋体"/>
          <w:iCs/>
          <w:sz w:val="24"/>
          <w:szCs w:val="24"/>
        </w:rPr>
        <w:t>，从业人员人，营业收入为万元，资产总额为万元，属于</w:t>
      </w:r>
      <w:r>
        <w:rPr>
          <w:rFonts w:hint="eastAsia" w:ascii="宋体" w:hAnsi="宋体" w:cs="宋体"/>
          <w:iCs/>
          <w:sz w:val="24"/>
          <w:szCs w:val="24"/>
          <w:u w:val="single"/>
        </w:rPr>
        <w:t>（中型企业、小型企业、微型企业）</w:t>
      </w:r>
      <w:r>
        <w:rPr>
          <w:rFonts w:hint="eastAsia" w:ascii="宋体" w:hAnsi="宋体" w:cs="宋体"/>
          <w:iCs/>
          <w:sz w:val="24"/>
          <w:szCs w:val="24"/>
        </w:rPr>
        <w:t>。</w:t>
      </w:r>
    </w:p>
    <w:p w14:paraId="51C3354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以上企业，不属于大企业的分支机构，不存在控股股东为大企业的情形，也不存在与大企业的负责人为同一人的情形。 </w:t>
      </w:r>
    </w:p>
    <w:p w14:paraId="48E0B4FF">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本企业对上述声明内容的真实性负责。如有虚假，将依法承担相应责任。</w:t>
      </w:r>
    </w:p>
    <w:p w14:paraId="6F8C754C">
      <w:pPr>
        <w:snapToGrid w:val="0"/>
        <w:spacing w:line="360" w:lineRule="auto"/>
        <w:ind w:firstLine="4320" w:firstLineChars="1800"/>
        <w:rPr>
          <w:rFonts w:hint="eastAsia" w:ascii="宋体" w:hAnsi="宋体" w:eastAsia="宋体" w:cs="宋体"/>
          <w:sz w:val="24"/>
          <w:lang w:val="zh-CN"/>
        </w:rPr>
      </w:pPr>
      <w:r>
        <w:rPr>
          <w:rFonts w:hint="eastAsia" w:ascii="宋体" w:hAnsi="宋体" w:eastAsia="宋体" w:cs="宋体"/>
          <w:sz w:val="24"/>
        </w:rPr>
        <w:t>供应商：（单位盖章）</w:t>
      </w:r>
    </w:p>
    <w:p w14:paraId="7A7CDC91">
      <w:pPr>
        <w:snapToGrid w:val="0"/>
        <w:spacing w:line="360" w:lineRule="auto"/>
        <w:ind w:firstLine="4320" w:firstLineChars="1800"/>
        <w:rPr>
          <w:rFonts w:hint="eastAsia" w:ascii="宋体" w:hAnsi="宋体" w:eastAsia="宋体" w:cs="宋体"/>
          <w:sz w:val="24"/>
        </w:rPr>
      </w:pPr>
      <w:r>
        <w:rPr>
          <w:rFonts w:hint="eastAsia" w:ascii="宋体" w:hAnsi="宋体" w:eastAsia="宋体" w:cs="宋体"/>
          <w:sz w:val="24"/>
        </w:rPr>
        <w:t>法定代表人或委托代理人：（签字或盖章）</w:t>
      </w:r>
    </w:p>
    <w:p w14:paraId="23269F8A">
      <w:pPr>
        <w:tabs>
          <w:tab w:val="left" w:pos="2040"/>
        </w:tabs>
        <w:ind w:left="1903" w:leftChars="906" w:firstLine="2296" w:firstLineChars="957"/>
        <w:rPr>
          <w:rFonts w:hint="eastAsia" w:ascii="宋体" w:hAnsi="宋体" w:eastAsia="宋体" w:cs="宋体"/>
          <w:sz w:val="24"/>
        </w:rPr>
      </w:pPr>
      <w:r>
        <w:rPr>
          <w:rFonts w:hint="eastAsia" w:ascii="宋体" w:hAnsi="宋体" w:eastAsia="宋体" w:cs="宋体"/>
          <w:sz w:val="24"/>
        </w:rPr>
        <w:t>日期：     年      月     日</w:t>
      </w:r>
    </w:p>
    <w:p w14:paraId="1BC32429">
      <w:pPr>
        <w:tabs>
          <w:tab w:val="left" w:pos="2040"/>
        </w:tabs>
        <w:ind w:left="2040" w:hanging="360"/>
        <w:rPr>
          <w:rFonts w:hint="eastAsia" w:ascii="宋体" w:hAnsi="宋体" w:eastAsia="宋体" w:cs="宋体"/>
          <w:szCs w:val="21"/>
        </w:rPr>
      </w:pPr>
    </w:p>
    <w:p w14:paraId="284F071F">
      <w:pPr>
        <w:snapToGrid w:val="0"/>
        <w:spacing w:line="300" w:lineRule="exact"/>
        <w:textAlignment w:val="baseline"/>
        <w:rPr>
          <w:rFonts w:hint="eastAsia" w:ascii="宋体" w:hAnsi="宋体" w:eastAsia="宋体" w:cs="宋体"/>
          <w:szCs w:val="21"/>
        </w:rPr>
      </w:pPr>
      <w:r>
        <w:rPr>
          <w:rFonts w:hint="eastAsia" w:ascii="宋体" w:hAnsi="宋体" w:eastAsia="宋体" w:cs="宋体"/>
          <w:szCs w:val="21"/>
        </w:rPr>
        <w:t>注：（1）</w:t>
      </w:r>
      <w:bookmarkStart w:id="274" w:name="_Hlk67486828"/>
      <w:r>
        <w:rPr>
          <w:rFonts w:hint="eastAsia" w:ascii="宋体" w:hAnsi="宋体" w:eastAsia="宋体" w:cs="宋体"/>
          <w:szCs w:val="21"/>
        </w:rPr>
        <w:t>根据《政府采购促进中小企业发展管理办法》（财库﹝2020﹞46 号）、《关于进一步加大政府采购支持中小企业力度的通知》（通财购【2022】23号），本次采购的项目，其响应供应商提供的</w:t>
      </w:r>
      <w:r>
        <w:rPr>
          <w:rFonts w:hint="eastAsia" w:ascii="宋体" w:hAnsi="宋体" w:eastAsia="宋体" w:cs="宋体"/>
          <w:b/>
          <w:bCs/>
          <w:szCs w:val="21"/>
          <w:u w:val="single"/>
        </w:rPr>
        <w:t>全部货物产品的制造商</w:t>
      </w:r>
      <w:r>
        <w:rPr>
          <w:rFonts w:hint="eastAsia" w:ascii="宋体" w:hAnsi="宋体" w:eastAsia="宋体" w:cs="宋体"/>
          <w:szCs w:val="21"/>
        </w:rPr>
        <w:t>符合工信部联企业〔2011〕300号《关于印发中小企业划型标准规定的通知》中的</w:t>
      </w:r>
      <w:bookmarkStart w:id="275" w:name="_Hlk62787617"/>
      <w:r>
        <w:rPr>
          <w:rFonts w:hint="eastAsia" w:ascii="宋体" w:hAnsi="宋体" w:eastAsia="宋体" w:cs="宋体"/>
          <w:szCs w:val="21"/>
        </w:rPr>
        <w:t>中小企业</w:t>
      </w:r>
      <w:bookmarkStart w:id="276" w:name="_Hlk67153790"/>
      <w:r>
        <w:rPr>
          <w:rFonts w:hint="eastAsia" w:ascii="宋体" w:hAnsi="宋体" w:eastAsia="宋体" w:cs="宋体"/>
          <w:szCs w:val="21"/>
        </w:rPr>
        <w:t>“工业”类</w:t>
      </w:r>
      <w:bookmarkEnd w:id="276"/>
      <w:r>
        <w:rPr>
          <w:rFonts w:hint="eastAsia" w:ascii="宋体" w:hAnsi="宋体" w:eastAsia="宋体" w:cs="宋体"/>
          <w:szCs w:val="21"/>
        </w:rPr>
        <w:t>的划型标准规定</w:t>
      </w:r>
      <w:bookmarkEnd w:id="275"/>
      <w:r>
        <w:rPr>
          <w:rFonts w:hint="eastAsia" w:ascii="宋体" w:hAnsi="宋体" w:eastAsia="宋体" w:cs="宋体"/>
          <w:szCs w:val="21"/>
        </w:rPr>
        <w:t>的，将享受中小企业扶持政策。“工业”类中小企业划型标准：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AD0FC03">
      <w:pPr>
        <w:snapToGrid w:val="0"/>
        <w:spacing w:line="300" w:lineRule="exact"/>
        <w:ind w:firstLine="420" w:firstLineChars="200"/>
        <w:textAlignment w:val="baseline"/>
        <w:rPr>
          <w:rFonts w:hint="eastAsia" w:ascii="宋体" w:hAnsi="宋体" w:eastAsia="宋体" w:cs="宋体"/>
          <w:szCs w:val="21"/>
        </w:rPr>
      </w:pPr>
      <w:r>
        <w:rPr>
          <w:rFonts w:hint="eastAsia" w:ascii="宋体" w:hAnsi="宋体" w:eastAsia="宋体" w:cs="宋体"/>
          <w:szCs w:val="21"/>
        </w:rPr>
        <w:t>（2）若响应供应商</w:t>
      </w:r>
      <w:bookmarkStart w:id="277" w:name="_Hlk67172184"/>
      <w:r>
        <w:rPr>
          <w:rFonts w:hint="eastAsia" w:ascii="宋体" w:hAnsi="宋体" w:eastAsia="宋体" w:cs="宋体"/>
          <w:szCs w:val="21"/>
        </w:rPr>
        <w:t>提供的 “中小企业声明函”内容不实</w:t>
      </w:r>
      <w:bookmarkEnd w:id="277"/>
      <w:r>
        <w:rPr>
          <w:rFonts w:hint="eastAsia" w:ascii="宋体" w:hAnsi="宋体" w:eastAsia="宋体" w:cs="宋体"/>
          <w:szCs w:val="21"/>
        </w:rPr>
        <w:t>的，属于提供虚假材料谋取成交；响应供应商的该行为将报请政府采购监管的财政部门按《中华人民共和国政府采购法》第七十七条的规定处理并给予行政处罚。</w:t>
      </w:r>
      <w:bookmarkEnd w:id="274"/>
    </w:p>
    <w:p w14:paraId="3E60F16E">
      <w:pPr>
        <w:snapToGrid w:val="0"/>
        <w:ind w:firstLine="420" w:firstLineChars="200"/>
        <w:textAlignment w:val="baseline"/>
        <w:rPr>
          <w:rFonts w:hint="eastAsia" w:ascii="宋体" w:hAnsi="宋体" w:eastAsia="宋体"/>
          <w:szCs w:val="21"/>
        </w:rPr>
      </w:pPr>
      <w:r>
        <w:rPr>
          <w:rFonts w:hint="eastAsia" w:ascii="宋体" w:hAnsi="宋体" w:eastAsia="宋体" w:cs="宋体"/>
          <w:szCs w:val="21"/>
        </w:rPr>
        <w:t>（3）从业人员、营业收入、资产总额填报上一年度数据，无上一年度数据的新成立企业可不填报。</w:t>
      </w:r>
    </w:p>
    <w:p w14:paraId="281AE9FF">
      <w:pPr>
        <w:widowControl/>
        <w:jc w:val="left"/>
        <w:rPr>
          <w:rFonts w:ascii="宋体" w:hAnsi="Times New Roman" w:eastAsia="宋体"/>
          <w:b/>
          <w:bCs/>
          <w:kern w:val="2"/>
          <w:sz w:val="28"/>
          <w:szCs w:val="28"/>
        </w:rPr>
      </w:pPr>
      <w:r>
        <w:rPr>
          <w:rFonts w:ascii="宋体" w:hAnsi="Times New Roman" w:eastAsia="宋体"/>
          <w:b/>
          <w:bCs/>
          <w:kern w:val="2"/>
          <w:sz w:val="28"/>
          <w:szCs w:val="28"/>
        </w:rPr>
        <w:br w:type="page"/>
      </w:r>
    </w:p>
    <w:p w14:paraId="2B8F97BB">
      <w:pPr>
        <w:autoSpaceDE w:val="0"/>
        <w:autoSpaceDN w:val="0"/>
        <w:spacing w:before="162"/>
        <w:jc w:val="center"/>
        <w:outlineLvl w:val="0"/>
        <w:rPr>
          <w:rFonts w:hint="eastAsia" w:ascii="宋体" w:hAnsi="宋体" w:eastAsia="宋体" w:cs="宋体"/>
          <w:b/>
          <w:bCs/>
          <w:sz w:val="28"/>
        </w:rPr>
      </w:pPr>
      <w:r>
        <w:rPr>
          <w:rFonts w:hint="eastAsia" w:ascii="宋体" w:hAnsi="Times New Roman" w:eastAsia="宋体"/>
          <w:b/>
          <w:bCs/>
          <w:kern w:val="2"/>
          <w:sz w:val="28"/>
          <w:szCs w:val="28"/>
        </w:rPr>
        <w:t>6、</w:t>
      </w:r>
      <w:r>
        <w:rPr>
          <w:rFonts w:hint="eastAsia" w:ascii="宋体" w:hAnsi="宋体" w:eastAsia="宋体" w:cs="宋体"/>
          <w:b/>
          <w:bCs/>
          <w:sz w:val="28"/>
        </w:rPr>
        <w:t>残疾人福利性单位声明函</w:t>
      </w:r>
    </w:p>
    <w:p w14:paraId="3EBCAE56">
      <w:pPr>
        <w:spacing w:before="240" w:line="588" w:lineRule="exact"/>
        <w:ind w:firstLine="480" w:firstLineChars="200"/>
        <w:rPr>
          <w:rFonts w:hint="eastAsia" w:ascii="宋体" w:hAnsi="宋体" w:eastAsia="宋体" w:cs="宋体"/>
          <w:sz w:val="24"/>
        </w:rPr>
      </w:pPr>
      <w:r>
        <w:rPr>
          <w:rFonts w:hint="eastAsia" w:ascii="宋体" w:hAnsi="宋体" w:eastAsia="宋体" w:cs="宋体"/>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kern w:val="2"/>
          <w:sz w:val="24"/>
          <w:u w:val="single"/>
        </w:rPr>
        <w:t>南通市交通运输综合行政执法支队</w:t>
      </w:r>
      <w:r>
        <w:rPr>
          <w:rFonts w:hint="eastAsia" w:ascii="宋体" w:hAnsi="宋体" w:eastAsia="宋体" w:cs="宋体"/>
          <w:sz w:val="24"/>
        </w:rPr>
        <w:t>的</w:t>
      </w:r>
      <w:r>
        <w:rPr>
          <w:rFonts w:hint="eastAsia" w:ascii="宋体" w:hAnsi="宋体" w:eastAsia="宋体" w:cs="宋体"/>
          <w:kern w:val="2"/>
          <w:sz w:val="24"/>
          <w:u w:val="single"/>
        </w:rPr>
        <w:t>南通市交通运输综合行政执法支队制服采购项目（项目编号：JSXDF2025071101    )</w:t>
      </w:r>
      <w:r>
        <w:rPr>
          <w:rFonts w:hint="eastAsia" w:ascii="宋体" w:hAnsi="宋体" w:eastAsia="宋体" w:cs="宋体"/>
          <w:sz w:val="24"/>
        </w:rPr>
        <w:t>采购活动提供本单位制造的货物（由本单位承担工程/提供服务），或者提供其他残疾人福利性单位制造的货物（不包括使用非残疾人福利性单位注册商标的货物）。</w:t>
      </w:r>
    </w:p>
    <w:p w14:paraId="6778E511">
      <w:pPr>
        <w:spacing w:line="588" w:lineRule="exact"/>
        <w:ind w:firstLine="480" w:firstLineChars="200"/>
        <w:rPr>
          <w:rFonts w:hint="eastAsia" w:ascii="宋体" w:hAnsi="宋体" w:eastAsia="宋体" w:cs="宋体"/>
          <w:sz w:val="24"/>
        </w:rPr>
      </w:pPr>
      <w:r>
        <w:rPr>
          <w:rFonts w:hint="eastAsia" w:ascii="宋体" w:hAnsi="宋体" w:eastAsia="宋体" w:cs="宋体"/>
          <w:sz w:val="24"/>
        </w:rPr>
        <w:t>本单位对上述声明的真实性负责。如有虚假，将依法承担相应责任。</w:t>
      </w:r>
    </w:p>
    <w:p w14:paraId="23F8B67D">
      <w:pPr>
        <w:spacing w:line="588" w:lineRule="exact"/>
        <w:ind w:firstLine="420" w:firstLineChars="200"/>
        <w:rPr>
          <w:rFonts w:hint="eastAsia" w:ascii="宋体" w:hAnsi="宋体" w:eastAsia="宋体" w:cs="宋体"/>
        </w:rPr>
      </w:pPr>
    </w:p>
    <w:p w14:paraId="177D8FD0">
      <w:pPr>
        <w:spacing w:line="588" w:lineRule="exact"/>
        <w:ind w:firstLine="444" w:firstLineChars="200"/>
        <w:rPr>
          <w:rFonts w:hint="eastAsia" w:ascii="宋体" w:hAnsi="宋体" w:eastAsia="宋体" w:cs="宋体"/>
          <w:spacing w:val="6"/>
        </w:rPr>
      </w:pPr>
    </w:p>
    <w:p w14:paraId="4702CD18">
      <w:pPr>
        <w:spacing w:line="588" w:lineRule="exact"/>
        <w:ind w:firstLine="444" w:firstLineChars="200"/>
        <w:rPr>
          <w:rFonts w:hint="eastAsia" w:ascii="宋体" w:hAnsi="宋体" w:eastAsia="宋体" w:cs="宋体"/>
          <w:spacing w:val="6"/>
        </w:rPr>
      </w:pPr>
    </w:p>
    <w:p w14:paraId="5182E3D7">
      <w:pPr>
        <w:snapToGrid w:val="0"/>
        <w:spacing w:line="360" w:lineRule="auto"/>
        <w:ind w:firstLine="4320" w:firstLineChars="1800"/>
        <w:rPr>
          <w:rFonts w:hint="eastAsia" w:ascii="宋体" w:hAnsi="宋体" w:eastAsia="宋体" w:cs="宋体"/>
          <w:sz w:val="24"/>
          <w:lang w:val="zh-CN"/>
        </w:rPr>
      </w:pPr>
      <w:r>
        <w:rPr>
          <w:rFonts w:hint="eastAsia" w:ascii="宋体" w:hAnsi="宋体" w:eastAsia="宋体" w:cs="宋体"/>
          <w:sz w:val="24"/>
        </w:rPr>
        <w:t>供应商：（单位盖章）</w:t>
      </w:r>
    </w:p>
    <w:p w14:paraId="256B8BF2">
      <w:pPr>
        <w:snapToGrid w:val="0"/>
        <w:spacing w:line="360" w:lineRule="auto"/>
        <w:ind w:firstLine="4320" w:firstLineChars="1800"/>
        <w:rPr>
          <w:rFonts w:hint="eastAsia" w:ascii="宋体" w:hAnsi="宋体" w:eastAsia="宋体" w:cs="宋体"/>
          <w:sz w:val="24"/>
        </w:rPr>
      </w:pPr>
      <w:r>
        <w:rPr>
          <w:rFonts w:hint="eastAsia" w:ascii="宋体" w:hAnsi="宋体" w:eastAsia="宋体" w:cs="宋体"/>
          <w:sz w:val="24"/>
        </w:rPr>
        <w:t>法定代表人或委托代理人：（签字或盖章）</w:t>
      </w:r>
    </w:p>
    <w:p w14:paraId="29E4786A">
      <w:pPr>
        <w:snapToGrid w:val="0"/>
        <w:spacing w:line="360" w:lineRule="auto"/>
        <w:ind w:firstLine="4320" w:firstLineChars="1800"/>
        <w:rPr>
          <w:rFonts w:hint="eastAsia" w:ascii="宋体" w:hAnsi="宋体" w:eastAsia="宋体" w:cs="宋体"/>
          <w:sz w:val="28"/>
          <w:szCs w:val="28"/>
        </w:rPr>
      </w:pPr>
      <w:r>
        <w:rPr>
          <w:rFonts w:hint="eastAsia" w:ascii="宋体" w:hAnsi="宋体" w:eastAsia="宋体" w:cs="宋体"/>
          <w:sz w:val="24"/>
        </w:rPr>
        <w:t>日期：     年      月     日</w:t>
      </w:r>
    </w:p>
    <w:p w14:paraId="3CEC4882">
      <w:pPr>
        <w:snapToGrid w:val="0"/>
        <w:spacing w:line="300" w:lineRule="auto"/>
        <w:outlineLvl w:val="0"/>
        <w:rPr>
          <w:rFonts w:hint="eastAsia" w:ascii="宋体" w:hAnsi="宋体" w:eastAsia="宋体" w:cs="宋体"/>
          <w:sz w:val="28"/>
          <w:szCs w:val="28"/>
        </w:rPr>
      </w:pPr>
    </w:p>
    <w:p w14:paraId="4FA68070">
      <w:pPr>
        <w:snapToGrid w:val="0"/>
        <w:spacing w:line="300" w:lineRule="auto"/>
        <w:outlineLvl w:val="0"/>
        <w:rPr>
          <w:rFonts w:hint="eastAsia" w:ascii="宋体" w:hAnsi="宋体" w:eastAsia="宋体" w:cs="宋体"/>
          <w:sz w:val="28"/>
          <w:szCs w:val="28"/>
        </w:rPr>
      </w:pPr>
    </w:p>
    <w:p w14:paraId="419A2107">
      <w:pPr>
        <w:snapToGrid w:val="0"/>
        <w:spacing w:line="300" w:lineRule="auto"/>
        <w:outlineLvl w:val="0"/>
        <w:rPr>
          <w:rFonts w:hint="eastAsia" w:ascii="宋体" w:hAnsi="宋体" w:eastAsia="宋体" w:cs="宋体"/>
          <w:sz w:val="28"/>
          <w:szCs w:val="28"/>
        </w:rPr>
      </w:pPr>
    </w:p>
    <w:p w14:paraId="50F1E94D">
      <w:pPr>
        <w:snapToGrid w:val="0"/>
        <w:spacing w:line="300" w:lineRule="auto"/>
        <w:outlineLvl w:val="0"/>
        <w:rPr>
          <w:rFonts w:hint="eastAsia" w:ascii="宋体" w:hAnsi="宋体" w:eastAsia="宋体" w:cs="宋体"/>
          <w:sz w:val="28"/>
          <w:szCs w:val="28"/>
        </w:rPr>
      </w:pPr>
    </w:p>
    <w:p w14:paraId="6B900E0E">
      <w:pPr>
        <w:snapToGrid w:val="0"/>
        <w:spacing w:line="300" w:lineRule="auto"/>
        <w:outlineLvl w:val="0"/>
        <w:rPr>
          <w:rFonts w:hint="eastAsia" w:ascii="宋体" w:hAnsi="宋体" w:eastAsia="宋体" w:cs="宋体"/>
          <w:sz w:val="28"/>
          <w:szCs w:val="28"/>
        </w:rPr>
      </w:pPr>
    </w:p>
    <w:p w14:paraId="10781C2F">
      <w:pPr>
        <w:widowControl/>
        <w:jc w:val="left"/>
        <w:rPr>
          <w:rFonts w:hint="eastAsia" w:ascii="宋体" w:hAnsi="宋体" w:eastAsia="宋体" w:cs="宋体"/>
          <w:b/>
          <w:bCs/>
          <w:sz w:val="32"/>
          <w:szCs w:val="32"/>
        </w:rPr>
      </w:pPr>
      <w:r>
        <w:rPr>
          <w:rFonts w:hint="eastAsia" w:ascii="宋体" w:hAnsi="宋体" w:eastAsia="宋体" w:cs="宋体"/>
          <w:b/>
          <w:bCs/>
          <w:sz w:val="32"/>
          <w:szCs w:val="32"/>
        </w:rPr>
        <w:br w:type="page"/>
      </w:r>
    </w:p>
    <w:p w14:paraId="6ADDFC88">
      <w:pPr>
        <w:snapToGrid w:val="0"/>
        <w:spacing w:line="420" w:lineRule="exact"/>
        <w:jc w:val="center"/>
        <w:outlineLvl w:val="3"/>
        <w:rPr>
          <w:rFonts w:hint="eastAsia" w:ascii="宋体" w:hAnsi="宋体" w:eastAsia="宋体" w:cs="宋体"/>
          <w:b/>
          <w:bCs/>
          <w:sz w:val="28"/>
        </w:rPr>
      </w:pPr>
      <w:r>
        <w:rPr>
          <w:rFonts w:hint="eastAsia" w:ascii="宋体" w:hAnsi="宋体" w:eastAsia="宋体" w:cs="宋体"/>
          <w:b/>
          <w:bCs/>
          <w:sz w:val="28"/>
        </w:rPr>
        <w:t>7、监狱和戒毒企业证明材料</w:t>
      </w:r>
    </w:p>
    <w:p w14:paraId="612DD5DB">
      <w:pPr>
        <w:snapToGrid w:val="0"/>
        <w:spacing w:line="420" w:lineRule="exact"/>
        <w:ind w:firstLine="371" w:firstLineChars="177"/>
        <w:rPr>
          <w:rFonts w:hint="eastAsia" w:ascii="宋体" w:hAnsi="宋体" w:eastAsia="宋体" w:cs="宋体"/>
        </w:rPr>
      </w:pPr>
    </w:p>
    <w:p w14:paraId="3672147E">
      <w:pPr>
        <w:snapToGrid w:val="0"/>
        <w:spacing w:line="420" w:lineRule="exact"/>
        <w:ind w:firstLine="373" w:firstLineChars="177"/>
        <w:jc w:val="center"/>
        <w:rPr>
          <w:rFonts w:hint="eastAsia" w:ascii="宋体" w:hAnsi="宋体" w:eastAsia="宋体" w:cs="宋体"/>
          <w:b/>
        </w:rPr>
      </w:pPr>
      <w:r>
        <w:rPr>
          <w:rFonts w:hint="eastAsia" w:ascii="宋体" w:hAnsi="宋体" w:eastAsia="宋体" w:cs="宋体"/>
          <w:b/>
        </w:rPr>
        <w:t>（格式自拟）</w:t>
      </w:r>
    </w:p>
    <w:p w14:paraId="5188E8C2">
      <w:pPr>
        <w:tabs>
          <w:tab w:val="left" w:pos="1260"/>
        </w:tabs>
        <w:snapToGrid w:val="0"/>
        <w:spacing w:line="300" w:lineRule="auto"/>
        <w:contextualSpacing/>
        <w:rPr>
          <w:rFonts w:hint="eastAsia" w:ascii="宋体" w:hAnsi="宋体" w:eastAsia="宋体" w:cs="宋体"/>
          <w:sz w:val="24"/>
        </w:rPr>
      </w:pPr>
    </w:p>
    <w:p w14:paraId="0C564328">
      <w:pPr>
        <w:tabs>
          <w:tab w:val="left" w:pos="1260"/>
        </w:tabs>
        <w:snapToGrid w:val="0"/>
        <w:spacing w:line="360" w:lineRule="auto"/>
        <w:ind w:firstLine="480" w:firstLineChars="200"/>
        <w:contextualSpacing/>
        <w:rPr>
          <w:rFonts w:ascii="宋体" w:hAnsi="Times New Roman" w:eastAsia="宋体"/>
          <w:b/>
          <w:bCs/>
          <w:kern w:val="2"/>
          <w:sz w:val="28"/>
          <w:szCs w:val="28"/>
        </w:rPr>
      </w:pPr>
      <w:r>
        <w:rPr>
          <w:rFonts w:hint="eastAsia" w:ascii="宋体" w:hAnsi="宋体" w:eastAsia="宋体" w:cs="宋体"/>
          <w:sz w:val="24"/>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645AFF7D">
      <w:pPr>
        <w:rPr>
          <w:rFonts w:ascii="宋体" w:hAnsi="Times New Roman" w:eastAsia="宋体"/>
          <w:b/>
          <w:bCs/>
          <w:kern w:val="2"/>
          <w:sz w:val="28"/>
          <w:szCs w:val="28"/>
        </w:rPr>
      </w:pPr>
      <w:r>
        <w:rPr>
          <w:rFonts w:hint="eastAsia" w:ascii="宋体" w:hAnsi="Times New Roman" w:eastAsia="宋体"/>
          <w:b/>
          <w:bCs/>
          <w:kern w:val="2"/>
          <w:sz w:val="28"/>
          <w:szCs w:val="28"/>
        </w:rPr>
        <w:br w:type="page"/>
      </w:r>
    </w:p>
    <w:p w14:paraId="120853D3">
      <w:pPr>
        <w:numPr>
          <w:ilvl w:val="0"/>
          <w:numId w:val="8"/>
        </w:numPr>
        <w:snapToGrid w:val="0"/>
        <w:spacing w:line="420" w:lineRule="exact"/>
        <w:jc w:val="center"/>
        <w:outlineLvl w:val="3"/>
        <w:rPr>
          <w:rFonts w:hint="eastAsia" w:ascii="宋体" w:hAnsi="宋体" w:eastAsia="宋体" w:cs="宋体"/>
          <w:b/>
          <w:bCs/>
          <w:sz w:val="28"/>
        </w:rPr>
      </w:pPr>
      <w:r>
        <w:rPr>
          <w:rFonts w:hint="eastAsia" w:ascii="宋体" w:hAnsi="宋体" w:eastAsia="宋体" w:cs="宋体"/>
          <w:b/>
          <w:bCs/>
          <w:sz w:val="28"/>
        </w:rPr>
        <w:t>供应商情况一览表</w:t>
      </w:r>
    </w:p>
    <w:p w14:paraId="64849154"/>
    <w:tbl>
      <w:tblPr>
        <w:tblStyle w:val="12"/>
        <w:tblW w:w="9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25"/>
        <w:gridCol w:w="851"/>
        <w:gridCol w:w="367"/>
        <w:gridCol w:w="1050"/>
        <w:gridCol w:w="567"/>
        <w:gridCol w:w="946"/>
        <w:gridCol w:w="1263"/>
        <w:gridCol w:w="151"/>
        <w:gridCol w:w="1122"/>
        <w:gridCol w:w="62"/>
        <w:gridCol w:w="1544"/>
      </w:tblGrid>
      <w:tr w14:paraId="56E19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2" w:type="dxa"/>
            <w:gridSpan w:val="2"/>
            <w:tcBorders>
              <w:top w:val="double" w:color="auto" w:sz="4" w:space="0"/>
              <w:left w:val="double" w:color="auto" w:sz="4" w:space="0"/>
            </w:tcBorders>
            <w:noWrap/>
            <w:vAlign w:val="center"/>
          </w:tcPr>
          <w:p w14:paraId="4CC82EE3">
            <w:pPr>
              <w:tabs>
                <w:tab w:val="left" w:pos="4320"/>
              </w:tabs>
              <w:jc w:val="center"/>
              <w:rPr>
                <w:rFonts w:hint="eastAsia" w:ascii="宋体" w:hAnsi="宋体" w:eastAsia="宋体" w:cs="宋体"/>
                <w:sz w:val="24"/>
              </w:rPr>
            </w:pPr>
            <w:r>
              <w:rPr>
                <w:rFonts w:hint="eastAsia" w:ascii="宋体" w:hAnsi="宋体" w:eastAsia="宋体" w:cs="宋体"/>
                <w:sz w:val="24"/>
              </w:rPr>
              <w:t>单位名称</w:t>
            </w:r>
          </w:p>
        </w:tc>
        <w:tc>
          <w:tcPr>
            <w:tcW w:w="7923" w:type="dxa"/>
            <w:gridSpan w:val="10"/>
            <w:tcBorders>
              <w:top w:val="double" w:color="auto" w:sz="4" w:space="0"/>
              <w:right w:val="double" w:color="auto" w:sz="4" w:space="0"/>
            </w:tcBorders>
            <w:noWrap/>
            <w:vAlign w:val="center"/>
          </w:tcPr>
          <w:p w14:paraId="36BB9F78">
            <w:pPr>
              <w:tabs>
                <w:tab w:val="left" w:pos="4320"/>
              </w:tabs>
              <w:rPr>
                <w:rFonts w:hint="eastAsia" w:ascii="宋体" w:hAnsi="宋体" w:eastAsia="宋体" w:cs="宋体"/>
                <w:sz w:val="24"/>
              </w:rPr>
            </w:pPr>
          </w:p>
        </w:tc>
      </w:tr>
      <w:tr w14:paraId="24811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gridSpan w:val="3"/>
            <w:tcBorders>
              <w:left w:val="double" w:color="auto" w:sz="4" w:space="0"/>
              <w:right w:val="single" w:color="auto" w:sz="4" w:space="0"/>
            </w:tcBorders>
            <w:noWrap/>
            <w:vAlign w:val="center"/>
          </w:tcPr>
          <w:p w14:paraId="26C735D4">
            <w:pPr>
              <w:tabs>
                <w:tab w:val="left" w:pos="4320"/>
              </w:tabs>
              <w:rPr>
                <w:rFonts w:hint="eastAsia" w:ascii="宋体" w:hAnsi="宋体" w:eastAsia="宋体" w:cs="宋体"/>
                <w:sz w:val="24"/>
              </w:rPr>
            </w:pPr>
            <w:r>
              <w:rPr>
                <w:rFonts w:hint="eastAsia" w:ascii="宋体" w:hAnsi="宋体" w:eastAsia="宋体" w:cs="宋体"/>
                <w:sz w:val="24"/>
              </w:rPr>
              <w:t>单位优势及特长</w:t>
            </w:r>
          </w:p>
        </w:tc>
        <w:tc>
          <w:tcPr>
            <w:tcW w:w="7072" w:type="dxa"/>
            <w:gridSpan w:val="9"/>
            <w:tcBorders>
              <w:left w:val="single" w:color="auto" w:sz="4" w:space="0"/>
              <w:right w:val="double" w:color="auto" w:sz="4" w:space="0"/>
            </w:tcBorders>
            <w:noWrap/>
            <w:vAlign w:val="center"/>
          </w:tcPr>
          <w:p w14:paraId="4368BF56">
            <w:pPr>
              <w:tabs>
                <w:tab w:val="left" w:pos="4320"/>
              </w:tabs>
              <w:rPr>
                <w:rFonts w:hint="eastAsia" w:ascii="宋体" w:hAnsi="宋体" w:eastAsia="宋体" w:cs="宋体"/>
                <w:sz w:val="24"/>
              </w:rPr>
            </w:pPr>
          </w:p>
        </w:tc>
      </w:tr>
      <w:tr w14:paraId="5F2EC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noWrap/>
            <w:vAlign w:val="center"/>
          </w:tcPr>
          <w:p w14:paraId="08767A47">
            <w:pPr>
              <w:tabs>
                <w:tab w:val="left" w:pos="4320"/>
              </w:tabs>
              <w:ind w:left="266" w:hanging="266" w:hangingChars="111"/>
              <w:rPr>
                <w:rFonts w:hint="eastAsia" w:ascii="宋体" w:hAnsi="宋体" w:eastAsia="宋体" w:cs="宋体"/>
                <w:sz w:val="24"/>
              </w:rPr>
            </w:pPr>
            <w:r>
              <w:rPr>
                <w:rFonts w:hint="eastAsia" w:ascii="宋体" w:hAnsi="宋体" w:eastAsia="宋体" w:cs="宋体"/>
                <w:sz w:val="24"/>
              </w:rPr>
              <w:t>单位</w:t>
            </w:r>
          </w:p>
          <w:p w14:paraId="443DBAE0">
            <w:pPr>
              <w:tabs>
                <w:tab w:val="left" w:pos="4320"/>
              </w:tabs>
              <w:ind w:left="266" w:hanging="266" w:hangingChars="111"/>
              <w:rPr>
                <w:rFonts w:hint="eastAsia" w:ascii="宋体" w:hAnsi="宋体" w:eastAsia="宋体" w:cs="宋体"/>
                <w:sz w:val="24"/>
              </w:rPr>
            </w:pPr>
            <w:r>
              <w:rPr>
                <w:rFonts w:hint="eastAsia" w:ascii="宋体" w:hAnsi="宋体" w:eastAsia="宋体" w:cs="宋体"/>
                <w:sz w:val="24"/>
              </w:rPr>
              <w:t>概况</w:t>
            </w:r>
          </w:p>
        </w:tc>
        <w:tc>
          <w:tcPr>
            <w:tcW w:w="1276" w:type="dxa"/>
            <w:gridSpan w:val="2"/>
            <w:noWrap/>
            <w:vAlign w:val="center"/>
          </w:tcPr>
          <w:p w14:paraId="0F370F5A">
            <w:pPr>
              <w:tabs>
                <w:tab w:val="left" w:pos="4320"/>
              </w:tabs>
              <w:jc w:val="center"/>
              <w:rPr>
                <w:rFonts w:hint="eastAsia" w:ascii="宋体" w:hAnsi="宋体" w:eastAsia="宋体" w:cs="宋体"/>
                <w:sz w:val="24"/>
              </w:rPr>
            </w:pPr>
            <w:r>
              <w:rPr>
                <w:rFonts w:hint="eastAsia" w:ascii="宋体" w:hAnsi="宋体" w:eastAsia="宋体" w:cs="宋体"/>
                <w:sz w:val="24"/>
              </w:rPr>
              <w:t>职工总数</w:t>
            </w:r>
          </w:p>
        </w:tc>
        <w:tc>
          <w:tcPr>
            <w:tcW w:w="1417" w:type="dxa"/>
            <w:gridSpan w:val="2"/>
            <w:noWrap/>
            <w:vAlign w:val="center"/>
          </w:tcPr>
          <w:p w14:paraId="4E54995B">
            <w:pPr>
              <w:tabs>
                <w:tab w:val="left" w:pos="4320"/>
              </w:tabs>
              <w:jc w:val="right"/>
              <w:rPr>
                <w:rFonts w:hint="eastAsia" w:ascii="宋体" w:hAnsi="宋体" w:eastAsia="宋体" w:cs="宋体"/>
                <w:sz w:val="24"/>
              </w:rPr>
            </w:pPr>
            <w:r>
              <w:rPr>
                <w:rFonts w:hint="eastAsia" w:ascii="宋体" w:hAnsi="宋体" w:eastAsia="宋体" w:cs="宋体"/>
                <w:sz w:val="24"/>
              </w:rPr>
              <w:t>人</w:t>
            </w:r>
          </w:p>
        </w:tc>
        <w:tc>
          <w:tcPr>
            <w:tcW w:w="567" w:type="dxa"/>
            <w:vMerge w:val="restart"/>
            <w:noWrap/>
            <w:vAlign w:val="center"/>
          </w:tcPr>
          <w:p w14:paraId="1E8C119A">
            <w:pPr>
              <w:tabs>
                <w:tab w:val="left" w:pos="4320"/>
              </w:tabs>
              <w:rPr>
                <w:rFonts w:hint="eastAsia" w:ascii="宋体" w:hAnsi="宋体" w:eastAsia="宋体" w:cs="宋体"/>
                <w:sz w:val="24"/>
              </w:rPr>
            </w:pPr>
            <w:r>
              <w:rPr>
                <w:rFonts w:hint="eastAsia" w:ascii="宋体" w:hAnsi="宋体" w:eastAsia="宋体" w:cs="宋体"/>
                <w:sz w:val="24"/>
              </w:rPr>
              <w:t>上一年主要经济指标</w:t>
            </w:r>
          </w:p>
        </w:tc>
        <w:tc>
          <w:tcPr>
            <w:tcW w:w="946" w:type="dxa"/>
            <w:noWrap/>
            <w:vAlign w:val="center"/>
          </w:tcPr>
          <w:p w14:paraId="7E8BF6BE">
            <w:pPr>
              <w:tabs>
                <w:tab w:val="left" w:pos="4320"/>
              </w:tabs>
              <w:jc w:val="center"/>
              <w:rPr>
                <w:rFonts w:hint="eastAsia" w:ascii="宋体" w:hAnsi="宋体" w:eastAsia="宋体" w:cs="宋体"/>
                <w:sz w:val="24"/>
              </w:rPr>
            </w:pPr>
            <w:r>
              <w:rPr>
                <w:rFonts w:hint="eastAsia" w:ascii="宋体" w:hAnsi="宋体" w:eastAsia="宋体" w:cs="宋体"/>
                <w:sz w:val="24"/>
              </w:rPr>
              <w:t>营业额</w:t>
            </w:r>
          </w:p>
        </w:tc>
        <w:tc>
          <w:tcPr>
            <w:tcW w:w="1414" w:type="dxa"/>
            <w:gridSpan w:val="2"/>
            <w:noWrap/>
            <w:vAlign w:val="center"/>
          </w:tcPr>
          <w:p w14:paraId="5A85C0E5">
            <w:pPr>
              <w:tabs>
                <w:tab w:val="left" w:pos="4320"/>
              </w:tabs>
              <w:rPr>
                <w:rFonts w:hint="eastAsia" w:ascii="宋体" w:hAnsi="宋体" w:eastAsia="宋体" w:cs="宋体"/>
                <w:sz w:val="24"/>
              </w:rPr>
            </w:pPr>
          </w:p>
        </w:tc>
        <w:tc>
          <w:tcPr>
            <w:tcW w:w="1184" w:type="dxa"/>
            <w:gridSpan w:val="2"/>
            <w:noWrap/>
            <w:vAlign w:val="center"/>
          </w:tcPr>
          <w:p w14:paraId="5846045B">
            <w:pPr>
              <w:tabs>
                <w:tab w:val="left" w:pos="4320"/>
              </w:tabs>
              <w:jc w:val="center"/>
              <w:rPr>
                <w:rFonts w:hint="eastAsia" w:ascii="宋体" w:hAnsi="宋体" w:eastAsia="宋体" w:cs="宋体"/>
                <w:sz w:val="24"/>
              </w:rPr>
            </w:pPr>
            <w:r>
              <w:rPr>
                <w:rFonts w:hint="eastAsia" w:ascii="宋体" w:hAnsi="宋体" w:eastAsia="宋体" w:cs="宋体"/>
                <w:sz w:val="24"/>
              </w:rPr>
              <w:t>实现利润</w:t>
            </w:r>
          </w:p>
        </w:tc>
        <w:tc>
          <w:tcPr>
            <w:tcW w:w="1544" w:type="dxa"/>
            <w:tcBorders>
              <w:right w:val="double" w:color="auto" w:sz="4" w:space="0"/>
            </w:tcBorders>
            <w:noWrap/>
            <w:vAlign w:val="center"/>
          </w:tcPr>
          <w:p w14:paraId="1121F7DE">
            <w:pPr>
              <w:tabs>
                <w:tab w:val="left" w:pos="4320"/>
              </w:tabs>
              <w:rPr>
                <w:rFonts w:hint="eastAsia" w:ascii="宋体" w:hAnsi="宋体" w:eastAsia="宋体" w:cs="宋体"/>
                <w:sz w:val="24"/>
              </w:rPr>
            </w:pPr>
          </w:p>
        </w:tc>
      </w:tr>
      <w:tr w14:paraId="75F4C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ign w:val="center"/>
          </w:tcPr>
          <w:p w14:paraId="2182F74B">
            <w:pPr>
              <w:tabs>
                <w:tab w:val="left" w:pos="4320"/>
              </w:tabs>
              <w:ind w:left="266" w:hanging="266" w:hangingChars="111"/>
              <w:rPr>
                <w:rFonts w:hint="eastAsia" w:ascii="宋体" w:hAnsi="宋体" w:eastAsia="宋体" w:cs="宋体"/>
                <w:sz w:val="24"/>
              </w:rPr>
            </w:pPr>
          </w:p>
        </w:tc>
        <w:tc>
          <w:tcPr>
            <w:tcW w:w="1276" w:type="dxa"/>
            <w:gridSpan w:val="2"/>
            <w:noWrap/>
            <w:vAlign w:val="center"/>
          </w:tcPr>
          <w:p w14:paraId="3855C2F3">
            <w:pPr>
              <w:tabs>
                <w:tab w:val="left" w:pos="4320"/>
              </w:tabs>
              <w:jc w:val="center"/>
              <w:rPr>
                <w:rFonts w:hint="eastAsia" w:ascii="宋体" w:hAnsi="宋体" w:eastAsia="宋体" w:cs="宋体"/>
                <w:sz w:val="24"/>
              </w:rPr>
            </w:pPr>
            <w:r>
              <w:rPr>
                <w:rFonts w:hint="eastAsia" w:ascii="宋体" w:hAnsi="宋体" w:eastAsia="宋体" w:cs="宋体"/>
                <w:sz w:val="24"/>
              </w:rPr>
              <w:t>流动资金</w:t>
            </w:r>
          </w:p>
        </w:tc>
        <w:tc>
          <w:tcPr>
            <w:tcW w:w="1417" w:type="dxa"/>
            <w:gridSpan w:val="2"/>
            <w:noWrap/>
            <w:vAlign w:val="center"/>
          </w:tcPr>
          <w:p w14:paraId="4D24C1CA">
            <w:pPr>
              <w:tabs>
                <w:tab w:val="left" w:pos="4320"/>
              </w:tabs>
              <w:jc w:val="right"/>
              <w:rPr>
                <w:rFonts w:hint="eastAsia" w:ascii="宋体" w:hAnsi="宋体" w:eastAsia="宋体" w:cs="宋体"/>
                <w:sz w:val="24"/>
              </w:rPr>
            </w:pPr>
            <w:r>
              <w:rPr>
                <w:rFonts w:hint="eastAsia" w:ascii="宋体" w:hAnsi="宋体" w:eastAsia="宋体" w:cs="宋体"/>
                <w:sz w:val="24"/>
              </w:rPr>
              <w:t>万元</w:t>
            </w:r>
          </w:p>
        </w:tc>
        <w:tc>
          <w:tcPr>
            <w:tcW w:w="567" w:type="dxa"/>
            <w:vMerge w:val="continue"/>
            <w:noWrap/>
            <w:vAlign w:val="center"/>
          </w:tcPr>
          <w:p w14:paraId="162B303C">
            <w:pPr>
              <w:tabs>
                <w:tab w:val="left" w:pos="4320"/>
              </w:tabs>
              <w:rPr>
                <w:rFonts w:hint="eastAsia" w:ascii="宋体" w:hAnsi="宋体" w:eastAsia="宋体" w:cs="宋体"/>
                <w:sz w:val="24"/>
              </w:rPr>
            </w:pPr>
          </w:p>
        </w:tc>
        <w:tc>
          <w:tcPr>
            <w:tcW w:w="946" w:type="dxa"/>
            <w:vMerge w:val="restart"/>
            <w:noWrap/>
            <w:vAlign w:val="center"/>
          </w:tcPr>
          <w:p w14:paraId="11E63D13">
            <w:pPr>
              <w:tabs>
                <w:tab w:val="left" w:pos="4320"/>
              </w:tabs>
              <w:jc w:val="center"/>
              <w:rPr>
                <w:rFonts w:hint="eastAsia" w:ascii="宋体" w:hAnsi="宋体" w:eastAsia="宋体" w:cs="宋体"/>
                <w:sz w:val="24"/>
              </w:rPr>
            </w:pPr>
            <w:r>
              <w:rPr>
                <w:rFonts w:hint="eastAsia" w:ascii="宋体" w:hAnsi="宋体" w:eastAsia="宋体" w:cs="宋体"/>
                <w:sz w:val="24"/>
              </w:rPr>
              <w:t>主要</w:t>
            </w:r>
          </w:p>
          <w:p w14:paraId="48C1BC1F">
            <w:pPr>
              <w:tabs>
                <w:tab w:val="left" w:pos="4320"/>
              </w:tabs>
              <w:jc w:val="center"/>
              <w:rPr>
                <w:rFonts w:hint="eastAsia" w:ascii="宋体" w:hAnsi="宋体" w:eastAsia="宋体" w:cs="宋体"/>
                <w:sz w:val="24"/>
              </w:rPr>
            </w:pPr>
            <w:r>
              <w:rPr>
                <w:rFonts w:hint="eastAsia" w:ascii="宋体" w:hAnsi="宋体" w:eastAsia="宋体" w:cs="宋体"/>
                <w:sz w:val="24"/>
              </w:rPr>
              <w:t>产品</w:t>
            </w:r>
          </w:p>
        </w:tc>
        <w:tc>
          <w:tcPr>
            <w:tcW w:w="4142" w:type="dxa"/>
            <w:gridSpan w:val="5"/>
            <w:tcBorders>
              <w:right w:val="double" w:color="auto" w:sz="4" w:space="0"/>
            </w:tcBorders>
            <w:noWrap/>
            <w:vAlign w:val="center"/>
          </w:tcPr>
          <w:p w14:paraId="4B5AD045">
            <w:pPr>
              <w:tabs>
                <w:tab w:val="left" w:pos="4320"/>
              </w:tabs>
              <w:spacing w:before="120" w:after="120"/>
              <w:rPr>
                <w:rFonts w:hint="eastAsia" w:ascii="宋体" w:hAnsi="宋体" w:eastAsia="宋体" w:cs="宋体"/>
                <w:sz w:val="24"/>
              </w:rPr>
            </w:pPr>
            <w:r>
              <w:rPr>
                <w:rFonts w:hint="eastAsia" w:ascii="宋体" w:hAnsi="宋体" w:eastAsia="宋体" w:cs="宋体"/>
                <w:sz w:val="24"/>
              </w:rPr>
              <w:t>1.</w:t>
            </w:r>
          </w:p>
        </w:tc>
      </w:tr>
      <w:tr w14:paraId="41161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trPr>
        <w:tc>
          <w:tcPr>
            <w:tcW w:w="817" w:type="dxa"/>
            <w:vMerge w:val="continue"/>
            <w:tcBorders>
              <w:left w:val="double" w:color="auto" w:sz="4" w:space="0"/>
            </w:tcBorders>
            <w:noWrap/>
            <w:vAlign w:val="center"/>
          </w:tcPr>
          <w:p w14:paraId="4B70C0BE">
            <w:pPr>
              <w:tabs>
                <w:tab w:val="left" w:pos="4320"/>
              </w:tabs>
              <w:ind w:left="266" w:hanging="266" w:hangingChars="111"/>
              <w:rPr>
                <w:rFonts w:hint="eastAsia" w:ascii="宋体" w:hAnsi="宋体" w:eastAsia="宋体" w:cs="宋体"/>
                <w:sz w:val="24"/>
              </w:rPr>
            </w:pPr>
          </w:p>
        </w:tc>
        <w:tc>
          <w:tcPr>
            <w:tcW w:w="1276" w:type="dxa"/>
            <w:gridSpan w:val="2"/>
            <w:noWrap/>
            <w:vAlign w:val="center"/>
          </w:tcPr>
          <w:p w14:paraId="3F9F2140">
            <w:pPr>
              <w:tabs>
                <w:tab w:val="left" w:pos="4320"/>
              </w:tabs>
              <w:jc w:val="center"/>
              <w:rPr>
                <w:rFonts w:hint="eastAsia" w:ascii="宋体" w:hAnsi="宋体" w:eastAsia="宋体" w:cs="宋体"/>
                <w:sz w:val="24"/>
              </w:rPr>
            </w:pPr>
            <w:r>
              <w:rPr>
                <w:rFonts w:hint="eastAsia" w:ascii="宋体" w:hAnsi="宋体" w:eastAsia="宋体" w:cs="宋体"/>
                <w:sz w:val="24"/>
              </w:rPr>
              <w:t>固定资产</w:t>
            </w:r>
          </w:p>
          <w:p w14:paraId="56CB6120">
            <w:pPr>
              <w:tabs>
                <w:tab w:val="left" w:pos="4320"/>
              </w:tabs>
              <w:jc w:val="center"/>
              <w:rPr>
                <w:rFonts w:hint="eastAsia" w:ascii="宋体" w:hAnsi="宋体" w:eastAsia="宋体" w:cs="宋体"/>
                <w:sz w:val="24"/>
              </w:rPr>
            </w:pPr>
            <w:r>
              <w:rPr>
                <w:rFonts w:hint="eastAsia" w:ascii="宋体" w:hAnsi="宋体" w:eastAsia="宋体" w:cs="宋体"/>
                <w:sz w:val="24"/>
              </w:rPr>
              <w:t>（万元）</w:t>
            </w:r>
          </w:p>
        </w:tc>
        <w:tc>
          <w:tcPr>
            <w:tcW w:w="1417" w:type="dxa"/>
            <w:gridSpan w:val="2"/>
            <w:noWrap/>
            <w:vAlign w:val="center"/>
          </w:tcPr>
          <w:p w14:paraId="5359F066">
            <w:pPr>
              <w:tabs>
                <w:tab w:val="left" w:pos="-48"/>
                <w:tab w:val="left" w:pos="4320"/>
              </w:tabs>
              <w:ind w:right="-133" w:hanging="48"/>
              <w:rPr>
                <w:rFonts w:hint="eastAsia" w:ascii="宋体" w:hAnsi="宋体" w:eastAsia="宋体" w:cs="宋体"/>
                <w:sz w:val="24"/>
              </w:rPr>
            </w:pPr>
            <w:r>
              <w:rPr>
                <w:rFonts w:hint="eastAsia" w:ascii="宋体" w:hAnsi="宋体" w:eastAsia="宋体" w:cs="宋体"/>
                <w:sz w:val="24"/>
              </w:rPr>
              <w:t>原值：</w:t>
            </w:r>
          </w:p>
          <w:p w14:paraId="3C6868D9">
            <w:pPr>
              <w:tabs>
                <w:tab w:val="left" w:pos="-48"/>
                <w:tab w:val="left" w:pos="4320"/>
              </w:tabs>
              <w:ind w:hanging="48"/>
              <w:jc w:val="right"/>
              <w:rPr>
                <w:rFonts w:hint="eastAsia" w:ascii="宋体" w:hAnsi="宋体" w:eastAsia="宋体" w:cs="宋体"/>
                <w:sz w:val="24"/>
              </w:rPr>
            </w:pPr>
          </w:p>
          <w:p w14:paraId="0C8B26F9">
            <w:pPr>
              <w:tabs>
                <w:tab w:val="left" w:pos="-48"/>
                <w:tab w:val="left" w:pos="4320"/>
              </w:tabs>
              <w:ind w:right="-133" w:hanging="48"/>
              <w:rPr>
                <w:rFonts w:hint="eastAsia" w:ascii="宋体" w:hAnsi="宋体" w:eastAsia="宋体" w:cs="宋体"/>
                <w:sz w:val="24"/>
              </w:rPr>
            </w:pPr>
            <w:r>
              <w:rPr>
                <w:rFonts w:hint="eastAsia" w:ascii="宋体" w:hAnsi="宋体" w:eastAsia="宋体" w:cs="宋体"/>
                <w:sz w:val="24"/>
              </w:rPr>
              <w:t>净值：</w:t>
            </w:r>
          </w:p>
          <w:p w14:paraId="5162E5A3">
            <w:pPr>
              <w:tabs>
                <w:tab w:val="left" w:pos="-48"/>
                <w:tab w:val="left" w:pos="4320"/>
              </w:tabs>
              <w:ind w:hanging="48"/>
              <w:jc w:val="right"/>
              <w:rPr>
                <w:rFonts w:hint="eastAsia" w:ascii="宋体" w:hAnsi="宋体" w:eastAsia="宋体" w:cs="宋体"/>
                <w:sz w:val="24"/>
              </w:rPr>
            </w:pPr>
          </w:p>
        </w:tc>
        <w:tc>
          <w:tcPr>
            <w:tcW w:w="567" w:type="dxa"/>
            <w:vMerge w:val="continue"/>
            <w:noWrap/>
            <w:vAlign w:val="center"/>
          </w:tcPr>
          <w:p w14:paraId="5A108D7B">
            <w:pPr>
              <w:tabs>
                <w:tab w:val="left" w:pos="4320"/>
              </w:tabs>
              <w:rPr>
                <w:rFonts w:hint="eastAsia" w:ascii="宋体" w:hAnsi="宋体" w:eastAsia="宋体" w:cs="宋体"/>
                <w:sz w:val="24"/>
              </w:rPr>
            </w:pPr>
          </w:p>
        </w:tc>
        <w:tc>
          <w:tcPr>
            <w:tcW w:w="946" w:type="dxa"/>
            <w:vMerge w:val="continue"/>
            <w:noWrap/>
            <w:vAlign w:val="center"/>
          </w:tcPr>
          <w:p w14:paraId="48109DC5">
            <w:pPr>
              <w:tabs>
                <w:tab w:val="left" w:pos="4320"/>
              </w:tabs>
              <w:jc w:val="center"/>
              <w:rPr>
                <w:rFonts w:hint="eastAsia" w:ascii="宋体" w:hAnsi="宋体" w:eastAsia="宋体" w:cs="宋体"/>
                <w:sz w:val="24"/>
              </w:rPr>
            </w:pPr>
          </w:p>
        </w:tc>
        <w:tc>
          <w:tcPr>
            <w:tcW w:w="4142" w:type="dxa"/>
            <w:gridSpan w:val="5"/>
            <w:tcBorders>
              <w:right w:val="double" w:color="auto" w:sz="4" w:space="0"/>
            </w:tcBorders>
            <w:noWrap/>
            <w:vAlign w:val="center"/>
          </w:tcPr>
          <w:p w14:paraId="40817299">
            <w:pPr>
              <w:tabs>
                <w:tab w:val="left" w:pos="4320"/>
              </w:tabs>
              <w:rPr>
                <w:rFonts w:hint="eastAsia" w:ascii="宋体" w:hAnsi="宋体" w:eastAsia="宋体" w:cs="宋体"/>
                <w:sz w:val="24"/>
              </w:rPr>
            </w:pPr>
            <w:r>
              <w:rPr>
                <w:rFonts w:hint="eastAsia" w:ascii="宋体" w:hAnsi="宋体" w:eastAsia="宋体" w:cs="宋体"/>
                <w:sz w:val="24"/>
              </w:rPr>
              <w:t>2.</w:t>
            </w:r>
          </w:p>
        </w:tc>
      </w:tr>
      <w:tr w14:paraId="050A2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ign w:val="center"/>
          </w:tcPr>
          <w:p w14:paraId="08848FAA">
            <w:pPr>
              <w:tabs>
                <w:tab w:val="left" w:pos="4320"/>
              </w:tabs>
              <w:ind w:left="266" w:hanging="266" w:hangingChars="111"/>
              <w:rPr>
                <w:rFonts w:hint="eastAsia" w:ascii="宋体" w:hAnsi="宋体" w:eastAsia="宋体" w:cs="宋体"/>
                <w:sz w:val="24"/>
              </w:rPr>
            </w:pPr>
          </w:p>
        </w:tc>
        <w:tc>
          <w:tcPr>
            <w:tcW w:w="1276" w:type="dxa"/>
            <w:gridSpan w:val="2"/>
            <w:noWrap/>
            <w:vAlign w:val="center"/>
          </w:tcPr>
          <w:p w14:paraId="60882135">
            <w:pPr>
              <w:tabs>
                <w:tab w:val="left" w:pos="4320"/>
              </w:tabs>
              <w:jc w:val="center"/>
              <w:rPr>
                <w:rFonts w:hint="eastAsia" w:ascii="宋体" w:hAnsi="宋体" w:eastAsia="宋体" w:cs="宋体"/>
                <w:sz w:val="24"/>
              </w:rPr>
            </w:pPr>
            <w:r>
              <w:rPr>
                <w:rFonts w:hint="eastAsia" w:ascii="宋体" w:hAnsi="宋体" w:eastAsia="宋体" w:cs="宋体"/>
                <w:sz w:val="24"/>
              </w:rPr>
              <w:t>占地面积</w:t>
            </w:r>
          </w:p>
        </w:tc>
        <w:tc>
          <w:tcPr>
            <w:tcW w:w="1417" w:type="dxa"/>
            <w:gridSpan w:val="2"/>
            <w:noWrap/>
            <w:vAlign w:val="center"/>
          </w:tcPr>
          <w:p w14:paraId="616ECDC9">
            <w:pPr>
              <w:tabs>
                <w:tab w:val="left" w:pos="4320"/>
              </w:tabs>
              <w:jc w:val="right"/>
              <w:rPr>
                <w:rFonts w:hint="eastAsia" w:ascii="宋体" w:hAnsi="宋体" w:eastAsia="宋体" w:cs="宋体"/>
                <w:sz w:val="24"/>
              </w:rPr>
            </w:pPr>
            <w:r>
              <w:rPr>
                <w:rFonts w:hint="eastAsia" w:ascii="宋体" w:hAnsi="宋体" w:eastAsia="宋体" w:cs="宋体"/>
                <w:sz w:val="24"/>
              </w:rPr>
              <w:t>M</w:t>
            </w:r>
            <w:r>
              <w:rPr>
                <w:rFonts w:hint="eastAsia" w:ascii="宋体" w:hAnsi="宋体" w:eastAsia="宋体" w:cs="宋体"/>
                <w:sz w:val="24"/>
                <w:vertAlign w:val="superscript"/>
              </w:rPr>
              <w:t>2</w:t>
            </w:r>
          </w:p>
        </w:tc>
        <w:tc>
          <w:tcPr>
            <w:tcW w:w="567" w:type="dxa"/>
            <w:vMerge w:val="continue"/>
            <w:noWrap/>
            <w:vAlign w:val="center"/>
          </w:tcPr>
          <w:p w14:paraId="72D9888F">
            <w:pPr>
              <w:tabs>
                <w:tab w:val="left" w:pos="4320"/>
              </w:tabs>
              <w:rPr>
                <w:rFonts w:hint="eastAsia" w:ascii="宋体" w:hAnsi="宋体" w:eastAsia="宋体" w:cs="宋体"/>
                <w:sz w:val="24"/>
              </w:rPr>
            </w:pPr>
          </w:p>
        </w:tc>
        <w:tc>
          <w:tcPr>
            <w:tcW w:w="946" w:type="dxa"/>
            <w:vMerge w:val="continue"/>
            <w:noWrap/>
            <w:vAlign w:val="center"/>
          </w:tcPr>
          <w:p w14:paraId="1E58CF69">
            <w:pPr>
              <w:tabs>
                <w:tab w:val="left" w:pos="4320"/>
              </w:tabs>
              <w:jc w:val="center"/>
              <w:rPr>
                <w:rFonts w:hint="eastAsia" w:ascii="宋体" w:hAnsi="宋体" w:eastAsia="宋体" w:cs="宋体"/>
                <w:sz w:val="24"/>
              </w:rPr>
            </w:pPr>
          </w:p>
        </w:tc>
        <w:tc>
          <w:tcPr>
            <w:tcW w:w="4142" w:type="dxa"/>
            <w:gridSpan w:val="5"/>
            <w:tcBorders>
              <w:right w:val="double" w:color="auto" w:sz="4" w:space="0"/>
            </w:tcBorders>
            <w:noWrap/>
            <w:vAlign w:val="center"/>
          </w:tcPr>
          <w:p w14:paraId="5019B38E">
            <w:pPr>
              <w:tabs>
                <w:tab w:val="left" w:pos="4320"/>
              </w:tabs>
              <w:spacing w:before="120" w:after="120"/>
              <w:rPr>
                <w:rFonts w:hint="eastAsia" w:ascii="宋体" w:hAnsi="宋体" w:eastAsia="宋体" w:cs="宋体"/>
                <w:sz w:val="24"/>
              </w:rPr>
            </w:pPr>
            <w:r>
              <w:rPr>
                <w:rFonts w:hint="eastAsia" w:ascii="宋体" w:hAnsi="宋体" w:eastAsia="宋体" w:cs="宋体"/>
                <w:sz w:val="24"/>
              </w:rPr>
              <w:t>3.</w:t>
            </w:r>
          </w:p>
        </w:tc>
      </w:tr>
      <w:tr w14:paraId="4160D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noWrap/>
            <w:vAlign w:val="center"/>
          </w:tcPr>
          <w:p w14:paraId="70CF1A00">
            <w:pPr>
              <w:tabs>
                <w:tab w:val="left" w:pos="4320"/>
              </w:tabs>
              <w:ind w:left="266" w:hanging="266" w:hangingChars="111"/>
              <w:rPr>
                <w:rFonts w:hint="eastAsia" w:ascii="宋体" w:hAnsi="宋体" w:eastAsia="宋体" w:cs="宋体"/>
                <w:sz w:val="24"/>
              </w:rPr>
            </w:pPr>
            <w:r>
              <w:rPr>
                <w:rFonts w:hint="eastAsia" w:ascii="宋体" w:hAnsi="宋体" w:eastAsia="宋体" w:cs="宋体"/>
                <w:sz w:val="24"/>
              </w:rPr>
              <w:t>本次</w:t>
            </w:r>
          </w:p>
          <w:p w14:paraId="54256E88">
            <w:pPr>
              <w:tabs>
                <w:tab w:val="left" w:pos="4320"/>
              </w:tabs>
              <w:ind w:left="266" w:hanging="266" w:hangingChars="111"/>
              <w:rPr>
                <w:rFonts w:hint="eastAsia" w:ascii="宋体" w:hAnsi="宋体" w:eastAsia="宋体" w:cs="宋体"/>
                <w:sz w:val="24"/>
              </w:rPr>
            </w:pPr>
            <w:r>
              <w:rPr>
                <w:rFonts w:hint="eastAsia" w:ascii="宋体" w:hAnsi="宋体" w:eastAsia="宋体" w:cs="宋体"/>
                <w:sz w:val="24"/>
              </w:rPr>
              <w:t>投标</w:t>
            </w:r>
          </w:p>
          <w:p w14:paraId="3B0E2D0D">
            <w:pPr>
              <w:tabs>
                <w:tab w:val="left" w:pos="4320"/>
              </w:tabs>
              <w:ind w:left="266" w:hanging="266" w:hangingChars="111"/>
              <w:rPr>
                <w:rFonts w:hint="eastAsia" w:ascii="宋体" w:hAnsi="宋体" w:eastAsia="宋体" w:cs="宋体"/>
                <w:sz w:val="24"/>
              </w:rPr>
            </w:pPr>
            <w:r>
              <w:rPr>
                <w:rFonts w:hint="eastAsia" w:ascii="宋体" w:hAnsi="宋体" w:eastAsia="宋体" w:cs="宋体"/>
                <w:sz w:val="24"/>
              </w:rPr>
              <w:t>产品</w:t>
            </w:r>
          </w:p>
          <w:p w14:paraId="29E316CD">
            <w:pPr>
              <w:tabs>
                <w:tab w:val="left" w:pos="4320"/>
              </w:tabs>
              <w:ind w:left="266" w:hanging="266" w:hangingChars="111"/>
              <w:rPr>
                <w:rFonts w:hint="eastAsia" w:ascii="宋体" w:hAnsi="宋体" w:eastAsia="宋体" w:cs="宋体"/>
                <w:sz w:val="24"/>
              </w:rPr>
            </w:pPr>
            <w:r>
              <w:rPr>
                <w:rFonts w:hint="eastAsia" w:ascii="宋体" w:hAnsi="宋体" w:eastAsia="宋体" w:cs="宋体"/>
                <w:sz w:val="24"/>
              </w:rPr>
              <w:t>情况</w:t>
            </w:r>
          </w:p>
        </w:tc>
        <w:tc>
          <w:tcPr>
            <w:tcW w:w="1643" w:type="dxa"/>
            <w:gridSpan w:val="3"/>
            <w:noWrap/>
            <w:vAlign w:val="center"/>
          </w:tcPr>
          <w:p w14:paraId="07EE9077">
            <w:pPr>
              <w:tabs>
                <w:tab w:val="left" w:pos="4320"/>
              </w:tabs>
              <w:spacing w:before="60" w:after="60"/>
              <w:jc w:val="center"/>
              <w:rPr>
                <w:rFonts w:hint="eastAsia" w:ascii="宋体" w:hAnsi="宋体" w:eastAsia="宋体" w:cs="宋体"/>
                <w:sz w:val="24"/>
              </w:rPr>
            </w:pPr>
            <w:r>
              <w:rPr>
                <w:rFonts w:hint="eastAsia" w:ascii="宋体" w:hAnsi="宋体" w:eastAsia="宋体" w:cs="宋体"/>
                <w:sz w:val="24"/>
              </w:rPr>
              <w:t>本次投标</w:t>
            </w:r>
            <w:r>
              <w:rPr>
                <w:rFonts w:hint="eastAsia" w:ascii="宋体" w:hAnsi="宋体" w:eastAsia="宋体" w:cs="宋体"/>
                <w:sz w:val="24"/>
              </w:rPr>
              <w:br w:type="textWrapping"/>
            </w:r>
            <w:r>
              <w:rPr>
                <w:rFonts w:hint="eastAsia" w:ascii="宋体" w:hAnsi="宋体" w:eastAsia="宋体" w:cs="宋体"/>
                <w:sz w:val="24"/>
              </w:rPr>
              <w:t>产品名称</w:t>
            </w:r>
          </w:p>
        </w:tc>
        <w:tc>
          <w:tcPr>
            <w:tcW w:w="1617" w:type="dxa"/>
            <w:gridSpan w:val="2"/>
            <w:noWrap/>
            <w:vAlign w:val="center"/>
          </w:tcPr>
          <w:p w14:paraId="6628DE79">
            <w:pPr>
              <w:tabs>
                <w:tab w:val="left" w:pos="4320"/>
              </w:tabs>
              <w:spacing w:before="60" w:after="60"/>
              <w:jc w:val="center"/>
              <w:rPr>
                <w:rFonts w:hint="eastAsia" w:ascii="宋体" w:hAnsi="宋体" w:eastAsia="宋体" w:cs="宋体"/>
                <w:sz w:val="24"/>
              </w:rPr>
            </w:pPr>
            <w:r>
              <w:rPr>
                <w:rFonts w:hint="eastAsia" w:ascii="宋体" w:hAnsi="宋体" w:eastAsia="宋体" w:cs="宋体"/>
                <w:sz w:val="24"/>
              </w:rPr>
              <w:t>型    号</w:t>
            </w:r>
          </w:p>
        </w:tc>
        <w:tc>
          <w:tcPr>
            <w:tcW w:w="946" w:type="dxa"/>
            <w:noWrap/>
            <w:vAlign w:val="center"/>
          </w:tcPr>
          <w:p w14:paraId="48EBBF78">
            <w:pPr>
              <w:tabs>
                <w:tab w:val="left" w:pos="4320"/>
              </w:tabs>
              <w:spacing w:before="60" w:after="60"/>
              <w:jc w:val="center"/>
              <w:rPr>
                <w:rFonts w:hint="eastAsia" w:ascii="宋体" w:hAnsi="宋体" w:eastAsia="宋体" w:cs="宋体"/>
                <w:sz w:val="24"/>
              </w:rPr>
            </w:pPr>
            <w:r>
              <w:rPr>
                <w:rFonts w:hint="eastAsia" w:ascii="宋体" w:hAnsi="宋体" w:eastAsia="宋体" w:cs="宋体"/>
                <w:sz w:val="24"/>
              </w:rPr>
              <w:t>上年</w:t>
            </w:r>
            <w:r>
              <w:rPr>
                <w:rFonts w:hint="eastAsia" w:ascii="宋体" w:hAnsi="宋体" w:eastAsia="宋体" w:cs="宋体"/>
                <w:sz w:val="24"/>
              </w:rPr>
              <w:br w:type="textWrapping"/>
            </w:r>
            <w:r>
              <w:rPr>
                <w:rFonts w:hint="eastAsia" w:ascii="宋体" w:hAnsi="宋体" w:eastAsia="宋体" w:cs="宋体"/>
                <w:sz w:val="24"/>
              </w:rPr>
              <w:t>产销量</w:t>
            </w:r>
          </w:p>
        </w:tc>
        <w:tc>
          <w:tcPr>
            <w:tcW w:w="1263" w:type="dxa"/>
            <w:noWrap/>
            <w:vAlign w:val="center"/>
          </w:tcPr>
          <w:p w14:paraId="171D2D92">
            <w:pPr>
              <w:tabs>
                <w:tab w:val="left" w:pos="4320"/>
              </w:tabs>
              <w:spacing w:before="60" w:after="60"/>
              <w:jc w:val="center"/>
              <w:rPr>
                <w:rFonts w:hint="eastAsia" w:ascii="宋体" w:hAnsi="宋体" w:eastAsia="宋体" w:cs="宋体"/>
                <w:sz w:val="24"/>
              </w:rPr>
            </w:pPr>
            <w:r>
              <w:rPr>
                <w:rFonts w:hint="eastAsia" w:ascii="宋体" w:hAnsi="宋体" w:eastAsia="宋体" w:cs="宋体"/>
                <w:sz w:val="24"/>
              </w:rPr>
              <w:t>产品技术</w:t>
            </w:r>
          </w:p>
          <w:p w14:paraId="5569FEBF">
            <w:pPr>
              <w:tabs>
                <w:tab w:val="left" w:pos="4320"/>
              </w:tabs>
              <w:spacing w:before="60" w:after="60"/>
              <w:jc w:val="center"/>
              <w:rPr>
                <w:rFonts w:hint="eastAsia" w:ascii="宋体" w:hAnsi="宋体" w:eastAsia="宋体" w:cs="宋体"/>
                <w:sz w:val="24"/>
              </w:rPr>
            </w:pPr>
            <w:r>
              <w:rPr>
                <w:rFonts w:hint="eastAsia" w:ascii="宋体" w:hAnsi="宋体" w:eastAsia="宋体" w:cs="宋体"/>
                <w:sz w:val="24"/>
              </w:rPr>
              <w:t>先进水平</w:t>
            </w:r>
          </w:p>
        </w:tc>
        <w:tc>
          <w:tcPr>
            <w:tcW w:w="1273" w:type="dxa"/>
            <w:gridSpan w:val="2"/>
            <w:noWrap/>
            <w:vAlign w:val="center"/>
          </w:tcPr>
          <w:p w14:paraId="5E5ED4E1">
            <w:pPr>
              <w:tabs>
                <w:tab w:val="left" w:pos="4320"/>
              </w:tabs>
              <w:spacing w:before="60" w:after="60"/>
              <w:jc w:val="center"/>
              <w:rPr>
                <w:rFonts w:hint="eastAsia" w:ascii="宋体" w:hAnsi="宋体" w:eastAsia="宋体" w:cs="宋体"/>
                <w:sz w:val="24"/>
              </w:rPr>
            </w:pPr>
            <w:r>
              <w:rPr>
                <w:rFonts w:hint="eastAsia" w:ascii="宋体" w:hAnsi="宋体" w:eastAsia="宋体" w:cs="宋体"/>
                <w:sz w:val="24"/>
              </w:rPr>
              <w:t>曾获何级</w:t>
            </w:r>
          </w:p>
          <w:p w14:paraId="7719A05D">
            <w:pPr>
              <w:tabs>
                <w:tab w:val="left" w:pos="4320"/>
              </w:tabs>
              <w:spacing w:before="60" w:after="60"/>
              <w:jc w:val="center"/>
              <w:rPr>
                <w:rFonts w:hint="eastAsia" w:ascii="宋体" w:hAnsi="宋体" w:eastAsia="宋体" w:cs="宋体"/>
                <w:sz w:val="24"/>
              </w:rPr>
            </w:pPr>
            <w:r>
              <w:rPr>
                <w:rFonts w:hint="eastAsia" w:ascii="宋体" w:hAnsi="宋体" w:eastAsia="宋体" w:cs="宋体"/>
                <w:sz w:val="24"/>
              </w:rPr>
              <w:t>何种奖励</w:t>
            </w:r>
          </w:p>
        </w:tc>
        <w:tc>
          <w:tcPr>
            <w:tcW w:w="1606" w:type="dxa"/>
            <w:gridSpan w:val="2"/>
            <w:tcBorders>
              <w:right w:val="double" w:color="auto" w:sz="4" w:space="0"/>
            </w:tcBorders>
            <w:noWrap/>
            <w:vAlign w:val="center"/>
          </w:tcPr>
          <w:p w14:paraId="2D2A0DD1">
            <w:pPr>
              <w:tabs>
                <w:tab w:val="left" w:pos="4320"/>
              </w:tabs>
              <w:spacing w:before="60" w:after="60"/>
              <w:jc w:val="center"/>
              <w:rPr>
                <w:rFonts w:hint="eastAsia" w:ascii="宋体" w:hAnsi="宋体" w:eastAsia="宋体" w:cs="宋体"/>
                <w:sz w:val="24"/>
              </w:rPr>
            </w:pPr>
            <w:r>
              <w:rPr>
                <w:rFonts w:hint="eastAsia" w:ascii="宋体" w:hAnsi="宋体" w:eastAsia="宋体" w:cs="宋体"/>
                <w:sz w:val="24"/>
              </w:rPr>
              <w:t>主要用户</w:t>
            </w:r>
            <w:r>
              <w:rPr>
                <w:rFonts w:hint="eastAsia" w:ascii="宋体" w:hAnsi="宋体" w:eastAsia="宋体" w:cs="宋体"/>
                <w:sz w:val="24"/>
              </w:rPr>
              <w:br w:type="textWrapping"/>
            </w:r>
            <w:r>
              <w:rPr>
                <w:rFonts w:hint="eastAsia" w:ascii="宋体" w:hAnsi="宋体" w:eastAsia="宋体" w:cs="宋体"/>
                <w:sz w:val="24"/>
              </w:rPr>
              <w:t>名称</w:t>
            </w:r>
          </w:p>
        </w:tc>
      </w:tr>
      <w:tr w14:paraId="5898F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ign w:val="center"/>
          </w:tcPr>
          <w:p w14:paraId="3A77A46E">
            <w:pPr>
              <w:tabs>
                <w:tab w:val="left" w:pos="4320"/>
              </w:tabs>
              <w:rPr>
                <w:rFonts w:hint="eastAsia" w:ascii="宋体" w:hAnsi="宋体" w:eastAsia="宋体" w:cs="宋体"/>
                <w:sz w:val="24"/>
              </w:rPr>
            </w:pPr>
          </w:p>
        </w:tc>
        <w:tc>
          <w:tcPr>
            <w:tcW w:w="1643" w:type="dxa"/>
            <w:gridSpan w:val="3"/>
            <w:noWrap/>
            <w:vAlign w:val="center"/>
          </w:tcPr>
          <w:p w14:paraId="1AEBF172">
            <w:pPr>
              <w:tabs>
                <w:tab w:val="left" w:pos="4320"/>
              </w:tabs>
              <w:rPr>
                <w:rFonts w:hint="eastAsia" w:ascii="宋体" w:hAnsi="宋体" w:eastAsia="宋体" w:cs="宋体"/>
                <w:sz w:val="24"/>
              </w:rPr>
            </w:pPr>
          </w:p>
        </w:tc>
        <w:tc>
          <w:tcPr>
            <w:tcW w:w="1617" w:type="dxa"/>
            <w:gridSpan w:val="2"/>
            <w:noWrap/>
            <w:vAlign w:val="center"/>
          </w:tcPr>
          <w:p w14:paraId="689A61F3">
            <w:pPr>
              <w:tabs>
                <w:tab w:val="left" w:pos="4320"/>
              </w:tabs>
              <w:rPr>
                <w:rFonts w:hint="eastAsia" w:ascii="宋体" w:hAnsi="宋体" w:eastAsia="宋体" w:cs="宋体"/>
                <w:sz w:val="24"/>
              </w:rPr>
            </w:pPr>
          </w:p>
        </w:tc>
        <w:tc>
          <w:tcPr>
            <w:tcW w:w="946" w:type="dxa"/>
            <w:noWrap/>
            <w:vAlign w:val="center"/>
          </w:tcPr>
          <w:p w14:paraId="05ACA8AF">
            <w:pPr>
              <w:tabs>
                <w:tab w:val="left" w:pos="4320"/>
              </w:tabs>
              <w:rPr>
                <w:rFonts w:hint="eastAsia" w:ascii="宋体" w:hAnsi="宋体" w:eastAsia="宋体" w:cs="宋体"/>
                <w:sz w:val="24"/>
              </w:rPr>
            </w:pPr>
          </w:p>
        </w:tc>
        <w:tc>
          <w:tcPr>
            <w:tcW w:w="1263" w:type="dxa"/>
            <w:noWrap/>
            <w:vAlign w:val="center"/>
          </w:tcPr>
          <w:p w14:paraId="4BCFE949">
            <w:pPr>
              <w:tabs>
                <w:tab w:val="left" w:pos="4320"/>
              </w:tabs>
              <w:rPr>
                <w:rFonts w:hint="eastAsia" w:ascii="宋体" w:hAnsi="宋体" w:eastAsia="宋体" w:cs="宋体"/>
                <w:sz w:val="24"/>
              </w:rPr>
            </w:pPr>
          </w:p>
        </w:tc>
        <w:tc>
          <w:tcPr>
            <w:tcW w:w="1273" w:type="dxa"/>
            <w:gridSpan w:val="2"/>
            <w:noWrap/>
            <w:vAlign w:val="center"/>
          </w:tcPr>
          <w:p w14:paraId="023579B4">
            <w:pPr>
              <w:tabs>
                <w:tab w:val="left" w:pos="4320"/>
              </w:tabs>
              <w:rPr>
                <w:rFonts w:hint="eastAsia" w:ascii="宋体" w:hAnsi="宋体" w:eastAsia="宋体" w:cs="宋体"/>
                <w:sz w:val="24"/>
              </w:rPr>
            </w:pPr>
          </w:p>
        </w:tc>
        <w:tc>
          <w:tcPr>
            <w:tcW w:w="1606" w:type="dxa"/>
            <w:gridSpan w:val="2"/>
            <w:tcBorders>
              <w:right w:val="double" w:color="auto" w:sz="4" w:space="0"/>
            </w:tcBorders>
            <w:noWrap/>
            <w:vAlign w:val="center"/>
          </w:tcPr>
          <w:p w14:paraId="588A9C3F">
            <w:pPr>
              <w:tabs>
                <w:tab w:val="left" w:pos="4320"/>
              </w:tabs>
              <w:rPr>
                <w:rFonts w:hint="eastAsia" w:ascii="宋体" w:hAnsi="宋体" w:eastAsia="宋体" w:cs="宋体"/>
                <w:sz w:val="24"/>
              </w:rPr>
            </w:pPr>
          </w:p>
        </w:tc>
      </w:tr>
      <w:tr w14:paraId="0496C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ign w:val="center"/>
          </w:tcPr>
          <w:p w14:paraId="002F9B63">
            <w:pPr>
              <w:tabs>
                <w:tab w:val="left" w:pos="4320"/>
              </w:tabs>
              <w:rPr>
                <w:rFonts w:hint="eastAsia" w:ascii="宋体" w:hAnsi="宋体" w:eastAsia="宋体" w:cs="宋体"/>
                <w:sz w:val="24"/>
              </w:rPr>
            </w:pPr>
          </w:p>
        </w:tc>
        <w:tc>
          <w:tcPr>
            <w:tcW w:w="1643" w:type="dxa"/>
            <w:gridSpan w:val="3"/>
            <w:noWrap/>
            <w:vAlign w:val="center"/>
          </w:tcPr>
          <w:p w14:paraId="3D68CE07">
            <w:pPr>
              <w:tabs>
                <w:tab w:val="left" w:pos="4320"/>
              </w:tabs>
              <w:rPr>
                <w:rFonts w:hint="eastAsia" w:ascii="宋体" w:hAnsi="宋体" w:eastAsia="宋体" w:cs="宋体"/>
                <w:sz w:val="24"/>
              </w:rPr>
            </w:pPr>
          </w:p>
        </w:tc>
        <w:tc>
          <w:tcPr>
            <w:tcW w:w="1617" w:type="dxa"/>
            <w:gridSpan w:val="2"/>
            <w:noWrap/>
            <w:vAlign w:val="center"/>
          </w:tcPr>
          <w:p w14:paraId="78B4AAB2">
            <w:pPr>
              <w:tabs>
                <w:tab w:val="left" w:pos="4320"/>
              </w:tabs>
              <w:rPr>
                <w:rFonts w:hint="eastAsia" w:ascii="宋体" w:hAnsi="宋体" w:eastAsia="宋体" w:cs="宋体"/>
                <w:sz w:val="24"/>
              </w:rPr>
            </w:pPr>
          </w:p>
        </w:tc>
        <w:tc>
          <w:tcPr>
            <w:tcW w:w="946" w:type="dxa"/>
            <w:noWrap/>
            <w:vAlign w:val="center"/>
          </w:tcPr>
          <w:p w14:paraId="46057A2E">
            <w:pPr>
              <w:tabs>
                <w:tab w:val="left" w:pos="4320"/>
              </w:tabs>
              <w:rPr>
                <w:rFonts w:hint="eastAsia" w:ascii="宋体" w:hAnsi="宋体" w:eastAsia="宋体" w:cs="宋体"/>
                <w:sz w:val="24"/>
              </w:rPr>
            </w:pPr>
          </w:p>
        </w:tc>
        <w:tc>
          <w:tcPr>
            <w:tcW w:w="1263" w:type="dxa"/>
            <w:noWrap/>
            <w:vAlign w:val="center"/>
          </w:tcPr>
          <w:p w14:paraId="5B2D18F1">
            <w:pPr>
              <w:tabs>
                <w:tab w:val="left" w:pos="4320"/>
              </w:tabs>
              <w:rPr>
                <w:rFonts w:hint="eastAsia" w:ascii="宋体" w:hAnsi="宋体" w:eastAsia="宋体" w:cs="宋体"/>
                <w:sz w:val="24"/>
              </w:rPr>
            </w:pPr>
          </w:p>
        </w:tc>
        <w:tc>
          <w:tcPr>
            <w:tcW w:w="1273" w:type="dxa"/>
            <w:gridSpan w:val="2"/>
            <w:noWrap/>
            <w:vAlign w:val="center"/>
          </w:tcPr>
          <w:p w14:paraId="6C22B468">
            <w:pPr>
              <w:tabs>
                <w:tab w:val="left" w:pos="4320"/>
              </w:tabs>
              <w:rPr>
                <w:rFonts w:hint="eastAsia" w:ascii="宋体" w:hAnsi="宋体" w:eastAsia="宋体" w:cs="宋体"/>
                <w:sz w:val="24"/>
              </w:rPr>
            </w:pPr>
          </w:p>
        </w:tc>
        <w:tc>
          <w:tcPr>
            <w:tcW w:w="1606" w:type="dxa"/>
            <w:gridSpan w:val="2"/>
            <w:tcBorders>
              <w:right w:val="double" w:color="auto" w:sz="4" w:space="0"/>
            </w:tcBorders>
            <w:noWrap/>
            <w:vAlign w:val="center"/>
          </w:tcPr>
          <w:p w14:paraId="0A6FF857">
            <w:pPr>
              <w:tabs>
                <w:tab w:val="left" w:pos="4320"/>
              </w:tabs>
              <w:rPr>
                <w:rFonts w:hint="eastAsia" w:ascii="宋体" w:hAnsi="宋体" w:eastAsia="宋体" w:cs="宋体"/>
                <w:sz w:val="24"/>
              </w:rPr>
            </w:pPr>
          </w:p>
        </w:tc>
      </w:tr>
      <w:tr w14:paraId="4A3DB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ign w:val="center"/>
          </w:tcPr>
          <w:p w14:paraId="2848A603">
            <w:pPr>
              <w:tabs>
                <w:tab w:val="left" w:pos="4320"/>
              </w:tabs>
              <w:rPr>
                <w:rFonts w:hint="eastAsia" w:ascii="宋体" w:hAnsi="宋体" w:eastAsia="宋体" w:cs="宋体"/>
                <w:sz w:val="24"/>
              </w:rPr>
            </w:pPr>
          </w:p>
        </w:tc>
        <w:tc>
          <w:tcPr>
            <w:tcW w:w="1643" w:type="dxa"/>
            <w:gridSpan w:val="3"/>
            <w:noWrap/>
            <w:vAlign w:val="center"/>
          </w:tcPr>
          <w:p w14:paraId="061582F5">
            <w:pPr>
              <w:tabs>
                <w:tab w:val="left" w:pos="4320"/>
              </w:tabs>
              <w:rPr>
                <w:rFonts w:hint="eastAsia" w:ascii="宋体" w:hAnsi="宋体" w:eastAsia="宋体" w:cs="宋体"/>
                <w:sz w:val="24"/>
              </w:rPr>
            </w:pPr>
          </w:p>
        </w:tc>
        <w:tc>
          <w:tcPr>
            <w:tcW w:w="1617" w:type="dxa"/>
            <w:gridSpan w:val="2"/>
            <w:noWrap/>
            <w:vAlign w:val="center"/>
          </w:tcPr>
          <w:p w14:paraId="024D9785">
            <w:pPr>
              <w:tabs>
                <w:tab w:val="left" w:pos="4320"/>
              </w:tabs>
              <w:rPr>
                <w:rFonts w:hint="eastAsia" w:ascii="宋体" w:hAnsi="宋体" w:eastAsia="宋体" w:cs="宋体"/>
                <w:sz w:val="24"/>
              </w:rPr>
            </w:pPr>
          </w:p>
        </w:tc>
        <w:tc>
          <w:tcPr>
            <w:tcW w:w="946" w:type="dxa"/>
            <w:noWrap/>
            <w:vAlign w:val="center"/>
          </w:tcPr>
          <w:p w14:paraId="75BA8ABA">
            <w:pPr>
              <w:tabs>
                <w:tab w:val="left" w:pos="4320"/>
              </w:tabs>
              <w:rPr>
                <w:rFonts w:hint="eastAsia" w:ascii="宋体" w:hAnsi="宋体" w:eastAsia="宋体" w:cs="宋体"/>
                <w:sz w:val="24"/>
              </w:rPr>
            </w:pPr>
          </w:p>
        </w:tc>
        <w:tc>
          <w:tcPr>
            <w:tcW w:w="1263" w:type="dxa"/>
            <w:noWrap/>
            <w:vAlign w:val="center"/>
          </w:tcPr>
          <w:p w14:paraId="1068F15E">
            <w:pPr>
              <w:tabs>
                <w:tab w:val="left" w:pos="4320"/>
              </w:tabs>
              <w:rPr>
                <w:rFonts w:hint="eastAsia" w:ascii="宋体" w:hAnsi="宋体" w:eastAsia="宋体" w:cs="宋体"/>
                <w:sz w:val="24"/>
              </w:rPr>
            </w:pPr>
          </w:p>
        </w:tc>
        <w:tc>
          <w:tcPr>
            <w:tcW w:w="1273" w:type="dxa"/>
            <w:gridSpan w:val="2"/>
            <w:noWrap/>
            <w:vAlign w:val="center"/>
          </w:tcPr>
          <w:p w14:paraId="25006E01">
            <w:pPr>
              <w:tabs>
                <w:tab w:val="left" w:pos="4320"/>
              </w:tabs>
              <w:rPr>
                <w:rFonts w:hint="eastAsia" w:ascii="宋体" w:hAnsi="宋体" w:eastAsia="宋体" w:cs="宋体"/>
                <w:sz w:val="24"/>
              </w:rPr>
            </w:pPr>
          </w:p>
        </w:tc>
        <w:tc>
          <w:tcPr>
            <w:tcW w:w="1606" w:type="dxa"/>
            <w:gridSpan w:val="2"/>
            <w:tcBorders>
              <w:right w:val="double" w:color="auto" w:sz="4" w:space="0"/>
            </w:tcBorders>
            <w:noWrap/>
            <w:vAlign w:val="center"/>
          </w:tcPr>
          <w:p w14:paraId="1C88E173">
            <w:pPr>
              <w:tabs>
                <w:tab w:val="left" w:pos="4320"/>
              </w:tabs>
              <w:rPr>
                <w:rFonts w:hint="eastAsia" w:ascii="宋体" w:hAnsi="宋体" w:eastAsia="宋体" w:cs="宋体"/>
                <w:sz w:val="24"/>
              </w:rPr>
            </w:pPr>
          </w:p>
        </w:tc>
      </w:tr>
      <w:tr w14:paraId="71952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ign w:val="center"/>
          </w:tcPr>
          <w:p w14:paraId="3DBDABFD">
            <w:pPr>
              <w:tabs>
                <w:tab w:val="left" w:pos="4320"/>
              </w:tabs>
              <w:rPr>
                <w:rFonts w:hint="eastAsia" w:ascii="宋体" w:hAnsi="宋体" w:eastAsia="宋体" w:cs="宋体"/>
                <w:sz w:val="24"/>
              </w:rPr>
            </w:pPr>
          </w:p>
        </w:tc>
        <w:tc>
          <w:tcPr>
            <w:tcW w:w="1643" w:type="dxa"/>
            <w:gridSpan w:val="3"/>
            <w:noWrap/>
            <w:vAlign w:val="center"/>
          </w:tcPr>
          <w:p w14:paraId="307BE273">
            <w:pPr>
              <w:tabs>
                <w:tab w:val="left" w:pos="4320"/>
              </w:tabs>
              <w:rPr>
                <w:rFonts w:hint="eastAsia" w:ascii="宋体" w:hAnsi="宋体" w:eastAsia="宋体" w:cs="宋体"/>
                <w:sz w:val="24"/>
              </w:rPr>
            </w:pPr>
          </w:p>
        </w:tc>
        <w:tc>
          <w:tcPr>
            <w:tcW w:w="1617" w:type="dxa"/>
            <w:gridSpan w:val="2"/>
            <w:noWrap/>
            <w:vAlign w:val="center"/>
          </w:tcPr>
          <w:p w14:paraId="1BAB31F1">
            <w:pPr>
              <w:tabs>
                <w:tab w:val="left" w:pos="4320"/>
              </w:tabs>
              <w:rPr>
                <w:rFonts w:hint="eastAsia" w:ascii="宋体" w:hAnsi="宋体" w:eastAsia="宋体" w:cs="宋体"/>
                <w:sz w:val="24"/>
              </w:rPr>
            </w:pPr>
          </w:p>
        </w:tc>
        <w:tc>
          <w:tcPr>
            <w:tcW w:w="946" w:type="dxa"/>
            <w:noWrap/>
            <w:vAlign w:val="center"/>
          </w:tcPr>
          <w:p w14:paraId="11A7AE10">
            <w:pPr>
              <w:tabs>
                <w:tab w:val="left" w:pos="4320"/>
              </w:tabs>
              <w:rPr>
                <w:rFonts w:hint="eastAsia" w:ascii="宋体" w:hAnsi="宋体" w:eastAsia="宋体" w:cs="宋体"/>
                <w:sz w:val="24"/>
              </w:rPr>
            </w:pPr>
          </w:p>
        </w:tc>
        <w:tc>
          <w:tcPr>
            <w:tcW w:w="1263" w:type="dxa"/>
            <w:noWrap/>
            <w:vAlign w:val="center"/>
          </w:tcPr>
          <w:p w14:paraId="68CD6889">
            <w:pPr>
              <w:tabs>
                <w:tab w:val="left" w:pos="4320"/>
              </w:tabs>
              <w:rPr>
                <w:rFonts w:hint="eastAsia" w:ascii="宋体" w:hAnsi="宋体" w:eastAsia="宋体" w:cs="宋体"/>
                <w:sz w:val="24"/>
              </w:rPr>
            </w:pPr>
          </w:p>
        </w:tc>
        <w:tc>
          <w:tcPr>
            <w:tcW w:w="1273" w:type="dxa"/>
            <w:gridSpan w:val="2"/>
            <w:noWrap/>
            <w:vAlign w:val="center"/>
          </w:tcPr>
          <w:p w14:paraId="2B304FF9">
            <w:pPr>
              <w:tabs>
                <w:tab w:val="left" w:pos="4320"/>
              </w:tabs>
              <w:rPr>
                <w:rFonts w:hint="eastAsia" w:ascii="宋体" w:hAnsi="宋体" w:eastAsia="宋体" w:cs="宋体"/>
                <w:sz w:val="24"/>
              </w:rPr>
            </w:pPr>
          </w:p>
        </w:tc>
        <w:tc>
          <w:tcPr>
            <w:tcW w:w="1606" w:type="dxa"/>
            <w:gridSpan w:val="2"/>
            <w:tcBorders>
              <w:right w:val="double" w:color="auto" w:sz="4" w:space="0"/>
            </w:tcBorders>
            <w:noWrap/>
            <w:vAlign w:val="center"/>
          </w:tcPr>
          <w:p w14:paraId="7778D520">
            <w:pPr>
              <w:tabs>
                <w:tab w:val="left" w:pos="4320"/>
              </w:tabs>
              <w:rPr>
                <w:rFonts w:hint="eastAsia" w:ascii="宋体" w:hAnsi="宋体" w:eastAsia="宋体" w:cs="宋体"/>
                <w:sz w:val="24"/>
              </w:rPr>
            </w:pPr>
          </w:p>
        </w:tc>
      </w:tr>
      <w:tr w14:paraId="0E74F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noWrap/>
            <w:vAlign w:val="center"/>
          </w:tcPr>
          <w:p w14:paraId="02D4538B">
            <w:pPr>
              <w:tabs>
                <w:tab w:val="left" w:pos="4320"/>
              </w:tabs>
              <w:rPr>
                <w:rFonts w:hint="eastAsia" w:ascii="宋体" w:hAnsi="宋体" w:eastAsia="宋体" w:cs="宋体"/>
                <w:sz w:val="24"/>
              </w:rPr>
            </w:pPr>
            <w:r>
              <w:rPr>
                <w:rFonts w:hint="eastAsia" w:ascii="宋体" w:hAnsi="宋体" w:eastAsia="宋体" w:cs="宋体"/>
                <w:sz w:val="24"/>
              </w:rPr>
              <w:t>其它</w:t>
            </w:r>
          </w:p>
        </w:tc>
        <w:tc>
          <w:tcPr>
            <w:tcW w:w="4206" w:type="dxa"/>
            <w:gridSpan w:val="6"/>
            <w:noWrap/>
            <w:vAlign w:val="center"/>
          </w:tcPr>
          <w:p w14:paraId="2695A7EE">
            <w:pPr>
              <w:tabs>
                <w:tab w:val="left" w:pos="4320"/>
              </w:tabs>
              <w:spacing w:before="60" w:after="60"/>
              <w:rPr>
                <w:rFonts w:hint="eastAsia" w:ascii="宋体" w:hAnsi="宋体" w:eastAsia="宋体" w:cs="宋体"/>
                <w:sz w:val="24"/>
              </w:rPr>
            </w:pPr>
            <w:r>
              <w:rPr>
                <w:rFonts w:hint="eastAsia" w:ascii="宋体" w:hAnsi="宋体" w:eastAsia="宋体" w:cs="宋体"/>
                <w:sz w:val="24"/>
              </w:rPr>
              <w:t>近3年完成及正在执行的合同中发生的由于供应商违约或部分违约而引起诉讼和受到索赔的案件具体情况及结果（须如实填写，若对此进行隐瞒，尔后又被采购人或采购代理机构发现，或被它人举证成立，其磋商资格将被取消）。</w:t>
            </w:r>
          </w:p>
        </w:tc>
        <w:tc>
          <w:tcPr>
            <w:tcW w:w="4142" w:type="dxa"/>
            <w:gridSpan w:val="5"/>
            <w:tcBorders>
              <w:right w:val="double" w:color="auto" w:sz="4" w:space="0"/>
            </w:tcBorders>
            <w:noWrap/>
            <w:vAlign w:val="center"/>
          </w:tcPr>
          <w:p w14:paraId="56582449">
            <w:pPr>
              <w:tabs>
                <w:tab w:val="left" w:pos="4320"/>
              </w:tabs>
              <w:spacing w:before="60" w:after="60"/>
              <w:rPr>
                <w:rFonts w:hint="eastAsia" w:ascii="宋体" w:hAnsi="宋体" w:eastAsia="宋体" w:cs="宋体"/>
                <w:sz w:val="24"/>
              </w:rPr>
            </w:pPr>
            <w:r>
              <w:rPr>
                <w:rFonts w:hint="eastAsia" w:ascii="宋体" w:hAnsi="宋体" w:eastAsia="宋体" w:cs="宋体"/>
                <w:sz w:val="24"/>
              </w:rPr>
              <w:t>如有名称变更（非因该单位出现了与资格预审（如果经此程序）时的营业性质的根本改变以至不再满足本次招标的要求），说明原名称因何种原因变更为现名称，并提供由工商管理部门出具的变更证明文件。</w:t>
            </w:r>
          </w:p>
        </w:tc>
      </w:tr>
      <w:tr w14:paraId="233C2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7" w:hRule="atLeast"/>
        </w:trPr>
        <w:tc>
          <w:tcPr>
            <w:tcW w:w="817" w:type="dxa"/>
            <w:vMerge w:val="continue"/>
            <w:tcBorders>
              <w:left w:val="double" w:color="auto" w:sz="4" w:space="0"/>
              <w:bottom w:val="double" w:color="auto" w:sz="4" w:space="0"/>
            </w:tcBorders>
            <w:noWrap/>
            <w:vAlign w:val="center"/>
          </w:tcPr>
          <w:p w14:paraId="387433B3">
            <w:pPr>
              <w:tabs>
                <w:tab w:val="left" w:pos="4320"/>
              </w:tabs>
              <w:rPr>
                <w:rFonts w:hint="eastAsia" w:ascii="宋体" w:hAnsi="宋体" w:eastAsia="宋体" w:cs="宋体"/>
                <w:sz w:val="24"/>
              </w:rPr>
            </w:pPr>
          </w:p>
        </w:tc>
        <w:tc>
          <w:tcPr>
            <w:tcW w:w="4206" w:type="dxa"/>
            <w:gridSpan w:val="6"/>
            <w:tcBorders>
              <w:bottom w:val="double" w:color="auto" w:sz="4" w:space="0"/>
            </w:tcBorders>
            <w:noWrap/>
            <w:vAlign w:val="center"/>
          </w:tcPr>
          <w:p w14:paraId="5CF03EBB">
            <w:pPr>
              <w:tabs>
                <w:tab w:val="left" w:pos="4320"/>
              </w:tabs>
              <w:rPr>
                <w:rFonts w:hint="eastAsia" w:ascii="宋体" w:hAnsi="宋体" w:eastAsia="宋体" w:cs="宋体"/>
                <w:sz w:val="24"/>
              </w:rPr>
            </w:pPr>
          </w:p>
        </w:tc>
        <w:tc>
          <w:tcPr>
            <w:tcW w:w="4142" w:type="dxa"/>
            <w:gridSpan w:val="5"/>
            <w:tcBorders>
              <w:bottom w:val="double" w:color="auto" w:sz="4" w:space="0"/>
              <w:right w:val="double" w:color="auto" w:sz="4" w:space="0"/>
            </w:tcBorders>
            <w:noWrap/>
            <w:vAlign w:val="center"/>
          </w:tcPr>
          <w:p w14:paraId="07A36A92">
            <w:pPr>
              <w:tabs>
                <w:tab w:val="left" w:pos="4320"/>
              </w:tabs>
              <w:rPr>
                <w:rFonts w:hint="eastAsia" w:ascii="宋体" w:hAnsi="宋体" w:eastAsia="宋体" w:cs="宋体"/>
                <w:sz w:val="24"/>
              </w:rPr>
            </w:pPr>
          </w:p>
        </w:tc>
      </w:tr>
    </w:tbl>
    <w:p w14:paraId="55971C56">
      <w:pPr>
        <w:snapToGrid w:val="0"/>
        <w:spacing w:line="360" w:lineRule="auto"/>
        <w:contextualSpacing/>
        <w:jc w:val="center"/>
        <w:rPr>
          <w:rFonts w:ascii="宋体" w:hAnsi="Times New Roman" w:eastAsia="宋体"/>
          <w:b/>
          <w:bCs/>
          <w:kern w:val="2"/>
          <w:sz w:val="28"/>
          <w:szCs w:val="28"/>
        </w:rPr>
      </w:pPr>
    </w:p>
    <w:p w14:paraId="2126F572">
      <w:pPr>
        <w:rPr>
          <w:rFonts w:ascii="宋体" w:hAnsi="Times New Roman" w:eastAsia="宋体"/>
          <w:b/>
          <w:bCs/>
          <w:kern w:val="2"/>
          <w:sz w:val="28"/>
          <w:szCs w:val="28"/>
        </w:rPr>
      </w:pPr>
      <w:r>
        <w:rPr>
          <w:rFonts w:hint="eastAsia" w:ascii="宋体" w:hAnsi="Times New Roman" w:eastAsia="宋体"/>
          <w:b/>
          <w:bCs/>
          <w:kern w:val="2"/>
          <w:sz w:val="28"/>
          <w:szCs w:val="28"/>
        </w:rPr>
        <w:br w:type="page"/>
      </w:r>
    </w:p>
    <w:p w14:paraId="6EA2E6F6">
      <w:pPr>
        <w:snapToGrid w:val="0"/>
        <w:spacing w:line="360" w:lineRule="auto"/>
        <w:contextualSpacing/>
        <w:jc w:val="center"/>
        <w:rPr>
          <w:rFonts w:hint="eastAsia" w:ascii="宋体" w:hAnsi="宋体"/>
          <w:b/>
          <w:sz w:val="32"/>
          <w:szCs w:val="32"/>
        </w:rPr>
      </w:pPr>
      <w:r>
        <w:rPr>
          <w:rFonts w:hint="eastAsia" w:ascii="宋体" w:hAnsi="宋体" w:eastAsia="宋体" w:cs="宋体"/>
          <w:b/>
          <w:bCs/>
          <w:kern w:val="2"/>
          <w:sz w:val="28"/>
          <w:szCs w:val="28"/>
        </w:rPr>
        <w:t>9、商务部分正负偏离表</w:t>
      </w:r>
    </w:p>
    <w:p w14:paraId="7A834F51">
      <w:pPr>
        <w:ind w:firstLine="560" w:firstLineChars="200"/>
        <w:jc w:val="center"/>
        <w:rPr>
          <w:rFonts w:hint="eastAsia" w:ascii="宋体" w:hAnsi="宋体" w:eastAsia="宋体" w:cs="宋体"/>
          <w:sz w:val="28"/>
          <w:szCs w:val="28"/>
        </w:rPr>
      </w:pPr>
      <w:r>
        <w:rPr>
          <w:rFonts w:hint="eastAsia" w:ascii="宋体" w:hAnsi="宋体" w:eastAsia="宋体" w:cs="宋体"/>
          <w:sz w:val="28"/>
          <w:szCs w:val="28"/>
        </w:rPr>
        <w:t>（由供应商据实填写，表格不够自行添加）</w:t>
      </w:r>
    </w:p>
    <w:tbl>
      <w:tblPr>
        <w:tblStyle w:val="12"/>
        <w:tblW w:w="985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32"/>
        <w:gridCol w:w="2296"/>
        <w:gridCol w:w="2856"/>
        <w:gridCol w:w="2611"/>
        <w:gridCol w:w="1359"/>
      </w:tblGrid>
      <w:tr w14:paraId="546429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732" w:type="dxa"/>
            <w:tcBorders>
              <w:top w:val="single" w:color="auto" w:sz="12" w:space="0"/>
              <w:left w:val="single" w:color="auto" w:sz="12" w:space="0"/>
              <w:bottom w:val="single" w:color="auto" w:sz="6" w:space="0"/>
              <w:right w:val="single" w:color="auto" w:sz="6" w:space="0"/>
            </w:tcBorders>
            <w:noWrap/>
            <w:vAlign w:val="center"/>
          </w:tcPr>
          <w:p w14:paraId="1A86E29F">
            <w:pPr>
              <w:spacing w:line="340" w:lineRule="exact"/>
              <w:jc w:val="center"/>
              <w:rPr>
                <w:rFonts w:hint="eastAsia" w:ascii="宋体" w:hAnsi="宋体" w:eastAsia="宋体" w:cs="宋体"/>
                <w:sz w:val="24"/>
              </w:rPr>
            </w:pPr>
            <w:r>
              <w:rPr>
                <w:rFonts w:hint="eastAsia" w:ascii="宋体" w:hAnsi="宋体" w:eastAsia="宋体" w:cs="宋体"/>
                <w:sz w:val="24"/>
              </w:rPr>
              <w:t>序号</w:t>
            </w:r>
          </w:p>
        </w:tc>
        <w:tc>
          <w:tcPr>
            <w:tcW w:w="2296" w:type="dxa"/>
            <w:tcBorders>
              <w:top w:val="single" w:color="auto" w:sz="12" w:space="0"/>
              <w:left w:val="single" w:color="auto" w:sz="6" w:space="0"/>
              <w:bottom w:val="single" w:color="auto" w:sz="6" w:space="0"/>
              <w:right w:val="single" w:color="auto" w:sz="6" w:space="0"/>
            </w:tcBorders>
            <w:noWrap/>
            <w:vAlign w:val="center"/>
          </w:tcPr>
          <w:p w14:paraId="43B09B8B">
            <w:pPr>
              <w:spacing w:line="340" w:lineRule="exact"/>
              <w:jc w:val="center"/>
              <w:rPr>
                <w:rFonts w:hint="eastAsia" w:ascii="宋体" w:hAnsi="宋体" w:eastAsia="宋体" w:cs="宋体"/>
                <w:sz w:val="24"/>
              </w:rPr>
            </w:pPr>
            <w:r>
              <w:rPr>
                <w:rFonts w:hint="eastAsia" w:ascii="宋体" w:hAnsi="宋体" w:eastAsia="宋体" w:cs="宋体"/>
                <w:sz w:val="24"/>
              </w:rPr>
              <w:t>货物或服务名称</w:t>
            </w:r>
          </w:p>
        </w:tc>
        <w:tc>
          <w:tcPr>
            <w:tcW w:w="2856" w:type="dxa"/>
            <w:tcBorders>
              <w:top w:val="single" w:color="auto" w:sz="12" w:space="0"/>
              <w:left w:val="single" w:color="auto" w:sz="6" w:space="0"/>
              <w:bottom w:val="single" w:color="auto" w:sz="6" w:space="0"/>
              <w:right w:val="single" w:color="auto" w:sz="6" w:space="0"/>
            </w:tcBorders>
            <w:noWrap/>
            <w:vAlign w:val="center"/>
          </w:tcPr>
          <w:p w14:paraId="694BFCA9">
            <w:pPr>
              <w:spacing w:line="340" w:lineRule="exact"/>
              <w:jc w:val="center"/>
              <w:rPr>
                <w:rFonts w:hint="eastAsia" w:ascii="宋体" w:hAnsi="宋体" w:eastAsia="宋体" w:cs="宋体"/>
                <w:sz w:val="24"/>
              </w:rPr>
            </w:pPr>
            <w:r>
              <w:rPr>
                <w:rFonts w:hint="eastAsia" w:ascii="宋体" w:hAnsi="宋体" w:eastAsia="宋体" w:cs="宋体"/>
                <w:sz w:val="24"/>
              </w:rPr>
              <w:t>磋商文件要求的商务条款</w:t>
            </w:r>
          </w:p>
        </w:tc>
        <w:tc>
          <w:tcPr>
            <w:tcW w:w="2611" w:type="dxa"/>
            <w:tcBorders>
              <w:top w:val="single" w:color="auto" w:sz="12" w:space="0"/>
              <w:left w:val="single" w:color="auto" w:sz="6" w:space="0"/>
              <w:bottom w:val="single" w:color="auto" w:sz="6" w:space="0"/>
              <w:right w:val="single" w:color="auto" w:sz="6" w:space="0"/>
            </w:tcBorders>
            <w:noWrap/>
            <w:vAlign w:val="center"/>
          </w:tcPr>
          <w:p w14:paraId="2328BF14">
            <w:pPr>
              <w:spacing w:line="340" w:lineRule="exact"/>
              <w:jc w:val="center"/>
              <w:rPr>
                <w:rFonts w:hint="eastAsia" w:ascii="宋体" w:hAnsi="宋体" w:eastAsia="宋体" w:cs="宋体"/>
                <w:sz w:val="24"/>
              </w:rPr>
            </w:pPr>
            <w:r>
              <w:rPr>
                <w:rFonts w:hint="eastAsia" w:ascii="宋体" w:hAnsi="宋体" w:eastAsia="宋体" w:cs="宋体"/>
                <w:sz w:val="24"/>
              </w:rPr>
              <w:t>响应文件响应情况</w:t>
            </w:r>
          </w:p>
        </w:tc>
        <w:tc>
          <w:tcPr>
            <w:tcW w:w="1359" w:type="dxa"/>
            <w:tcBorders>
              <w:top w:val="single" w:color="auto" w:sz="12" w:space="0"/>
              <w:left w:val="single" w:color="auto" w:sz="6" w:space="0"/>
              <w:bottom w:val="single" w:color="auto" w:sz="6" w:space="0"/>
              <w:right w:val="single" w:color="auto" w:sz="12" w:space="0"/>
            </w:tcBorders>
            <w:noWrap/>
          </w:tcPr>
          <w:p w14:paraId="6D373A61">
            <w:pPr>
              <w:spacing w:line="340" w:lineRule="exact"/>
              <w:jc w:val="center"/>
              <w:rPr>
                <w:rFonts w:hint="eastAsia" w:ascii="宋体" w:hAnsi="宋体" w:eastAsia="宋体" w:cs="宋体"/>
                <w:sz w:val="24"/>
              </w:rPr>
            </w:pPr>
          </w:p>
          <w:p w14:paraId="7AC78C74">
            <w:pPr>
              <w:spacing w:line="340" w:lineRule="exact"/>
              <w:jc w:val="center"/>
              <w:rPr>
                <w:rFonts w:hint="eastAsia" w:ascii="宋体" w:hAnsi="宋体" w:eastAsia="宋体" w:cs="宋体"/>
                <w:sz w:val="24"/>
              </w:rPr>
            </w:pPr>
            <w:r>
              <w:rPr>
                <w:rFonts w:hint="eastAsia" w:ascii="宋体" w:hAnsi="宋体" w:eastAsia="宋体" w:cs="宋体"/>
                <w:sz w:val="24"/>
              </w:rPr>
              <w:t>偏离说明</w:t>
            </w:r>
          </w:p>
        </w:tc>
      </w:tr>
      <w:tr w14:paraId="644A21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732" w:type="dxa"/>
            <w:tcBorders>
              <w:top w:val="single" w:color="auto" w:sz="6" w:space="0"/>
              <w:left w:val="single" w:color="auto" w:sz="12" w:space="0"/>
              <w:bottom w:val="single" w:color="auto" w:sz="6" w:space="0"/>
              <w:right w:val="single" w:color="auto" w:sz="6" w:space="0"/>
            </w:tcBorders>
            <w:noWrap/>
          </w:tcPr>
          <w:p w14:paraId="219F2B69">
            <w:pPr>
              <w:spacing w:line="340" w:lineRule="exact"/>
              <w:jc w:val="center"/>
              <w:rPr>
                <w:rFonts w:hint="eastAsia" w:ascii="宋体" w:hAnsi="宋体" w:eastAsia="宋体" w:cs="宋体"/>
                <w:sz w:val="24"/>
              </w:rPr>
            </w:pPr>
            <w:r>
              <w:rPr>
                <w:rFonts w:hint="eastAsia" w:ascii="宋体" w:hAnsi="宋体" w:eastAsia="宋体" w:cs="宋体"/>
                <w:sz w:val="24"/>
              </w:rPr>
              <w:t>1</w:t>
            </w:r>
          </w:p>
        </w:tc>
        <w:tc>
          <w:tcPr>
            <w:tcW w:w="2296" w:type="dxa"/>
            <w:tcBorders>
              <w:top w:val="single" w:color="auto" w:sz="6" w:space="0"/>
              <w:left w:val="single" w:color="auto" w:sz="6" w:space="0"/>
              <w:bottom w:val="single" w:color="auto" w:sz="6" w:space="0"/>
              <w:right w:val="single" w:color="auto" w:sz="6" w:space="0"/>
            </w:tcBorders>
            <w:noWrap/>
            <w:vAlign w:val="center"/>
          </w:tcPr>
          <w:p w14:paraId="72512E03">
            <w:pPr>
              <w:spacing w:line="340" w:lineRule="exact"/>
              <w:jc w:val="left"/>
              <w:rPr>
                <w:rFonts w:hint="eastAsia" w:ascii="宋体" w:hAnsi="宋体" w:eastAsia="宋体" w:cs="宋体"/>
                <w:sz w:val="24"/>
              </w:rPr>
            </w:pPr>
          </w:p>
        </w:tc>
        <w:tc>
          <w:tcPr>
            <w:tcW w:w="2856" w:type="dxa"/>
            <w:tcBorders>
              <w:top w:val="single" w:color="auto" w:sz="6" w:space="0"/>
              <w:left w:val="single" w:color="auto" w:sz="6" w:space="0"/>
              <w:bottom w:val="single" w:color="auto" w:sz="6" w:space="0"/>
              <w:right w:val="single" w:color="auto" w:sz="6" w:space="0"/>
            </w:tcBorders>
            <w:noWrap/>
            <w:vAlign w:val="center"/>
          </w:tcPr>
          <w:p w14:paraId="2F5F253F">
            <w:pPr>
              <w:spacing w:line="340" w:lineRule="exact"/>
              <w:jc w:val="left"/>
              <w:rPr>
                <w:rFonts w:hint="eastAsia" w:ascii="宋体" w:hAnsi="宋体" w:eastAsia="宋体" w:cs="宋体"/>
                <w:sz w:val="24"/>
              </w:rPr>
            </w:pPr>
          </w:p>
        </w:tc>
        <w:tc>
          <w:tcPr>
            <w:tcW w:w="2611" w:type="dxa"/>
            <w:tcBorders>
              <w:top w:val="single" w:color="auto" w:sz="6" w:space="0"/>
              <w:left w:val="single" w:color="auto" w:sz="6" w:space="0"/>
              <w:bottom w:val="single" w:color="auto" w:sz="6" w:space="0"/>
              <w:right w:val="single" w:color="auto" w:sz="6" w:space="0"/>
            </w:tcBorders>
            <w:noWrap/>
            <w:vAlign w:val="center"/>
          </w:tcPr>
          <w:p w14:paraId="7024BAF9">
            <w:pPr>
              <w:spacing w:line="340" w:lineRule="exact"/>
              <w:jc w:val="left"/>
              <w:rPr>
                <w:rFonts w:hint="eastAsia" w:ascii="宋体" w:hAnsi="宋体" w:eastAsia="宋体" w:cs="宋体"/>
                <w:sz w:val="24"/>
              </w:rPr>
            </w:pPr>
          </w:p>
        </w:tc>
        <w:tc>
          <w:tcPr>
            <w:tcW w:w="1359" w:type="dxa"/>
            <w:tcBorders>
              <w:top w:val="single" w:color="auto" w:sz="6" w:space="0"/>
              <w:left w:val="single" w:color="auto" w:sz="6" w:space="0"/>
              <w:bottom w:val="single" w:color="auto" w:sz="6" w:space="0"/>
              <w:right w:val="single" w:color="auto" w:sz="12" w:space="0"/>
            </w:tcBorders>
            <w:noWrap/>
          </w:tcPr>
          <w:p w14:paraId="4C25E189">
            <w:pPr>
              <w:spacing w:line="340" w:lineRule="exact"/>
              <w:jc w:val="left"/>
              <w:rPr>
                <w:rFonts w:hint="eastAsia" w:ascii="宋体" w:hAnsi="宋体" w:eastAsia="宋体" w:cs="宋体"/>
                <w:sz w:val="24"/>
              </w:rPr>
            </w:pPr>
          </w:p>
        </w:tc>
      </w:tr>
      <w:tr w14:paraId="4992CA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732" w:type="dxa"/>
            <w:tcBorders>
              <w:top w:val="single" w:color="auto" w:sz="6" w:space="0"/>
              <w:left w:val="single" w:color="auto" w:sz="12" w:space="0"/>
              <w:bottom w:val="single" w:color="auto" w:sz="6" w:space="0"/>
              <w:right w:val="single" w:color="auto" w:sz="6" w:space="0"/>
            </w:tcBorders>
            <w:noWrap/>
          </w:tcPr>
          <w:p w14:paraId="0AE11435">
            <w:pPr>
              <w:spacing w:line="340" w:lineRule="exact"/>
              <w:jc w:val="center"/>
              <w:rPr>
                <w:rFonts w:hint="eastAsia" w:ascii="宋体" w:hAnsi="宋体" w:eastAsia="宋体" w:cs="宋体"/>
                <w:sz w:val="24"/>
              </w:rPr>
            </w:pPr>
            <w:r>
              <w:rPr>
                <w:rFonts w:hint="eastAsia" w:ascii="宋体" w:hAnsi="宋体" w:eastAsia="宋体" w:cs="宋体"/>
                <w:sz w:val="24"/>
              </w:rPr>
              <w:t>2</w:t>
            </w:r>
          </w:p>
        </w:tc>
        <w:tc>
          <w:tcPr>
            <w:tcW w:w="2296" w:type="dxa"/>
            <w:tcBorders>
              <w:top w:val="single" w:color="auto" w:sz="6" w:space="0"/>
              <w:left w:val="single" w:color="auto" w:sz="6" w:space="0"/>
              <w:bottom w:val="single" w:color="auto" w:sz="6" w:space="0"/>
              <w:right w:val="single" w:color="auto" w:sz="6" w:space="0"/>
            </w:tcBorders>
            <w:noWrap/>
            <w:vAlign w:val="center"/>
          </w:tcPr>
          <w:p w14:paraId="77D0FDDB">
            <w:pPr>
              <w:spacing w:line="340" w:lineRule="exact"/>
              <w:jc w:val="left"/>
              <w:rPr>
                <w:rFonts w:hint="eastAsia" w:ascii="宋体" w:hAnsi="宋体" w:eastAsia="宋体" w:cs="宋体"/>
                <w:sz w:val="24"/>
              </w:rPr>
            </w:pPr>
          </w:p>
        </w:tc>
        <w:tc>
          <w:tcPr>
            <w:tcW w:w="2856" w:type="dxa"/>
            <w:tcBorders>
              <w:top w:val="single" w:color="auto" w:sz="6" w:space="0"/>
              <w:left w:val="single" w:color="auto" w:sz="6" w:space="0"/>
              <w:bottom w:val="single" w:color="auto" w:sz="6" w:space="0"/>
              <w:right w:val="single" w:color="auto" w:sz="6" w:space="0"/>
            </w:tcBorders>
            <w:noWrap/>
            <w:vAlign w:val="center"/>
          </w:tcPr>
          <w:p w14:paraId="27A7BB23">
            <w:pPr>
              <w:spacing w:line="340" w:lineRule="exact"/>
              <w:jc w:val="left"/>
              <w:rPr>
                <w:rFonts w:hint="eastAsia" w:ascii="宋体" w:hAnsi="宋体" w:eastAsia="宋体" w:cs="宋体"/>
                <w:sz w:val="24"/>
              </w:rPr>
            </w:pPr>
          </w:p>
        </w:tc>
        <w:tc>
          <w:tcPr>
            <w:tcW w:w="2611" w:type="dxa"/>
            <w:tcBorders>
              <w:top w:val="single" w:color="auto" w:sz="6" w:space="0"/>
              <w:left w:val="single" w:color="auto" w:sz="6" w:space="0"/>
              <w:bottom w:val="single" w:color="auto" w:sz="6" w:space="0"/>
              <w:right w:val="single" w:color="auto" w:sz="6" w:space="0"/>
            </w:tcBorders>
            <w:noWrap/>
            <w:vAlign w:val="center"/>
          </w:tcPr>
          <w:p w14:paraId="68C2FBDD">
            <w:pPr>
              <w:spacing w:line="340" w:lineRule="exact"/>
              <w:jc w:val="left"/>
              <w:rPr>
                <w:rFonts w:hint="eastAsia" w:ascii="宋体" w:hAnsi="宋体" w:eastAsia="宋体" w:cs="宋体"/>
                <w:sz w:val="24"/>
              </w:rPr>
            </w:pPr>
          </w:p>
        </w:tc>
        <w:tc>
          <w:tcPr>
            <w:tcW w:w="1359" w:type="dxa"/>
            <w:tcBorders>
              <w:top w:val="single" w:color="auto" w:sz="6" w:space="0"/>
              <w:left w:val="single" w:color="auto" w:sz="6" w:space="0"/>
              <w:bottom w:val="single" w:color="auto" w:sz="6" w:space="0"/>
              <w:right w:val="single" w:color="auto" w:sz="12" w:space="0"/>
            </w:tcBorders>
            <w:noWrap/>
          </w:tcPr>
          <w:p w14:paraId="1B45386F">
            <w:pPr>
              <w:spacing w:line="340" w:lineRule="exact"/>
              <w:jc w:val="left"/>
              <w:rPr>
                <w:rFonts w:hint="eastAsia" w:ascii="宋体" w:hAnsi="宋体" w:eastAsia="宋体" w:cs="宋体"/>
                <w:sz w:val="24"/>
              </w:rPr>
            </w:pPr>
          </w:p>
        </w:tc>
      </w:tr>
      <w:tr w14:paraId="58D44C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732" w:type="dxa"/>
            <w:tcBorders>
              <w:top w:val="single" w:color="auto" w:sz="6" w:space="0"/>
              <w:left w:val="single" w:color="auto" w:sz="12" w:space="0"/>
              <w:bottom w:val="single" w:color="auto" w:sz="6" w:space="0"/>
              <w:right w:val="single" w:color="auto" w:sz="6" w:space="0"/>
            </w:tcBorders>
            <w:noWrap/>
          </w:tcPr>
          <w:p w14:paraId="1F6C71BF">
            <w:pPr>
              <w:spacing w:line="340" w:lineRule="exact"/>
              <w:jc w:val="center"/>
              <w:rPr>
                <w:rFonts w:hint="eastAsia" w:ascii="宋体" w:hAnsi="宋体" w:eastAsia="宋体" w:cs="宋体"/>
                <w:sz w:val="24"/>
              </w:rPr>
            </w:pPr>
            <w:r>
              <w:rPr>
                <w:rFonts w:hint="eastAsia" w:ascii="宋体" w:hAnsi="宋体" w:eastAsia="宋体" w:cs="宋体"/>
                <w:sz w:val="24"/>
              </w:rPr>
              <w:t>3</w:t>
            </w:r>
          </w:p>
        </w:tc>
        <w:tc>
          <w:tcPr>
            <w:tcW w:w="2296" w:type="dxa"/>
            <w:tcBorders>
              <w:top w:val="single" w:color="auto" w:sz="6" w:space="0"/>
              <w:left w:val="single" w:color="auto" w:sz="6" w:space="0"/>
              <w:bottom w:val="single" w:color="auto" w:sz="6" w:space="0"/>
              <w:right w:val="single" w:color="auto" w:sz="6" w:space="0"/>
            </w:tcBorders>
            <w:noWrap/>
            <w:vAlign w:val="center"/>
          </w:tcPr>
          <w:p w14:paraId="1E545E11">
            <w:pPr>
              <w:spacing w:line="340" w:lineRule="exact"/>
              <w:jc w:val="left"/>
              <w:rPr>
                <w:rFonts w:hint="eastAsia" w:ascii="宋体" w:hAnsi="宋体" w:eastAsia="宋体" w:cs="宋体"/>
                <w:sz w:val="24"/>
              </w:rPr>
            </w:pPr>
          </w:p>
        </w:tc>
        <w:tc>
          <w:tcPr>
            <w:tcW w:w="2856" w:type="dxa"/>
            <w:tcBorders>
              <w:top w:val="single" w:color="auto" w:sz="6" w:space="0"/>
              <w:left w:val="single" w:color="auto" w:sz="6" w:space="0"/>
              <w:bottom w:val="single" w:color="auto" w:sz="6" w:space="0"/>
              <w:right w:val="single" w:color="auto" w:sz="6" w:space="0"/>
            </w:tcBorders>
            <w:noWrap/>
            <w:vAlign w:val="center"/>
          </w:tcPr>
          <w:p w14:paraId="25A97610">
            <w:pPr>
              <w:spacing w:line="340" w:lineRule="exact"/>
              <w:jc w:val="left"/>
              <w:rPr>
                <w:rFonts w:hint="eastAsia" w:ascii="宋体" w:hAnsi="宋体" w:eastAsia="宋体" w:cs="宋体"/>
                <w:sz w:val="24"/>
              </w:rPr>
            </w:pPr>
          </w:p>
        </w:tc>
        <w:tc>
          <w:tcPr>
            <w:tcW w:w="2611" w:type="dxa"/>
            <w:tcBorders>
              <w:top w:val="single" w:color="auto" w:sz="6" w:space="0"/>
              <w:left w:val="single" w:color="auto" w:sz="6" w:space="0"/>
              <w:bottom w:val="single" w:color="auto" w:sz="6" w:space="0"/>
              <w:right w:val="single" w:color="auto" w:sz="6" w:space="0"/>
            </w:tcBorders>
            <w:noWrap/>
            <w:vAlign w:val="center"/>
          </w:tcPr>
          <w:p w14:paraId="71230D04">
            <w:pPr>
              <w:spacing w:line="340" w:lineRule="exact"/>
              <w:jc w:val="left"/>
              <w:rPr>
                <w:rFonts w:hint="eastAsia" w:ascii="宋体" w:hAnsi="宋体" w:eastAsia="宋体" w:cs="宋体"/>
                <w:sz w:val="24"/>
              </w:rPr>
            </w:pPr>
          </w:p>
        </w:tc>
        <w:tc>
          <w:tcPr>
            <w:tcW w:w="1359" w:type="dxa"/>
            <w:tcBorders>
              <w:top w:val="single" w:color="auto" w:sz="6" w:space="0"/>
              <w:left w:val="single" w:color="auto" w:sz="6" w:space="0"/>
              <w:bottom w:val="single" w:color="auto" w:sz="6" w:space="0"/>
              <w:right w:val="single" w:color="auto" w:sz="12" w:space="0"/>
            </w:tcBorders>
            <w:noWrap/>
          </w:tcPr>
          <w:p w14:paraId="68B73E0C">
            <w:pPr>
              <w:spacing w:line="340" w:lineRule="exact"/>
              <w:jc w:val="left"/>
              <w:rPr>
                <w:rFonts w:hint="eastAsia" w:ascii="宋体" w:hAnsi="宋体" w:eastAsia="宋体" w:cs="宋体"/>
                <w:sz w:val="24"/>
              </w:rPr>
            </w:pPr>
          </w:p>
        </w:tc>
      </w:tr>
      <w:tr w14:paraId="1DA50B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732" w:type="dxa"/>
            <w:tcBorders>
              <w:top w:val="single" w:color="auto" w:sz="6" w:space="0"/>
              <w:left w:val="single" w:color="auto" w:sz="12" w:space="0"/>
              <w:bottom w:val="single" w:color="auto" w:sz="6" w:space="0"/>
              <w:right w:val="single" w:color="auto" w:sz="6" w:space="0"/>
            </w:tcBorders>
            <w:noWrap/>
          </w:tcPr>
          <w:p w14:paraId="637EBAD9">
            <w:pPr>
              <w:spacing w:line="340" w:lineRule="exact"/>
              <w:jc w:val="center"/>
              <w:rPr>
                <w:rFonts w:hint="eastAsia" w:ascii="宋体" w:hAnsi="宋体" w:eastAsia="宋体" w:cs="宋体"/>
                <w:sz w:val="24"/>
              </w:rPr>
            </w:pPr>
            <w:r>
              <w:rPr>
                <w:rFonts w:hint="eastAsia" w:ascii="宋体" w:hAnsi="宋体" w:eastAsia="宋体" w:cs="宋体"/>
                <w:sz w:val="24"/>
              </w:rPr>
              <w:t>4</w:t>
            </w:r>
          </w:p>
        </w:tc>
        <w:tc>
          <w:tcPr>
            <w:tcW w:w="2296" w:type="dxa"/>
            <w:tcBorders>
              <w:top w:val="single" w:color="auto" w:sz="6" w:space="0"/>
              <w:left w:val="single" w:color="auto" w:sz="6" w:space="0"/>
              <w:bottom w:val="single" w:color="auto" w:sz="6" w:space="0"/>
              <w:right w:val="single" w:color="auto" w:sz="6" w:space="0"/>
            </w:tcBorders>
            <w:noWrap/>
            <w:vAlign w:val="center"/>
          </w:tcPr>
          <w:p w14:paraId="0FD2F120">
            <w:pPr>
              <w:spacing w:line="340" w:lineRule="exact"/>
              <w:jc w:val="left"/>
              <w:rPr>
                <w:rFonts w:hint="eastAsia" w:ascii="宋体" w:hAnsi="宋体" w:eastAsia="宋体" w:cs="宋体"/>
                <w:sz w:val="24"/>
              </w:rPr>
            </w:pPr>
          </w:p>
        </w:tc>
        <w:tc>
          <w:tcPr>
            <w:tcW w:w="2856" w:type="dxa"/>
            <w:tcBorders>
              <w:top w:val="single" w:color="auto" w:sz="6" w:space="0"/>
              <w:left w:val="single" w:color="auto" w:sz="6" w:space="0"/>
              <w:bottom w:val="single" w:color="auto" w:sz="6" w:space="0"/>
              <w:right w:val="single" w:color="auto" w:sz="6" w:space="0"/>
            </w:tcBorders>
            <w:noWrap/>
            <w:vAlign w:val="center"/>
          </w:tcPr>
          <w:p w14:paraId="2A790762">
            <w:pPr>
              <w:spacing w:line="340" w:lineRule="exact"/>
              <w:jc w:val="left"/>
              <w:rPr>
                <w:rFonts w:hint="eastAsia" w:ascii="宋体" w:hAnsi="宋体" w:eastAsia="宋体" w:cs="宋体"/>
                <w:sz w:val="24"/>
              </w:rPr>
            </w:pPr>
          </w:p>
        </w:tc>
        <w:tc>
          <w:tcPr>
            <w:tcW w:w="2611" w:type="dxa"/>
            <w:tcBorders>
              <w:top w:val="single" w:color="auto" w:sz="6" w:space="0"/>
              <w:left w:val="single" w:color="auto" w:sz="6" w:space="0"/>
              <w:bottom w:val="single" w:color="auto" w:sz="6" w:space="0"/>
              <w:right w:val="single" w:color="auto" w:sz="6" w:space="0"/>
            </w:tcBorders>
            <w:noWrap/>
            <w:vAlign w:val="center"/>
          </w:tcPr>
          <w:p w14:paraId="001CFB45">
            <w:pPr>
              <w:spacing w:line="340" w:lineRule="exact"/>
              <w:jc w:val="left"/>
              <w:rPr>
                <w:rFonts w:hint="eastAsia" w:ascii="宋体" w:hAnsi="宋体" w:eastAsia="宋体" w:cs="宋体"/>
                <w:sz w:val="24"/>
              </w:rPr>
            </w:pPr>
          </w:p>
        </w:tc>
        <w:tc>
          <w:tcPr>
            <w:tcW w:w="1359" w:type="dxa"/>
            <w:tcBorders>
              <w:top w:val="single" w:color="auto" w:sz="6" w:space="0"/>
              <w:left w:val="single" w:color="auto" w:sz="6" w:space="0"/>
              <w:bottom w:val="single" w:color="auto" w:sz="6" w:space="0"/>
              <w:right w:val="single" w:color="auto" w:sz="12" w:space="0"/>
            </w:tcBorders>
            <w:noWrap/>
          </w:tcPr>
          <w:p w14:paraId="72E0302C">
            <w:pPr>
              <w:spacing w:line="340" w:lineRule="exact"/>
              <w:jc w:val="left"/>
              <w:rPr>
                <w:rFonts w:hint="eastAsia" w:ascii="宋体" w:hAnsi="宋体" w:eastAsia="宋体" w:cs="宋体"/>
                <w:sz w:val="24"/>
              </w:rPr>
            </w:pPr>
          </w:p>
        </w:tc>
      </w:tr>
    </w:tbl>
    <w:p w14:paraId="5FB0B423">
      <w:pPr>
        <w:snapToGrid w:val="0"/>
        <w:spacing w:line="300" w:lineRule="auto"/>
        <w:contextualSpacing/>
        <w:rPr>
          <w:rFonts w:hint="eastAsia" w:ascii="宋体" w:hAnsi="宋体" w:eastAsia="宋体" w:cs="宋体"/>
          <w:b/>
          <w:sz w:val="24"/>
        </w:rPr>
      </w:pPr>
      <w:r>
        <w:rPr>
          <w:rFonts w:hint="eastAsia" w:ascii="宋体" w:hAnsi="宋体" w:eastAsia="宋体" w:cs="宋体"/>
          <w:b/>
          <w:sz w:val="24"/>
        </w:rPr>
        <w:t>注：</w:t>
      </w:r>
    </w:p>
    <w:p w14:paraId="18FB9103">
      <w:pPr>
        <w:snapToGrid w:val="0"/>
        <w:spacing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1.供应商提交的响应文件中与磋商文件第三部分“项目需求”中的商务部分的要求，如有偏离，应逐条填列在偏离表中。</w:t>
      </w:r>
    </w:p>
    <w:p w14:paraId="05F6E1F5">
      <w:pPr>
        <w:snapToGrid w:val="0"/>
        <w:spacing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2. “偏离说明”一栏选择“正偏离”、“无偏离”、“负偏离”进行填写。正偏离、无偏离的确认和负偏离的是否响应磋商文件，由评委认定。</w:t>
      </w:r>
    </w:p>
    <w:p w14:paraId="6B471A84">
      <w:pPr>
        <w:snapToGrid w:val="0"/>
        <w:spacing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3.供应商如果虚假响应，将被暂停参加采购单位组织的任何采购活动。</w:t>
      </w:r>
    </w:p>
    <w:p w14:paraId="21D121BB">
      <w:pPr>
        <w:snapToGrid w:val="0"/>
        <w:spacing w:line="360" w:lineRule="auto"/>
        <w:ind w:firstLine="480" w:firstLineChars="200"/>
        <w:contextualSpacing/>
        <w:rPr>
          <w:rFonts w:hint="eastAsia" w:ascii="宋体" w:hAnsi="宋体" w:eastAsia="宋体" w:cs="宋体"/>
          <w:bCs/>
          <w:sz w:val="24"/>
        </w:rPr>
      </w:pPr>
      <w:r>
        <w:rPr>
          <w:rFonts w:hint="eastAsia" w:ascii="宋体" w:hAnsi="宋体" w:eastAsia="宋体" w:cs="宋体"/>
          <w:bCs/>
          <w:sz w:val="24"/>
        </w:rPr>
        <w:t>4.供应商若提供其他增值服务，可以在表中自行据实填写。</w:t>
      </w:r>
    </w:p>
    <w:p w14:paraId="6F07CC70">
      <w:pPr>
        <w:snapToGrid w:val="0"/>
        <w:spacing w:line="360" w:lineRule="auto"/>
        <w:ind w:right="79"/>
        <w:textAlignment w:val="baseline"/>
        <w:rPr>
          <w:rFonts w:hint="eastAsia" w:ascii="宋体" w:hAnsi="宋体" w:eastAsia="宋体" w:cs="宋体"/>
          <w:sz w:val="24"/>
        </w:rPr>
      </w:pPr>
    </w:p>
    <w:p w14:paraId="193AC5CC">
      <w:pPr>
        <w:snapToGrid w:val="0"/>
        <w:spacing w:line="360" w:lineRule="auto"/>
        <w:ind w:right="79"/>
        <w:textAlignment w:val="baseline"/>
        <w:rPr>
          <w:rFonts w:hint="eastAsia" w:ascii="宋体" w:hAnsi="宋体" w:eastAsia="宋体" w:cs="宋体"/>
          <w:sz w:val="24"/>
        </w:rPr>
      </w:pPr>
    </w:p>
    <w:p w14:paraId="7EC2E62B">
      <w:pPr>
        <w:snapToGrid w:val="0"/>
        <w:spacing w:line="360" w:lineRule="auto"/>
        <w:ind w:right="79"/>
        <w:textAlignment w:val="baseline"/>
        <w:rPr>
          <w:rFonts w:hint="eastAsia" w:ascii="宋体" w:hAnsi="宋体" w:eastAsia="宋体" w:cs="宋体"/>
          <w:color w:val="000000"/>
          <w:sz w:val="24"/>
        </w:rPr>
      </w:pPr>
      <w:r>
        <w:rPr>
          <w:rFonts w:hint="eastAsia" w:ascii="宋体" w:hAnsi="宋体" w:eastAsia="宋体" w:cs="宋体"/>
          <w:sz w:val="24"/>
        </w:rPr>
        <w:t>供应商：（单位盖章）</w:t>
      </w:r>
    </w:p>
    <w:p w14:paraId="1604EF44">
      <w:pPr>
        <w:snapToGrid w:val="0"/>
        <w:spacing w:line="360" w:lineRule="auto"/>
        <w:rPr>
          <w:rFonts w:hint="eastAsia" w:ascii="宋体" w:hAnsi="宋体" w:eastAsia="宋体" w:cs="宋体"/>
          <w:color w:val="000000"/>
          <w:sz w:val="24"/>
        </w:rPr>
      </w:pPr>
      <w:r>
        <w:rPr>
          <w:rFonts w:hint="eastAsia" w:ascii="宋体" w:hAnsi="宋体" w:eastAsia="宋体" w:cs="宋体"/>
          <w:sz w:val="24"/>
        </w:rPr>
        <w:t>法定代表人或委托代理人（签字或盖章）：</w:t>
      </w:r>
    </w:p>
    <w:p w14:paraId="565BD00E">
      <w:pPr>
        <w:adjustRightInd w:val="0"/>
        <w:snapToGrid w:val="0"/>
        <w:spacing w:line="480" w:lineRule="auto"/>
        <w:jc w:val="left"/>
      </w:pPr>
      <w:r>
        <w:rPr>
          <w:rFonts w:hint="eastAsia" w:ascii="宋体" w:hAnsi="宋体" w:eastAsia="宋体" w:cs="宋体"/>
          <w:color w:val="000000"/>
          <w:sz w:val="24"/>
        </w:rPr>
        <w:t>日期：  年  月  日</w:t>
      </w:r>
    </w:p>
    <w:p w14:paraId="1B498673">
      <w:pPr>
        <w:adjustRightInd w:val="0"/>
        <w:snapToGrid w:val="0"/>
        <w:spacing w:line="480" w:lineRule="auto"/>
        <w:jc w:val="left"/>
      </w:pPr>
    </w:p>
    <w:p w14:paraId="6EB7A9B0">
      <w:pPr>
        <w:rPr>
          <w:rFonts w:hint="eastAsia" w:ascii="宋体" w:hAnsi="宋体" w:eastAsia="宋体" w:cs="宋体"/>
          <w:bCs/>
          <w:sz w:val="24"/>
        </w:rPr>
      </w:pPr>
    </w:p>
    <w:p w14:paraId="16F5C2D2">
      <w:pPr>
        <w:rPr>
          <w:rFonts w:hint="eastAsia" w:ascii="宋体" w:hAnsi="宋体" w:eastAsia="宋体" w:cs="宋体"/>
          <w:b/>
          <w:bCs/>
          <w:kern w:val="2"/>
          <w:sz w:val="28"/>
          <w:szCs w:val="28"/>
        </w:rPr>
      </w:pPr>
      <w:r>
        <w:rPr>
          <w:rFonts w:hint="eastAsia" w:ascii="宋体" w:hAnsi="宋体" w:eastAsia="宋体" w:cs="宋体"/>
          <w:b/>
          <w:bCs/>
          <w:kern w:val="2"/>
          <w:sz w:val="28"/>
          <w:szCs w:val="28"/>
        </w:rPr>
        <w:br w:type="page"/>
      </w:r>
    </w:p>
    <w:p w14:paraId="6D3FABC2">
      <w:pPr>
        <w:snapToGrid w:val="0"/>
        <w:spacing w:line="300" w:lineRule="auto"/>
        <w:contextualSpacing/>
        <w:jc w:val="center"/>
        <w:rPr>
          <w:rFonts w:hint="eastAsia" w:ascii="宋体" w:hAnsi="宋体" w:eastAsia="宋体" w:cs="宋体"/>
          <w:b/>
          <w:bCs/>
          <w:kern w:val="2"/>
          <w:sz w:val="28"/>
          <w:szCs w:val="28"/>
        </w:rPr>
      </w:pPr>
      <w:r>
        <w:rPr>
          <w:rFonts w:hint="eastAsia" w:ascii="宋体" w:hAnsi="宋体" w:eastAsia="宋体" w:cs="宋体"/>
          <w:b/>
          <w:bCs/>
          <w:kern w:val="2"/>
          <w:sz w:val="28"/>
          <w:szCs w:val="28"/>
        </w:rPr>
        <w:t>10、技术部分正负偏离表</w:t>
      </w:r>
    </w:p>
    <w:p w14:paraId="3EAD1788">
      <w:pPr>
        <w:ind w:firstLine="560" w:firstLineChars="200"/>
        <w:jc w:val="center"/>
        <w:rPr>
          <w:rFonts w:hint="eastAsia" w:ascii="宋体" w:hAnsi="宋体" w:eastAsia="宋体" w:cs="宋体"/>
          <w:sz w:val="28"/>
          <w:szCs w:val="28"/>
        </w:rPr>
      </w:pPr>
      <w:r>
        <w:rPr>
          <w:rFonts w:hint="eastAsia" w:ascii="宋体" w:hAnsi="宋体" w:eastAsia="宋体" w:cs="宋体"/>
          <w:sz w:val="28"/>
          <w:szCs w:val="28"/>
        </w:rPr>
        <w:t>（由供应商据实填写，表格不够自行添加）</w:t>
      </w:r>
    </w:p>
    <w:tbl>
      <w:tblPr>
        <w:tblStyle w:val="12"/>
        <w:tblW w:w="985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32"/>
        <w:gridCol w:w="2296"/>
        <w:gridCol w:w="2856"/>
        <w:gridCol w:w="2611"/>
        <w:gridCol w:w="1359"/>
      </w:tblGrid>
      <w:tr w14:paraId="4744B4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732" w:type="dxa"/>
            <w:tcBorders>
              <w:top w:val="single" w:color="auto" w:sz="12" w:space="0"/>
              <w:left w:val="single" w:color="auto" w:sz="12" w:space="0"/>
              <w:bottom w:val="single" w:color="auto" w:sz="6" w:space="0"/>
              <w:right w:val="single" w:color="auto" w:sz="6" w:space="0"/>
            </w:tcBorders>
            <w:noWrap/>
            <w:vAlign w:val="center"/>
          </w:tcPr>
          <w:p w14:paraId="116C7F2C">
            <w:pPr>
              <w:spacing w:line="340" w:lineRule="exact"/>
              <w:jc w:val="center"/>
              <w:rPr>
                <w:rFonts w:hint="eastAsia" w:ascii="宋体" w:hAnsi="宋体" w:eastAsia="宋体" w:cs="宋体"/>
                <w:sz w:val="24"/>
              </w:rPr>
            </w:pPr>
            <w:r>
              <w:rPr>
                <w:rFonts w:hint="eastAsia" w:ascii="宋体" w:hAnsi="宋体" w:eastAsia="宋体" w:cs="宋体"/>
                <w:sz w:val="24"/>
              </w:rPr>
              <w:t>序号</w:t>
            </w:r>
          </w:p>
        </w:tc>
        <w:tc>
          <w:tcPr>
            <w:tcW w:w="2296" w:type="dxa"/>
            <w:tcBorders>
              <w:top w:val="single" w:color="auto" w:sz="12" w:space="0"/>
              <w:left w:val="single" w:color="auto" w:sz="6" w:space="0"/>
              <w:bottom w:val="single" w:color="auto" w:sz="6" w:space="0"/>
              <w:right w:val="single" w:color="auto" w:sz="6" w:space="0"/>
            </w:tcBorders>
            <w:noWrap/>
            <w:vAlign w:val="center"/>
          </w:tcPr>
          <w:p w14:paraId="0A576865">
            <w:pPr>
              <w:spacing w:line="340" w:lineRule="exact"/>
              <w:jc w:val="center"/>
              <w:rPr>
                <w:rFonts w:hint="eastAsia" w:ascii="宋体" w:hAnsi="宋体" w:eastAsia="宋体" w:cs="宋体"/>
                <w:sz w:val="24"/>
              </w:rPr>
            </w:pPr>
            <w:r>
              <w:rPr>
                <w:rFonts w:hint="eastAsia" w:ascii="宋体" w:hAnsi="宋体" w:eastAsia="宋体" w:cs="宋体"/>
                <w:sz w:val="24"/>
              </w:rPr>
              <w:t>货物或服务名称</w:t>
            </w:r>
          </w:p>
        </w:tc>
        <w:tc>
          <w:tcPr>
            <w:tcW w:w="2856" w:type="dxa"/>
            <w:tcBorders>
              <w:top w:val="single" w:color="auto" w:sz="12" w:space="0"/>
              <w:left w:val="single" w:color="auto" w:sz="6" w:space="0"/>
              <w:bottom w:val="single" w:color="auto" w:sz="6" w:space="0"/>
              <w:right w:val="single" w:color="auto" w:sz="6" w:space="0"/>
            </w:tcBorders>
            <w:noWrap/>
            <w:vAlign w:val="center"/>
          </w:tcPr>
          <w:p w14:paraId="564CA103">
            <w:pPr>
              <w:spacing w:line="340" w:lineRule="exact"/>
              <w:jc w:val="center"/>
              <w:rPr>
                <w:rFonts w:hint="eastAsia" w:ascii="宋体" w:hAnsi="宋体" w:eastAsia="宋体" w:cs="宋体"/>
                <w:sz w:val="24"/>
              </w:rPr>
            </w:pPr>
            <w:r>
              <w:rPr>
                <w:rFonts w:hint="eastAsia" w:ascii="宋体" w:hAnsi="宋体" w:eastAsia="宋体" w:cs="宋体"/>
                <w:sz w:val="24"/>
              </w:rPr>
              <w:t>磋商文件要求的技术要求</w:t>
            </w:r>
          </w:p>
        </w:tc>
        <w:tc>
          <w:tcPr>
            <w:tcW w:w="2611" w:type="dxa"/>
            <w:tcBorders>
              <w:top w:val="single" w:color="auto" w:sz="12" w:space="0"/>
              <w:left w:val="single" w:color="auto" w:sz="6" w:space="0"/>
              <w:bottom w:val="single" w:color="auto" w:sz="6" w:space="0"/>
              <w:right w:val="single" w:color="auto" w:sz="6" w:space="0"/>
            </w:tcBorders>
            <w:noWrap/>
            <w:vAlign w:val="center"/>
          </w:tcPr>
          <w:p w14:paraId="54C9E461">
            <w:pPr>
              <w:spacing w:line="340" w:lineRule="exact"/>
              <w:jc w:val="center"/>
              <w:rPr>
                <w:rFonts w:hint="eastAsia" w:ascii="宋体" w:hAnsi="宋体" w:eastAsia="宋体" w:cs="宋体"/>
                <w:sz w:val="24"/>
              </w:rPr>
            </w:pPr>
            <w:r>
              <w:rPr>
                <w:rFonts w:hint="eastAsia" w:ascii="宋体" w:hAnsi="宋体" w:eastAsia="宋体" w:cs="宋体"/>
                <w:sz w:val="24"/>
              </w:rPr>
              <w:t>响应文件响应情况</w:t>
            </w:r>
          </w:p>
        </w:tc>
        <w:tc>
          <w:tcPr>
            <w:tcW w:w="1359" w:type="dxa"/>
            <w:tcBorders>
              <w:top w:val="single" w:color="auto" w:sz="12" w:space="0"/>
              <w:left w:val="single" w:color="auto" w:sz="6" w:space="0"/>
              <w:bottom w:val="single" w:color="auto" w:sz="6" w:space="0"/>
              <w:right w:val="single" w:color="auto" w:sz="12" w:space="0"/>
            </w:tcBorders>
            <w:noWrap/>
          </w:tcPr>
          <w:p w14:paraId="604B337B">
            <w:pPr>
              <w:spacing w:line="340" w:lineRule="exact"/>
              <w:jc w:val="center"/>
              <w:rPr>
                <w:rFonts w:hint="eastAsia" w:ascii="宋体" w:hAnsi="宋体" w:eastAsia="宋体" w:cs="宋体"/>
                <w:sz w:val="24"/>
              </w:rPr>
            </w:pPr>
          </w:p>
          <w:p w14:paraId="4002D225">
            <w:pPr>
              <w:spacing w:line="340" w:lineRule="exact"/>
              <w:jc w:val="center"/>
              <w:rPr>
                <w:rFonts w:hint="eastAsia" w:ascii="宋体" w:hAnsi="宋体" w:eastAsia="宋体" w:cs="宋体"/>
                <w:sz w:val="24"/>
              </w:rPr>
            </w:pPr>
            <w:r>
              <w:rPr>
                <w:rFonts w:hint="eastAsia" w:ascii="宋体" w:hAnsi="宋体" w:eastAsia="宋体" w:cs="宋体"/>
                <w:sz w:val="24"/>
              </w:rPr>
              <w:t>偏离说明</w:t>
            </w:r>
          </w:p>
        </w:tc>
      </w:tr>
      <w:tr w14:paraId="745A31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732" w:type="dxa"/>
            <w:tcBorders>
              <w:top w:val="single" w:color="auto" w:sz="6" w:space="0"/>
              <w:left w:val="single" w:color="auto" w:sz="12" w:space="0"/>
              <w:bottom w:val="single" w:color="auto" w:sz="6" w:space="0"/>
              <w:right w:val="single" w:color="auto" w:sz="6" w:space="0"/>
            </w:tcBorders>
            <w:noWrap/>
          </w:tcPr>
          <w:p w14:paraId="31D9E542">
            <w:pPr>
              <w:spacing w:line="340" w:lineRule="exact"/>
              <w:jc w:val="center"/>
              <w:rPr>
                <w:rFonts w:hint="eastAsia" w:ascii="宋体" w:hAnsi="宋体" w:eastAsia="宋体" w:cs="宋体"/>
                <w:sz w:val="24"/>
              </w:rPr>
            </w:pPr>
            <w:r>
              <w:rPr>
                <w:rFonts w:hint="eastAsia" w:ascii="宋体" w:hAnsi="宋体" w:eastAsia="宋体" w:cs="宋体"/>
                <w:sz w:val="24"/>
              </w:rPr>
              <w:t>1</w:t>
            </w:r>
          </w:p>
        </w:tc>
        <w:tc>
          <w:tcPr>
            <w:tcW w:w="2296" w:type="dxa"/>
            <w:tcBorders>
              <w:top w:val="single" w:color="auto" w:sz="6" w:space="0"/>
              <w:left w:val="single" w:color="auto" w:sz="6" w:space="0"/>
              <w:bottom w:val="single" w:color="auto" w:sz="6" w:space="0"/>
              <w:right w:val="single" w:color="auto" w:sz="6" w:space="0"/>
            </w:tcBorders>
            <w:noWrap/>
            <w:vAlign w:val="center"/>
          </w:tcPr>
          <w:p w14:paraId="0F3CF051">
            <w:pPr>
              <w:spacing w:line="340" w:lineRule="exact"/>
              <w:jc w:val="left"/>
              <w:rPr>
                <w:rFonts w:hint="eastAsia" w:ascii="宋体" w:hAnsi="宋体" w:eastAsia="宋体" w:cs="宋体"/>
                <w:sz w:val="24"/>
              </w:rPr>
            </w:pPr>
          </w:p>
        </w:tc>
        <w:tc>
          <w:tcPr>
            <w:tcW w:w="2856" w:type="dxa"/>
            <w:tcBorders>
              <w:top w:val="single" w:color="auto" w:sz="6" w:space="0"/>
              <w:left w:val="single" w:color="auto" w:sz="6" w:space="0"/>
              <w:bottom w:val="single" w:color="auto" w:sz="6" w:space="0"/>
              <w:right w:val="single" w:color="auto" w:sz="6" w:space="0"/>
            </w:tcBorders>
            <w:noWrap/>
            <w:vAlign w:val="center"/>
          </w:tcPr>
          <w:p w14:paraId="2FDC1703">
            <w:pPr>
              <w:spacing w:line="340" w:lineRule="exact"/>
              <w:jc w:val="left"/>
              <w:rPr>
                <w:rFonts w:hint="eastAsia" w:ascii="宋体" w:hAnsi="宋体" w:eastAsia="宋体" w:cs="宋体"/>
                <w:sz w:val="24"/>
              </w:rPr>
            </w:pPr>
          </w:p>
        </w:tc>
        <w:tc>
          <w:tcPr>
            <w:tcW w:w="2611" w:type="dxa"/>
            <w:tcBorders>
              <w:top w:val="single" w:color="auto" w:sz="6" w:space="0"/>
              <w:left w:val="single" w:color="auto" w:sz="6" w:space="0"/>
              <w:bottom w:val="single" w:color="auto" w:sz="6" w:space="0"/>
              <w:right w:val="single" w:color="auto" w:sz="6" w:space="0"/>
            </w:tcBorders>
            <w:noWrap/>
            <w:vAlign w:val="center"/>
          </w:tcPr>
          <w:p w14:paraId="296BA1C9">
            <w:pPr>
              <w:spacing w:line="340" w:lineRule="exact"/>
              <w:jc w:val="left"/>
              <w:rPr>
                <w:rFonts w:hint="eastAsia" w:ascii="宋体" w:hAnsi="宋体" w:eastAsia="宋体" w:cs="宋体"/>
                <w:sz w:val="24"/>
              </w:rPr>
            </w:pPr>
          </w:p>
        </w:tc>
        <w:tc>
          <w:tcPr>
            <w:tcW w:w="1359" w:type="dxa"/>
            <w:tcBorders>
              <w:top w:val="single" w:color="auto" w:sz="6" w:space="0"/>
              <w:left w:val="single" w:color="auto" w:sz="6" w:space="0"/>
              <w:bottom w:val="single" w:color="auto" w:sz="6" w:space="0"/>
              <w:right w:val="single" w:color="auto" w:sz="12" w:space="0"/>
            </w:tcBorders>
            <w:noWrap/>
          </w:tcPr>
          <w:p w14:paraId="212A71BD">
            <w:pPr>
              <w:spacing w:line="340" w:lineRule="exact"/>
              <w:jc w:val="left"/>
              <w:rPr>
                <w:rFonts w:hint="eastAsia" w:ascii="宋体" w:hAnsi="宋体" w:eastAsia="宋体" w:cs="宋体"/>
                <w:sz w:val="24"/>
              </w:rPr>
            </w:pPr>
          </w:p>
        </w:tc>
      </w:tr>
      <w:tr w14:paraId="43AE44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732" w:type="dxa"/>
            <w:tcBorders>
              <w:top w:val="single" w:color="auto" w:sz="6" w:space="0"/>
              <w:left w:val="single" w:color="auto" w:sz="12" w:space="0"/>
              <w:bottom w:val="single" w:color="auto" w:sz="6" w:space="0"/>
              <w:right w:val="single" w:color="auto" w:sz="6" w:space="0"/>
            </w:tcBorders>
            <w:noWrap/>
          </w:tcPr>
          <w:p w14:paraId="4331C29F">
            <w:pPr>
              <w:spacing w:line="340" w:lineRule="exact"/>
              <w:jc w:val="center"/>
              <w:rPr>
                <w:rFonts w:hint="eastAsia" w:ascii="宋体" w:hAnsi="宋体" w:eastAsia="宋体" w:cs="宋体"/>
                <w:sz w:val="24"/>
              </w:rPr>
            </w:pPr>
            <w:r>
              <w:rPr>
                <w:rFonts w:hint="eastAsia" w:ascii="宋体" w:hAnsi="宋体" w:eastAsia="宋体" w:cs="宋体"/>
                <w:sz w:val="24"/>
              </w:rPr>
              <w:t>2</w:t>
            </w:r>
          </w:p>
        </w:tc>
        <w:tc>
          <w:tcPr>
            <w:tcW w:w="2296" w:type="dxa"/>
            <w:tcBorders>
              <w:top w:val="single" w:color="auto" w:sz="6" w:space="0"/>
              <w:left w:val="single" w:color="auto" w:sz="6" w:space="0"/>
              <w:bottom w:val="single" w:color="auto" w:sz="6" w:space="0"/>
              <w:right w:val="single" w:color="auto" w:sz="6" w:space="0"/>
            </w:tcBorders>
            <w:noWrap/>
            <w:vAlign w:val="center"/>
          </w:tcPr>
          <w:p w14:paraId="67042DE5">
            <w:pPr>
              <w:spacing w:line="340" w:lineRule="exact"/>
              <w:jc w:val="left"/>
              <w:rPr>
                <w:rFonts w:hint="eastAsia" w:ascii="宋体" w:hAnsi="宋体" w:eastAsia="宋体" w:cs="宋体"/>
                <w:sz w:val="24"/>
              </w:rPr>
            </w:pPr>
          </w:p>
        </w:tc>
        <w:tc>
          <w:tcPr>
            <w:tcW w:w="2856" w:type="dxa"/>
            <w:tcBorders>
              <w:top w:val="single" w:color="auto" w:sz="6" w:space="0"/>
              <w:left w:val="single" w:color="auto" w:sz="6" w:space="0"/>
              <w:bottom w:val="single" w:color="auto" w:sz="6" w:space="0"/>
              <w:right w:val="single" w:color="auto" w:sz="6" w:space="0"/>
            </w:tcBorders>
            <w:noWrap/>
            <w:vAlign w:val="center"/>
          </w:tcPr>
          <w:p w14:paraId="266185C1">
            <w:pPr>
              <w:spacing w:line="340" w:lineRule="exact"/>
              <w:jc w:val="left"/>
              <w:rPr>
                <w:rFonts w:hint="eastAsia" w:ascii="宋体" w:hAnsi="宋体" w:eastAsia="宋体" w:cs="宋体"/>
                <w:sz w:val="24"/>
              </w:rPr>
            </w:pPr>
          </w:p>
        </w:tc>
        <w:tc>
          <w:tcPr>
            <w:tcW w:w="2611" w:type="dxa"/>
            <w:tcBorders>
              <w:top w:val="single" w:color="auto" w:sz="6" w:space="0"/>
              <w:left w:val="single" w:color="auto" w:sz="6" w:space="0"/>
              <w:bottom w:val="single" w:color="auto" w:sz="6" w:space="0"/>
              <w:right w:val="single" w:color="auto" w:sz="6" w:space="0"/>
            </w:tcBorders>
            <w:noWrap/>
            <w:vAlign w:val="center"/>
          </w:tcPr>
          <w:p w14:paraId="0655159C">
            <w:pPr>
              <w:spacing w:line="340" w:lineRule="exact"/>
              <w:jc w:val="left"/>
              <w:rPr>
                <w:rFonts w:hint="eastAsia" w:ascii="宋体" w:hAnsi="宋体" w:eastAsia="宋体" w:cs="宋体"/>
                <w:sz w:val="24"/>
              </w:rPr>
            </w:pPr>
          </w:p>
        </w:tc>
        <w:tc>
          <w:tcPr>
            <w:tcW w:w="1359" w:type="dxa"/>
            <w:tcBorders>
              <w:top w:val="single" w:color="auto" w:sz="6" w:space="0"/>
              <w:left w:val="single" w:color="auto" w:sz="6" w:space="0"/>
              <w:bottom w:val="single" w:color="auto" w:sz="6" w:space="0"/>
              <w:right w:val="single" w:color="auto" w:sz="12" w:space="0"/>
            </w:tcBorders>
            <w:noWrap/>
          </w:tcPr>
          <w:p w14:paraId="092AA2A5">
            <w:pPr>
              <w:spacing w:line="340" w:lineRule="exact"/>
              <w:jc w:val="left"/>
              <w:rPr>
                <w:rFonts w:hint="eastAsia" w:ascii="宋体" w:hAnsi="宋体" w:eastAsia="宋体" w:cs="宋体"/>
                <w:sz w:val="24"/>
              </w:rPr>
            </w:pPr>
          </w:p>
        </w:tc>
      </w:tr>
      <w:tr w14:paraId="0537EB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732" w:type="dxa"/>
            <w:tcBorders>
              <w:top w:val="single" w:color="auto" w:sz="6" w:space="0"/>
              <w:left w:val="single" w:color="auto" w:sz="12" w:space="0"/>
              <w:bottom w:val="single" w:color="auto" w:sz="6" w:space="0"/>
              <w:right w:val="single" w:color="auto" w:sz="6" w:space="0"/>
            </w:tcBorders>
            <w:noWrap/>
          </w:tcPr>
          <w:p w14:paraId="0F83AAB8">
            <w:pPr>
              <w:spacing w:line="340" w:lineRule="exact"/>
              <w:jc w:val="center"/>
              <w:rPr>
                <w:rFonts w:hint="eastAsia" w:ascii="宋体" w:hAnsi="宋体" w:eastAsia="宋体" w:cs="宋体"/>
                <w:sz w:val="24"/>
              </w:rPr>
            </w:pPr>
            <w:r>
              <w:rPr>
                <w:rFonts w:hint="eastAsia" w:ascii="宋体" w:hAnsi="宋体" w:eastAsia="宋体" w:cs="宋体"/>
                <w:sz w:val="24"/>
              </w:rPr>
              <w:t>3</w:t>
            </w:r>
          </w:p>
        </w:tc>
        <w:tc>
          <w:tcPr>
            <w:tcW w:w="2296" w:type="dxa"/>
            <w:tcBorders>
              <w:top w:val="single" w:color="auto" w:sz="6" w:space="0"/>
              <w:left w:val="single" w:color="auto" w:sz="6" w:space="0"/>
              <w:bottom w:val="single" w:color="auto" w:sz="6" w:space="0"/>
              <w:right w:val="single" w:color="auto" w:sz="6" w:space="0"/>
            </w:tcBorders>
            <w:noWrap/>
            <w:vAlign w:val="center"/>
          </w:tcPr>
          <w:p w14:paraId="49391342">
            <w:pPr>
              <w:spacing w:line="340" w:lineRule="exact"/>
              <w:jc w:val="left"/>
              <w:rPr>
                <w:rFonts w:hint="eastAsia" w:ascii="宋体" w:hAnsi="宋体" w:eastAsia="宋体" w:cs="宋体"/>
                <w:sz w:val="24"/>
              </w:rPr>
            </w:pPr>
          </w:p>
        </w:tc>
        <w:tc>
          <w:tcPr>
            <w:tcW w:w="2856" w:type="dxa"/>
            <w:tcBorders>
              <w:top w:val="single" w:color="auto" w:sz="6" w:space="0"/>
              <w:left w:val="single" w:color="auto" w:sz="6" w:space="0"/>
              <w:bottom w:val="single" w:color="auto" w:sz="6" w:space="0"/>
              <w:right w:val="single" w:color="auto" w:sz="6" w:space="0"/>
            </w:tcBorders>
            <w:noWrap/>
            <w:vAlign w:val="center"/>
          </w:tcPr>
          <w:p w14:paraId="2DA4B095">
            <w:pPr>
              <w:spacing w:line="340" w:lineRule="exact"/>
              <w:jc w:val="left"/>
              <w:rPr>
                <w:rFonts w:hint="eastAsia" w:ascii="宋体" w:hAnsi="宋体" w:eastAsia="宋体" w:cs="宋体"/>
                <w:sz w:val="24"/>
              </w:rPr>
            </w:pPr>
          </w:p>
        </w:tc>
        <w:tc>
          <w:tcPr>
            <w:tcW w:w="2611" w:type="dxa"/>
            <w:tcBorders>
              <w:top w:val="single" w:color="auto" w:sz="6" w:space="0"/>
              <w:left w:val="single" w:color="auto" w:sz="6" w:space="0"/>
              <w:bottom w:val="single" w:color="auto" w:sz="6" w:space="0"/>
              <w:right w:val="single" w:color="auto" w:sz="6" w:space="0"/>
            </w:tcBorders>
            <w:noWrap/>
            <w:vAlign w:val="center"/>
          </w:tcPr>
          <w:p w14:paraId="2217034C">
            <w:pPr>
              <w:spacing w:line="340" w:lineRule="exact"/>
              <w:jc w:val="left"/>
              <w:rPr>
                <w:rFonts w:hint="eastAsia" w:ascii="宋体" w:hAnsi="宋体" w:eastAsia="宋体" w:cs="宋体"/>
                <w:sz w:val="24"/>
              </w:rPr>
            </w:pPr>
          </w:p>
        </w:tc>
        <w:tc>
          <w:tcPr>
            <w:tcW w:w="1359" w:type="dxa"/>
            <w:tcBorders>
              <w:top w:val="single" w:color="auto" w:sz="6" w:space="0"/>
              <w:left w:val="single" w:color="auto" w:sz="6" w:space="0"/>
              <w:bottom w:val="single" w:color="auto" w:sz="6" w:space="0"/>
              <w:right w:val="single" w:color="auto" w:sz="12" w:space="0"/>
            </w:tcBorders>
            <w:noWrap/>
          </w:tcPr>
          <w:p w14:paraId="67E632CE">
            <w:pPr>
              <w:spacing w:line="340" w:lineRule="exact"/>
              <w:jc w:val="left"/>
              <w:rPr>
                <w:rFonts w:hint="eastAsia" w:ascii="宋体" w:hAnsi="宋体" w:eastAsia="宋体" w:cs="宋体"/>
                <w:sz w:val="24"/>
              </w:rPr>
            </w:pPr>
          </w:p>
        </w:tc>
      </w:tr>
      <w:tr w14:paraId="71E64D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732" w:type="dxa"/>
            <w:tcBorders>
              <w:top w:val="single" w:color="auto" w:sz="6" w:space="0"/>
              <w:left w:val="single" w:color="auto" w:sz="12" w:space="0"/>
              <w:bottom w:val="single" w:color="auto" w:sz="6" w:space="0"/>
              <w:right w:val="single" w:color="auto" w:sz="6" w:space="0"/>
            </w:tcBorders>
            <w:noWrap/>
          </w:tcPr>
          <w:p w14:paraId="4D530942">
            <w:pPr>
              <w:spacing w:line="340" w:lineRule="exact"/>
              <w:jc w:val="center"/>
              <w:rPr>
                <w:rFonts w:hint="eastAsia" w:ascii="宋体" w:hAnsi="宋体" w:eastAsia="宋体" w:cs="宋体"/>
                <w:sz w:val="24"/>
              </w:rPr>
            </w:pPr>
            <w:r>
              <w:rPr>
                <w:rFonts w:hint="eastAsia" w:ascii="宋体" w:hAnsi="宋体" w:eastAsia="宋体" w:cs="宋体"/>
                <w:sz w:val="24"/>
              </w:rPr>
              <w:t>4</w:t>
            </w:r>
          </w:p>
        </w:tc>
        <w:tc>
          <w:tcPr>
            <w:tcW w:w="2296" w:type="dxa"/>
            <w:tcBorders>
              <w:top w:val="single" w:color="auto" w:sz="6" w:space="0"/>
              <w:left w:val="single" w:color="auto" w:sz="6" w:space="0"/>
              <w:bottom w:val="single" w:color="auto" w:sz="6" w:space="0"/>
              <w:right w:val="single" w:color="auto" w:sz="6" w:space="0"/>
            </w:tcBorders>
            <w:noWrap/>
            <w:vAlign w:val="center"/>
          </w:tcPr>
          <w:p w14:paraId="05970ECF">
            <w:pPr>
              <w:spacing w:line="340" w:lineRule="exact"/>
              <w:jc w:val="left"/>
              <w:rPr>
                <w:rFonts w:hint="eastAsia" w:ascii="宋体" w:hAnsi="宋体" w:eastAsia="宋体" w:cs="宋体"/>
                <w:sz w:val="24"/>
              </w:rPr>
            </w:pPr>
          </w:p>
        </w:tc>
        <w:tc>
          <w:tcPr>
            <w:tcW w:w="2856" w:type="dxa"/>
            <w:tcBorders>
              <w:top w:val="single" w:color="auto" w:sz="6" w:space="0"/>
              <w:left w:val="single" w:color="auto" w:sz="6" w:space="0"/>
              <w:bottom w:val="single" w:color="auto" w:sz="6" w:space="0"/>
              <w:right w:val="single" w:color="auto" w:sz="6" w:space="0"/>
            </w:tcBorders>
            <w:noWrap/>
            <w:vAlign w:val="center"/>
          </w:tcPr>
          <w:p w14:paraId="0F1FC8E9">
            <w:pPr>
              <w:spacing w:line="340" w:lineRule="exact"/>
              <w:jc w:val="left"/>
              <w:rPr>
                <w:rFonts w:hint="eastAsia" w:ascii="宋体" w:hAnsi="宋体" w:eastAsia="宋体" w:cs="宋体"/>
                <w:sz w:val="24"/>
              </w:rPr>
            </w:pPr>
          </w:p>
        </w:tc>
        <w:tc>
          <w:tcPr>
            <w:tcW w:w="2611" w:type="dxa"/>
            <w:tcBorders>
              <w:top w:val="single" w:color="auto" w:sz="6" w:space="0"/>
              <w:left w:val="single" w:color="auto" w:sz="6" w:space="0"/>
              <w:bottom w:val="single" w:color="auto" w:sz="6" w:space="0"/>
              <w:right w:val="single" w:color="auto" w:sz="6" w:space="0"/>
            </w:tcBorders>
            <w:noWrap/>
            <w:vAlign w:val="center"/>
          </w:tcPr>
          <w:p w14:paraId="516B3E7A">
            <w:pPr>
              <w:spacing w:line="340" w:lineRule="exact"/>
              <w:jc w:val="left"/>
              <w:rPr>
                <w:rFonts w:hint="eastAsia" w:ascii="宋体" w:hAnsi="宋体" w:eastAsia="宋体" w:cs="宋体"/>
                <w:sz w:val="24"/>
              </w:rPr>
            </w:pPr>
          </w:p>
        </w:tc>
        <w:tc>
          <w:tcPr>
            <w:tcW w:w="1359" w:type="dxa"/>
            <w:tcBorders>
              <w:top w:val="single" w:color="auto" w:sz="6" w:space="0"/>
              <w:left w:val="single" w:color="auto" w:sz="6" w:space="0"/>
              <w:bottom w:val="single" w:color="auto" w:sz="6" w:space="0"/>
              <w:right w:val="single" w:color="auto" w:sz="12" w:space="0"/>
            </w:tcBorders>
            <w:noWrap/>
          </w:tcPr>
          <w:p w14:paraId="1A48B221">
            <w:pPr>
              <w:spacing w:line="340" w:lineRule="exact"/>
              <w:jc w:val="left"/>
              <w:rPr>
                <w:rFonts w:hint="eastAsia" w:ascii="宋体" w:hAnsi="宋体" w:eastAsia="宋体" w:cs="宋体"/>
                <w:sz w:val="24"/>
              </w:rPr>
            </w:pPr>
          </w:p>
        </w:tc>
      </w:tr>
    </w:tbl>
    <w:p w14:paraId="2B32DD86">
      <w:pPr>
        <w:snapToGrid w:val="0"/>
        <w:spacing w:line="300" w:lineRule="auto"/>
        <w:contextualSpacing/>
        <w:rPr>
          <w:rFonts w:hint="eastAsia" w:ascii="宋体" w:hAnsi="宋体" w:eastAsia="宋体" w:cs="宋体"/>
          <w:b/>
          <w:sz w:val="24"/>
        </w:rPr>
      </w:pPr>
      <w:r>
        <w:rPr>
          <w:rFonts w:hint="eastAsia" w:ascii="宋体" w:hAnsi="宋体" w:eastAsia="宋体" w:cs="宋体"/>
          <w:b/>
          <w:sz w:val="24"/>
        </w:rPr>
        <w:t>注：</w:t>
      </w:r>
    </w:p>
    <w:p w14:paraId="59693784">
      <w:pPr>
        <w:snapToGrid w:val="0"/>
        <w:spacing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1.供应商提交的响应文件中与磋商文件第三部分“项目需求”中的技术部分的要求，如有偏离，应逐条填列在偏离表中。</w:t>
      </w:r>
    </w:p>
    <w:p w14:paraId="3483BAFD">
      <w:pPr>
        <w:snapToGrid w:val="0"/>
        <w:spacing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2. “偏离说明”一栏选择“正偏离”、“无偏离”、“负偏离”进行填写。正偏离、无偏离的确认和负偏离的是否响应磋商文件，由评委认定。</w:t>
      </w:r>
    </w:p>
    <w:p w14:paraId="3CA9554D">
      <w:pPr>
        <w:snapToGrid w:val="0"/>
        <w:spacing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3.供应商如果虚假响应，将被暂停参加采购单位组织的任何采购活动。</w:t>
      </w:r>
    </w:p>
    <w:p w14:paraId="473A3933">
      <w:pPr>
        <w:snapToGrid w:val="0"/>
        <w:spacing w:line="360" w:lineRule="auto"/>
        <w:ind w:firstLine="480" w:firstLineChars="200"/>
        <w:contextualSpacing/>
        <w:rPr>
          <w:rFonts w:hint="eastAsia" w:ascii="宋体" w:hAnsi="宋体" w:eastAsia="宋体" w:cs="宋体"/>
        </w:rPr>
      </w:pPr>
      <w:r>
        <w:rPr>
          <w:rFonts w:hint="eastAsia" w:ascii="宋体" w:hAnsi="宋体" w:eastAsia="宋体" w:cs="宋体"/>
          <w:bCs/>
          <w:sz w:val="24"/>
        </w:rPr>
        <w:t>4.供应商若提供其他增值服务，可以在表中自行据实填写。</w:t>
      </w:r>
    </w:p>
    <w:p w14:paraId="1FB12548">
      <w:pPr>
        <w:snapToGrid w:val="0"/>
        <w:spacing w:line="360" w:lineRule="auto"/>
        <w:ind w:right="79"/>
        <w:textAlignment w:val="baseline"/>
        <w:rPr>
          <w:rFonts w:hint="eastAsia" w:ascii="宋体" w:hAnsi="宋体" w:eastAsia="宋体" w:cs="宋体"/>
          <w:color w:val="000000"/>
          <w:sz w:val="24"/>
        </w:rPr>
      </w:pPr>
    </w:p>
    <w:p w14:paraId="69F00722">
      <w:pPr>
        <w:snapToGrid w:val="0"/>
        <w:spacing w:line="360" w:lineRule="auto"/>
        <w:ind w:right="79"/>
        <w:textAlignment w:val="baseline"/>
        <w:rPr>
          <w:rFonts w:hint="eastAsia" w:ascii="宋体" w:hAnsi="宋体" w:eastAsia="宋体" w:cs="宋体"/>
          <w:color w:val="000000"/>
          <w:sz w:val="24"/>
        </w:rPr>
      </w:pPr>
    </w:p>
    <w:p w14:paraId="384E843C">
      <w:pPr>
        <w:snapToGrid w:val="0"/>
        <w:spacing w:line="360" w:lineRule="auto"/>
        <w:ind w:right="79"/>
        <w:textAlignment w:val="baseline"/>
        <w:rPr>
          <w:rFonts w:hint="eastAsia" w:ascii="宋体" w:hAnsi="宋体" w:eastAsia="宋体" w:cs="宋体"/>
          <w:color w:val="000000"/>
          <w:sz w:val="24"/>
        </w:rPr>
      </w:pPr>
      <w:r>
        <w:rPr>
          <w:rFonts w:hint="eastAsia" w:ascii="宋体" w:hAnsi="宋体" w:eastAsia="宋体" w:cs="宋体"/>
          <w:sz w:val="24"/>
        </w:rPr>
        <w:t>供应商：（单位盖章）</w:t>
      </w:r>
    </w:p>
    <w:p w14:paraId="3733C651">
      <w:pPr>
        <w:snapToGrid w:val="0"/>
        <w:spacing w:line="360" w:lineRule="auto"/>
        <w:rPr>
          <w:rFonts w:hint="eastAsia" w:ascii="宋体" w:hAnsi="宋体" w:eastAsia="宋体" w:cs="宋体"/>
          <w:color w:val="000000"/>
          <w:sz w:val="24"/>
        </w:rPr>
      </w:pPr>
      <w:r>
        <w:rPr>
          <w:rFonts w:hint="eastAsia" w:ascii="宋体" w:hAnsi="宋体" w:eastAsia="宋体" w:cs="宋体"/>
          <w:sz w:val="24"/>
        </w:rPr>
        <w:t>法定代表人或委托代理人（签字或盖章）：</w:t>
      </w:r>
    </w:p>
    <w:p w14:paraId="584BE711">
      <w:pPr>
        <w:adjustRightInd w:val="0"/>
        <w:snapToGrid w:val="0"/>
        <w:spacing w:line="480" w:lineRule="auto"/>
        <w:jc w:val="left"/>
      </w:pPr>
      <w:r>
        <w:rPr>
          <w:rFonts w:hint="eastAsia" w:ascii="宋体" w:hAnsi="宋体" w:eastAsia="宋体" w:cs="宋体"/>
          <w:color w:val="000000"/>
          <w:sz w:val="24"/>
        </w:rPr>
        <w:t>日期：  年  月  日</w:t>
      </w:r>
    </w:p>
    <w:p w14:paraId="72EC689D">
      <w:pPr>
        <w:adjustRightInd w:val="0"/>
        <w:snapToGrid w:val="0"/>
        <w:spacing w:line="480" w:lineRule="auto"/>
        <w:jc w:val="left"/>
      </w:pPr>
    </w:p>
    <w:p w14:paraId="72764F62">
      <w:pPr>
        <w:rPr>
          <w:rFonts w:ascii="宋体" w:hAnsi="Times New Roman" w:eastAsia="宋体"/>
          <w:b/>
          <w:bCs/>
          <w:kern w:val="2"/>
          <w:sz w:val="28"/>
          <w:szCs w:val="28"/>
        </w:rPr>
      </w:pPr>
      <w:r>
        <w:rPr>
          <w:rFonts w:hint="eastAsia" w:ascii="宋体" w:hAnsi="Times New Roman" w:eastAsia="宋体"/>
          <w:b/>
          <w:bCs/>
          <w:kern w:val="2"/>
          <w:sz w:val="28"/>
          <w:szCs w:val="28"/>
        </w:rPr>
        <w:br w:type="page"/>
      </w:r>
    </w:p>
    <w:p w14:paraId="3FD068A6">
      <w:pPr>
        <w:adjustRightInd w:val="0"/>
        <w:snapToGrid w:val="0"/>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11、磋商响应报价总表</w:t>
      </w:r>
    </w:p>
    <w:tbl>
      <w:tblPr>
        <w:tblStyle w:val="12"/>
        <w:tblW w:w="9755" w:type="dxa"/>
        <w:jc w:val="center"/>
        <w:tblLayout w:type="fixed"/>
        <w:tblCellMar>
          <w:top w:w="0" w:type="dxa"/>
          <w:left w:w="108" w:type="dxa"/>
          <w:bottom w:w="0" w:type="dxa"/>
          <w:right w:w="108" w:type="dxa"/>
        </w:tblCellMar>
      </w:tblPr>
      <w:tblGrid>
        <w:gridCol w:w="2414"/>
        <w:gridCol w:w="7341"/>
      </w:tblGrid>
      <w:tr w14:paraId="69C0F354">
        <w:tblPrEx>
          <w:tblCellMar>
            <w:top w:w="0" w:type="dxa"/>
            <w:left w:w="108" w:type="dxa"/>
            <w:bottom w:w="0" w:type="dxa"/>
            <w:right w:w="108" w:type="dxa"/>
          </w:tblCellMar>
        </w:tblPrEx>
        <w:trPr>
          <w:trHeight w:val="752" w:hRule="atLeast"/>
          <w:jc w:val="center"/>
        </w:trPr>
        <w:tc>
          <w:tcPr>
            <w:tcW w:w="2414" w:type="dxa"/>
            <w:tcBorders>
              <w:top w:val="single" w:color="auto" w:sz="4" w:space="0"/>
              <w:left w:val="single" w:color="auto" w:sz="4" w:space="0"/>
              <w:bottom w:val="single" w:color="auto" w:sz="4" w:space="0"/>
              <w:right w:val="single" w:color="auto" w:sz="4" w:space="0"/>
            </w:tcBorders>
            <w:vAlign w:val="center"/>
          </w:tcPr>
          <w:p w14:paraId="394B807F">
            <w:pPr>
              <w:widowControl/>
              <w:spacing w:line="360" w:lineRule="auto"/>
              <w:jc w:val="center"/>
              <w:rPr>
                <w:rFonts w:hint="eastAsia" w:ascii="宋体" w:hAnsi="宋体" w:eastAsia="宋体" w:cs="宋体"/>
                <w:sz w:val="24"/>
              </w:rPr>
            </w:pPr>
            <w:r>
              <w:rPr>
                <w:rFonts w:hint="eastAsia" w:ascii="宋体" w:hAnsi="宋体" w:eastAsia="宋体" w:cs="宋体"/>
                <w:sz w:val="24"/>
              </w:rPr>
              <w:t>项目名称</w:t>
            </w:r>
          </w:p>
        </w:tc>
        <w:tc>
          <w:tcPr>
            <w:tcW w:w="7341" w:type="dxa"/>
            <w:tcBorders>
              <w:top w:val="single" w:color="auto" w:sz="4" w:space="0"/>
              <w:left w:val="single" w:color="auto" w:sz="4" w:space="0"/>
              <w:bottom w:val="single" w:color="auto" w:sz="4" w:space="0"/>
              <w:right w:val="single" w:color="auto" w:sz="4" w:space="0"/>
            </w:tcBorders>
            <w:vAlign w:val="center"/>
          </w:tcPr>
          <w:p w14:paraId="208D59F6">
            <w:pPr>
              <w:widowControl/>
              <w:spacing w:line="360" w:lineRule="auto"/>
              <w:jc w:val="center"/>
              <w:rPr>
                <w:rFonts w:hint="eastAsia" w:ascii="宋体" w:hAnsi="宋体" w:eastAsia="宋体" w:cs="宋体"/>
                <w:sz w:val="24"/>
              </w:rPr>
            </w:pPr>
            <w:r>
              <w:rPr>
                <w:rFonts w:hint="eastAsia" w:ascii="宋体" w:hAnsi="宋体" w:eastAsia="宋体" w:cs="宋体"/>
                <w:kern w:val="2"/>
                <w:sz w:val="24"/>
              </w:rPr>
              <w:t>南通市交通运输综合行政执法支队制服采购项目</w:t>
            </w:r>
          </w:p>
        </w:tc>
      </w:tr>
      <w:tr w14:paraId="7D32DD50">
        <w:tblPrEx>
          <w:tblCellMar>
            <w:top w:w="0" w:type="dxa"/>
            <w:left w:w="108" w:type="dxa"/>
            <w:bottom w:w="0" w:type="dxa"/>
            <w:right w:w="108" w:type="dxa"/>
          </w:tblCellMar>
        </w:tblPrEx>
        <w:trPr>
          <w:trHeight w:val="752" w:hRule="atLeast"/>
          <w:jc w:val="center"/>
        </w:trPr>
        <w:tc>
          <w:tcPr>
            <w:tcW w:w="2414" w:type="dxa"/>
            <w:tcBorders>
              <w:top w:val="single" w:color="auto" w:sz="4" w:space="0"/>
              <w:left w:val="single" w:color="auto" w:sz="4" w:space="0"/>
              <w:bottom w:val="single" w:color="auto" w:sz="4" w:space="0"/>
              <w:right w:val="single" w:color="auto" w:sz="4" w:space="0"/>
            </w:tcBorders>
            <w:vAlign w:val="center"/>
          </w:tcPr>
          <w:p w14:paraId="2A43C9DD">
            <w:pPr>
              <w:widowControl/>
              <w:spacing w:line="360" w:lineRule="auto"/>
              <w:jc w:val="center"/>
              <w:rPr>
                <w:rFonts w:hint="eastAsia" w:ascii="宋体" w:hAnsi="宋体" w:eastAsia="宋体" w:cs="宋体"/>
                <w:sz w:val="24"/>
              </w:rPr>
            </w:pPr>
            <w:r>
              <w:rPr>
                <w:rFonts w:hint="eastAsia" w:ascii="宋体" w:hAnsi="宋体" w:eastAsia="宋体" w:cs="宋体"/>
                <w:sz w:val="24"/>
              </w:rPr>
              <w:t>项目编号</w:t>
            </w:r>
          </w:p>
        </w:tc>
        <w:tc>
          <w:tcPr>
            <w:tcW w:w="7341" w:type="dxa"/>
            <w:tcBorders>
              <w:top w:val="single" w:color="auto" w:sz="4" w:space="0"/>
              <w:left w:val="single" w:color="auto" w:sz="4" w:space="0"/>
              <w:bottom w:val="single" w:color="auto" w:sz="4" w:space="0"/>
              <w:right w:val="single" w:color="auto" w:sz="4" w:space="0"/>
            </w:tcBorders>
            <w:vAlign w:val="center"/>
          </w:tcPr>
          <w:p w14:paraId="05A3EFCA">
            <w:pPr>
              <w:widowControl/>
              <w:spacing w:line="360" w:lineRule="auto"/>
              <w:jc w:val="center"/>
              <w:rPr>
                <w:rFonts w:hint="eastAsia" w:ascii="宋体" w:hAnsi="宋体" w:eastAsia="宋体" w:cs="宋体"/>
                <w:kern w:val="2"/>
                <w:sz w:val="24"/>
              </w:rPr>
            </w:pPr>
            <w:r>
              <w:rPr>
                <w:rFonts w:hint="eastAsia" w:ascii="宋体" w:hAnsi="宋体" w:eastAsia="宋体" w:cs="宋体"/>
                <w:kern w:val="2"/>
                <w:sz w:val="24"/>
              </w:rPr>
              <w:t xml:space="preserve">JSXDF2025071101    </w:t>
            </w:r>
          </w:p>
        </w:tc>
      </w:tr>
      <w:tr w14:paraId="46FCB02C">
        <w:tblPrEx>
          <w:tblCellMar>
            <w:top w:w="0" w:type="dxa"/>
            <w:left w:w="108" w:type="dxa"/>
            <w:bottom w:w="0" w:type="dxa"/>
            <w:right w:w="108" w:type="dxa"/>
          </w:tblCellMar>
        </w:tblPrEx>
        <w:trPr>
          <w:trHeight w:val="1020" w:hRule="atLeast"/>
          <w:jc w:val="center"/>
        </w:trPr>
        <w:tc>
          <w:tcPr>
            <w:tcW w:w="2414" w:type="dxa"/>
            <w:tcBorders>
              <w:top w:val="nil"/>
              <w:left w:val="single" w:color="auto" w:sz="4" w:space="0"/>
              <w:bottom w:val="single" w:color="auto" w:sz="4" w:space="0"/>
              <w:right w:val="single" w:color="auto" w:sz="4" w:space="0"/>
            </w:tcBorders>
            <w:vAlign w:val="center"/>
          </w:tcPr>
          <w:p w14:paraId="23614A76">
            <w:pPr>
              <w:widowControl/>
              <w:spacing w:line="360" w:lineRule="auto"/>
              <w:jc w:val="center"/>
              <w:rPr>
                <w:rFonts w:hint="eastAsia" w:ascii="宋体" w:hAnsi="宋体" w:eastAsia="宋体" w:cs="宋体"/>
                <w:sz w:val="24"/>
              </w:rPr>
            </w:pPr>
            <w:r>
              <w:rPr>
                <w:rFonts w:hint="eastAsia" w:ascii="宋体" w:hAnsi="宋体" w:eastAsia="宋体" w:cs="宋体"/>
                <w:sz w:val="24"/>
              </w:rPr>
              <w:t>首次磋商总价报价</w:t>
            </w:r>
          </w:p>
        </w:tc>
        <w:tc>
          <w:tcPr>
            <w:tcW w:w="7341" w:type="dxa"/>
            <w:tcBorders>
              <w:top w:val="single" w:color="auto" w:sz="4" w:space="0"/>
              <w:left w:val="single" w:color="auto" w:sz="4" w:space="0"/>
              <w:bottom w:val="single" w:color="auto" w:sz="4" w:space="0"/>
              <w:right w:val="single" w:color="auto" w:sz="4" w:space="0"/>
            </w:tcBorders>
            <w:vAlign w:val="center"/>
          </w:tcPr>
          <w:p w14:paraId="66726935">
            <w:pPr>
              <w:snapToGrid w:val="0"/>
              <w:spacing w:line="420" w:lineRule="exact"/>
              <w:textAlignment w:val="baseline"/>
              <w:rPr>
                <w:rFonts w:hint="eastAsia" w:ascii="宋体" w:hAnsi="宋体" w:eastAsia="宋体" w:cs="宋体"/>
                <w:kern w:val="2"/>
                <w:sz w:val="24"/>
              </w:rPr>
            </w:pPr>
            <w:r>
              <w:rPr>
                <w:rFonts w:hint="eastAsia" w:ascii="宋体" w:hAnsi="宋体" w:eastAsia="宋体" w:cs="宋体"/>
                <w:sz w:val="24"/>
              </w:rPr>
              <w:t>大写：</w:t>
            </w:r>
            <w:r>
              <w:rPr>
                <w:rFonts w:hint="eastAsia" w:ascii="宋体" w:hAnsi="宋体" w:eastAsia="宋体" w:cs="宋体"/>
                <w:kern w:val="2"/>
                <w:sz w:val="24"/>
              </w:rPr>
              <w:t>人民币</w:t>
            </w:r>
            <w:r>
              <w:rPr>
                <w:rFonts w:hint="eastAsia" w:ascii="宋体" w:hAnsi="宋体" w:eastAsia="宋体" w:cs="宋体"/>
                <w:kern w:val="2"/>
                <w:sz w:val="24"/>
                <w:u w:val="single" w:color="000000"/>
              </w:rPr>
              <w:t xml:space="preserve">    拾   万   仟   佰   拾   元   角   分</w:t>
            </w:r>
            <w:r>
              <w:rPr>
                <w:rFonts w:hint="eastAsia" w:ascii="宋体" w:hAnsi="宋体" w:eastAsia="宋体" w:cs="宋体"/>
                <w:kern w:val="2"/>
                <w:sz w:val="24"/>
              </w:rPr>
              <w:t>。</w:t>
            </w:r>
          </w:p>
          <w:p w14:paraId="4E3AF603">
            <w:pPr>
              <w:widowControl/>
              <w:spacing w:line="360" w:lineRule="auto"/>
              <w:jc w:val="left"/>
              <w:rPr>
                <w:rFonts w:eastAsia="宋体"/>
              </w:rPr>
            </w:pPr>
            <w:r>
              <w:rPr>
                <w:rFonts w:hint="eastAsia" w:ascii="宋体" w:hAnsi="宋体" w:eastAsia="宋体" w:cs="宋体"/>
                <w:kern w:val="2"/>
                <w:sz w:val="24"/>
              </w:rPr>
              <w:t>小写：￥</w:t>
            </w:r>
            <w:r>
              <w:rPr>
                <w:rFonts w:hint="eastAsia" w:ascii="宋体" w:hAnsi="宋体" w:eastAsia="宋体" w:cs="宋体"/>
                <w:kern w:val="2"/>
                <w:sz w:val="24"/>
                <w:u w:val="single" w:color="000000"/>
              </w:rPr>
              <w:t xml:space="preserve">                 元。</w:t>
            </w:r>
          </w:p>
        </w:tc>
      </w:tr>
      <w:tr w14:paraId="0A8D0689">
        <w:tblPrEx>
          <w:tblCellMar>
            <w:top w:w="0" w:type="dxa"/>
            <w:left w:w="108" w:type="dxa"/>
            <w:bottom w:w="0" w:type="dxa"/>
            <w:right w:w="108" w:type="dxa"/>
          </w:tblCellMar>
        </w:tblPrEx>
        <w:trPr>
          <w:trHeight w:val="1020" w:hRule="atLeast"/>
          <w:jc w:val="center"/>
        </w:trPr>
        <w:tc>
          <w:tcPr>
            <w:tcW w:w="2414" w:type="dxa"/>
            <w:tcBorders>
              <w:top w:val="nil"/>
              <w:left w:val="single" w:color="auto" w:sz="4" w:space="0"/>
              <w:bottom w:val="single" w:color="auto" w:sz="4" w:space="0"/>
              <w:right w:val="single" w:color="auto" w:sz="4" w:space="0"/>
            </w:tcBorders>
            <w:vAlign w:val="center"/>
          </w:tcPr>
          <w:p w14:paraId="66FF7514">
            <w:pPr>
              <w:widowControl/>
              <w:spacing w:line="360" w:lineRule="auto"/>
              <w:jc w:val="center"/>
              <w:rPr>
                <w:rFonts w:hint="eastAsia" w:ascii="宋体" w:hAnsi="宋体" w:eastAsia="宋体" w:cs="宋体"/>
                <w:sz w:val="24"/>
              </w:rPr>
            </w:pPr>
            <w:r>
              <w:rPr>
                <w:rFonts w:hint="eastAsia" w:ascii="宋体" w:hAnsi="宋体" w:eastAsia="宋体" w:cs="宋体"/>
                <w:sz w:val="24"/>
              </w:rPr>
              <w:t>最终磋商总价报价</w:t>
            </w:r>
          </w:p>
          <w:p w14:paraId="713B6C16">
            <w:pPr>
              <w:widowControl/>
              <w:spacing w:line="360" w:lineRule="auto"/>
              <w:jc w:val="center"/>
              <w:rPr>
                <w:kern w:val="2"/>
              </w:rPr>
            </w:pPr>
            <w:r>
              <w:rPr>
                <w:rFonts w:hint="eastAsia" w:ascii="宋体" w:hAnsi="宋体" w:eastAsia="宋体" w:cs="宋体"/>
                <w:b/>
                <w:bCs/>
                <w:sz w:val="24"/>
              </w:rPr>
              <w:t>磋商现场填写</w:t>
            </w:r>
          </w:p>
        </w:tc>
        <w:tc>
          <w:tcPr>
            <w:tcW w:w="7341" w:type="dxa"/>
            <w:tcBorders>
              <w:top w:val="single" w:color="auto" w:sz="4" w:space="0"/>
              <w:left w:val="single" w:color="auto" w:sz="4" w:space="0"/>
              <w:bottom w:val="single" w:color="auto" w:sz="4" w:space="0"/>
              <w:right w:val="single" w:color="auto" w:sz="4" w:space="0"/>
            </w:tcBorders>
            <w:vAlign w:val="center"/>
          </w:tcPr>
          <w:p w14:paraId="0FAE7072">
            <w:pPr>
              <w:snapToGrid w:val="0"/>
              <w:spacing w:line="420" w:lineRule="exact"/>
              <w:textAlignment w:val="baseline"/>
              <w:rPr>
                <w:rFonts w:hint="eastAsia" w:ascii="宋体" w:hAnsi="宋体" w:eastAsia="宋体" w:cs="宋体"/>
                <w:kern w:val="2"/>
                <w:sz w:val="24"/>
              </w:rPr>
            </w:pPr>
            <w:r>
              <w:rPr>
                <w:rFonts w:hint="eastAsia" w:ascii="宋体" w:hAnsi="宋体" w:eastAsia="宋体" w:cs="宋体"/>
                <w:sz w:val="24"/>
              </w:rPr>
              <w:t>大写：</w:t>
            </w:r>
            <w:r>
              <w:rPr>
                <w:rFonts w:hint="eastAsia" w:ascii="宋体" w:hAnsi="宋体" w:eastAsia="宋体" w:cs="宋体"/>
                <w:kern w:val="2"/>
                <w:sz w:val="24"/>
              </w:rPr>
              <w:t>人民币</w:t>
            </w:r>
            <w:r>
              <w:rPr>
                <w:rFonts w:hint="eastAsia" w:ascii="宋体" w:hAnsi="宋体" w:eastAsia="宋体" w:cs="宋体"/>
                <w:kern w:val="2"/>
                <w:sz w:val="24"/>
                <w:u w:val="single" w:color="000000"/>
              </w:rPr>
              <w:t xml:space="preserve">    拾   万   仟   佰   拾   元   角   分</w:t>
            </w:r>
            <w:r>
              <w:rPr>
                <w:rFonts w:hint="eastAsia" w:ascii="宋体" w:hAnsi="宋体" w:eastAsia="宋体" w:cs="宋体"/>
                <w:kern w:val="2"/>
                <w:sz w:val="24"/>
              </w:rPr>
              <w:t>。</w:t>
            </w:r>
          </w:p>
          <w:p w14:paraId="321C80FC">
            <w:pPr>
              <w:widowControl/>
              <w:spacing w:line="360" w:lineRule="auto"/>
              <w:jc w:val="left"/>
              <w:rPr>
                <w:rFonts w:hint="eastAsia" w:ascii="宋体" w:hAnsi="宋体" w:eastAsia="宋体" w:cs="宋体"/>
                <w:sz w:val="24"/>
              </w:rPr>
            </w:pPr>
            <w:r>
              <w:rPr>
                <w:rFonts w:hint="eastAsia" w:ascii="宋体" w:hAnsi="宋体" w:eastAsia="宋体" w:cs="宋体"/>
                <w:kern w:val="2"/>
                <w:sz w:val="24"/>
              </w:rPr>
              <w:t>小写：￥</w:t>
            </w:r>
            <w:r>
              <w:rPr>
                <w:rFonts w:hint="eastAsia" w:ascii="宋体" w:hAnsi="宋体" w:eastAsia="宋体" w:cs="宋体"/>
                <w:kern w:val="2"/>
                <w:sz w:val="24"/>
                <w:u w:val="single" w:color="000000"/>
              </w:rPr>
              <w:t xml:space="preserve">                 元。</w:t>
            </w:r>
          </w:p>
        </w:tc>
      </w:tr>
      <w:tr w14:paraId="389198B1">
        <w:tblPrEx>
          <w:tblCellMar>
            <w:top w:w="0" w:type="dxa"/>
            <w:left w:w="108" w:type="dxa"/>
            <w:bottom w:w="0" w:type="dxa"/>
            <w:right w:w="108" w:type="dxa"/>
          </w:tblCellMar>
        </w:tblPrEx>
        <w:trPr>
          <w:trHeight w:val="1107" w:hRule="atLeast"/>
          <w:jc w:val="center"/>
        </w:trPr>
        <w:tc>
          <w:tcPr>
            <w:tcW w:w="2414" w:type="dxa"/>
            <w:tcBorders>
              <w:top w:val="nil"/>
              <w:left w:val="single" w:color="auto" w:sz="4" w:space="0"/>
              <w:bottom w:val="single" w:color="auto" w:sz="4" w:space="0"/>
              <w:right w:val="single" w:color="auto" w:sz="4" w:space="0"/>
            </w:tcBorders>
            <w:vAlign w:val="center"/>
          </w:tcPr>
          <w:p w14:paraId="5F407814">
            <w:pPr>
              <w:widowControl/>
              <w:spacing w:line="360" w:lineRule="auto"/>
              <w:jc w:val="center"/>
              <w:rPr>
                <w:rFonts w:hint="eastAsia" w:ascii="宋体" w:hAnsi="宋体" w:eastAsia="宋体" w:cs="宋体"/>
                <w:sz w:val="24"/>
              </w:rPr>
            </w:pPr>
            <w:r>
              <w:rPr>
                <w:rFonts w:hint="eastAsia" w:ascii="宋体" w:hAnsi="宋体" w:eastAsia="宋体" w:cs="宋体"/>
                <w:sz w:val="24"/>
              </w:rPr>
              <w:t>其它</w:t>
            </w:r>
          </w:p>
        </w:tc>
        <w:tc>
          <w:tcPr>
            <w:tcW w:w="7341" w:type="dxa"/>
            <w:tcBorders>
              <w:top w:val="single" w:color="auto" w:sz="4" w:space="0"/>
              <w:left w:val="single" w:color="auto" w:sz="4" w:space="0"/>
              <w:bottom w:val="single" w:color="auto" w:sz="4" w:space="0"/>
              <w:right w:val="single" w:color="auto" w:sz="4" w:space="0"/>
            </w:tcBorders>
            <w:vAlign w:val="center"/>
          </w:tcPr>
          <w:p w14:paraId="474B8DF4">
            <w:pPr>
              <w:snapToGrid w:val="0"/>
              <w:spacing w:line="420" w:lineRule="exact"/>
              <w:jc w:val="center"/>
              <w:textAlignment w:val="baseline"/>
              <w:rPr>
                <w:rFonts w:hint="eastAsia" w:ascii="宋体" w:hAnsi="宋体" w:eastAsia="宋体" w:cs="宋体"/>
                <w:sz w:val="24"/>
              </w:rPr>
            </w:pPr>
            <w:r>
              <w:rPr>
                <w:rFonts w:hint="eastAsia" w:ascii="宋体" w:hAnsi="宋体" w:eastAsia="宋体" w:cs="宋体"/>
                <w:sz w:val="24"/>
              </w:rPr>
              <w:t>完全接受并响应竞争性磋商文件中的</w:t>
            </w:r>
            <w:r>
              <w:rPr>
                <w:rFonts w:hint="eastAsia" w:ascii="宋体" w:hAnsi="宋体" w:eastAsia="宋体" w:cs="宋体"/>
                <w:kern w:val="2"/>
                <w:sz w:val="24"/>
              </w:rPr>
              <w:t>要求。</w:t>
            </w:r>
          </w:p>
        </w:tc>
      </w:tr>
    </w:tbl>
    <w:p w14:paraId="449B89FA">
      <w:pPr>
        <w:spacing w:line="600" w:lineRule="exact"/>
        <w:rPr>
          <w:rFonts w:hint="eastAsia" w:ascii="宋体" w:hAnsi="宋体" w:eastAsia="宋体"/>
          <w:kern w:val="2"/>
          <w:sz w:val="24"/>
        </w:rPr>
      </w:pPr>
    </w:p>
    <w:p w14:paraId="1E092732">
      <w:pPr>
        <w:snapToGrid w:val="0"/>
        <w:spacing w:line="360" w:lineRule="auto"/>
        <w:ind w:right="79"/>
        <w:textAlignment w:val="baseline"/>
        <w:rPr>
          <w:rFonts w:hint="eastAsia" w:ascii="宋体" w:hAnsi="宋体" w:eastAsia="宋体" w:cs="宋体"/>
          <w:color w:val="000000"/>
          <w:sz w:val="24"/>
        </w:rPr>
      </w:pPr>
      <w:r>
        <w:rPr>
          <w:rFonts w:hint="eastAsia" w:ascii="宋体" w:hAnsi="宋体" w:eastAsia="宋体" w:cs="宋体"/>
          <w:sz w:val="24"/>
        </w:rPr>
        <w:t>供应商：（单位盖章）</w:t>
      </w:r>
    </w:p>
    <w:p w14:paraId="603167CD">
      <w:pPr>
        <w:snapToGrid w:val="0"/>
        <w:spacing w:line="360" w:lineRule="auto"/>
        <w:rPr>
          <w:rFonts w:hint="eastAsia" w:ascii="宋体" w:hAnsi="宋体" w:eastAsia="宋体" w:cs="宋体"/>
          <w:color w:val="000000"/>
          <w:sz w:val="24"/>
        </w:rPr>
      </w:pPr>
      <w:r>
        <w:rPr>
          <w:rFonts w:hint="eastAsia" w:ascii="宋体" w:hAnsi="宋体" w:eastAsia="宋体" w:cs="宋体"/>
          <w:sz w:val="24"/>
        </w:rPr>
        <w:t>法定代表人或委托代理人（签字或盖章）：</w:t>
      </w:r>
    </w:p>
    <w:p w14:paraId="62681DFB">
      <w:pPr>
        <w:adjustRightInd w:val="0"/>
        <w:snapToGrid w:val="0"/>
        <w:spacing w:line="480" w:lineRule="auto"/>
        <w:jc w:val="left"/>
      </w:pPr>
      <w:r>
        <w:rPr>
          <w:rFonts w:hint="eastAsia" w:ascii="宋体" w:hAnsi="宋体" w:eastAsia="宋体" w:cs="宋体"/>
          <w:color w:val="000000"/>
          <w:sz w:val="24"/>
        </w:rPr>
        <w:t>日期：  年  月  日</w:t>
      </w:r>
    </w:p>
    <w:p w14:paraId="4F52FF59">
      <w:pPr>
        <w:snapToGrid w:val="0"/>
        <w:spacing w:line="360" w:lineRule="auto"/>
        <w:rPr>
          <w:rFonts w:hint="eastAsia" w:ascii="宋体" w:hAnsi="宋体" w:eastAsia="宋体" w:cs="宋体"/>
          <w:sz w:val="24"/>
        </w:rPr>
      </w:pPr>
    </w:p>
    <w:p w14:paraId="3E1AD904">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注：1、最终磋商报价将在磋商现场填写，响应文件密封提交时只需填写首次磋商报价。</w:t>
      </w:r>
    </w:p>
    <w:p w14:paraId="27044692">
      <w:pPr>
        <w:snapToGrid w:val="0"/>
        <w:spacing w:line="360" w:lineRule="auto"/>
        <w:ind w:firstLine="964" w:firstLineChars="400"/>
        <w:rPr>
          <w:rFonts w:hint="eastAsia" w:ascii="宋体" w:hAnsi="宋体" w:eastAsia="宋体" w:cs="宋体"/>
          <w:b/>
          <w:sz w:val="24"/>
        </w:rPr>
      </w:pPr>
      <w:r>
        <w:rPr>
          <w:rFonts w:hint="eastAsia" w:ascii="宋体" w:hAnsi="宋体" w:eastAsia="宋体" w:cs="宋体"/>
          <w:b/>
          <w:sz w:val="24"/>
        </w:rPr>
        <w:t>2、本表式不得自行改动，必须提供，否则视为未实质性响应采购文件。</w:t>
      </w:r>
    </w:p>
    <w:p w14:paraId="6A1419E4">
      <w:pPr>
        <w:snapToGrid w:val="0"/>
        <w:spacing w:line="360" w:lineRule="auto"/>
        <w:ind w:firstLine="976" w:firstLineChars="405"/>
        <w:rPr>
          <w:rFonts w:hint="eastAsia" w:ascii="宋体" w:hAnsi="宋体" w:eastAsia="宋体" w:cs="宋体"/>
          <w:b/>
          <w:sz w:val="24"/>
        </w:rPr>
      </w:pPr>
      <w:r>
        <w:rPr>
          <w:rFonts w:hint="eastAsia" w:ascii="宋体" w:hAnsi="宋体" w:eastAsia="宋体" w:cs="宋体"/>
          <w:b/>
          <w:sz w:val="24"/>
        </w:rPr>
        <w:t>3、供应商的最终磋商报价不得高于自已首次磋商报价（单价或总价），否则视为无效响应。</w:t>
      </w:r>
    </w:p>
    <w:p w14:paraId="20322B47">
      <w:pPr>
        <w:snapToGrid w:val="0"/>
        <w:spacing w:line="360" w:lineRule="auto"/>
        <w:ind w:firstLine="496" w:firstLineChars="206"/>
        <w:rPr>
          <w:rFonts w:hint="eastAsia" w:ascii="宋体" w:hAnsi="宋体" w:eastAsia="宋体" w:cs="宋体"/>
          <w:b/>
          <w:sz w:val="24"/>
        </w:rPr>
      </w:pPr>
      <w:r>
        <w:rPr>
          <w:rFonts w:hint="eastAsia" w:ascii="宋体" w:hAnsi="宋体" w:eastAsia="宋体" w:cs="宋体"/>
          <w:b/>
          <w:sz w:val="24"/>
        </w:rPr>
        <w:br w:type="page"/>
      </w:r>
    </w:p>
    <w:p w14:paraId="3FB30867">
      <w:pPr>
        <w:adjustRightInd w:val="0"/>
        <w:snapToGrid w:val="0"/>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12、磋商响应首次报价明细表</w:t>
      </w:r>
    </w:p>
    <w:p w14:paraId="52562771">
      <w:pPr>
        <w:snapToGrid w:val="0"/>
        <w:spacing w:line="360" w:lineRule="auto"/>
        <w:jc w:val="left"/>
        <w:rPr>
          <w:rFonts w:hint="eastAsia" w:ascii="宋体" w:hAnsi="宋体" w:eastAsia="宋体" w:cs="宋体"/>
          <w:kern w:val="2"/>
          <w:sz w:val="24"/>
        </w:rPr>
      </w:pPr>
      <w:r>
        <w:rPr>
          <w:rFonts w:hint="eastAsia" w:ascii="宋体" w:hAnsi="宋体" w:eastAsia="宋体" w:cs="宋体"/>
          <w:kern w:val="2"/>
          <w:sz w:val="24"/>
        </w:rPr>
        <w:t>项目名称：南通市交通运输综合行政执法支队制服采购项目</w:t>
      </w:r>
    </w:p>
    <w:p w14:paraId="4E33F397">
      <w:pPr>
        <w:snapToGrid w:val="0"/>
        <w:spacing w:line="360" w:lineRule="auto"/>
        <w:jc w:val="left"/>
        <w:rPr>
          <w:rFonts w:hint="eastAsia" w:ascii="宋体" w:hAnsi="宋体" w:eastAsia="宋体" w:cs="宋体"/>
          <w:sz w:val="24"/>
        </w:rPr>
      </w:pPr>
      <w:r>
        <w:rPr>
          <w:rFonts w:hint="eastAsia" w:ascii="宋体" w:hAnsi="宋体" w:eastAsia="宋体" w:cs="宋体"/>
          <w:kern w:val="2"/>
          <w:sz w:val="24"/>
        </w:rPr>
        <w:t xml:space="preserve">项目编号：JSXDF2025071101        </w:t>
      </w:r>
    </w:p>
    <w:tbl>
      <w:tblPr>
        <w:tblStyle w:val="12"/>
        <w:tblW w:w="98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3218"/>
        <w:gridCol w:w="969"/>
        <w:gridCol w:w="743"/>
        <w:gridCol w:w="835"/>
        <w:gridCol w:w="1584"/>
        <w:gridCol w:w="1735"/>
      </w:tblGrid>
      <w:tr w14:paraId="7752C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3A14C405">
            <w:pPr>
              <w:spacing w:line="360" w:lineRule="exact"/>
              <w:jc w:val="center"/>
              <w:rPr>
                <w:rFonts w:hint="eastAsia" w:ascii="宋体" w:hAnsi="宋体" w:eastAsia="宋体" w:cs="宋体"/>
                <w:b/>
                <w:sz w:val="24"/>
              </w:rPr>
            </w:pPr>
            <w:r>
              <w:rPr>
                <w:rFonts w:hint="eastAsia" w:ascii="宋体" w:hAnsi="宋体" w:eastAsia="宋体" w:cs="宋体"/>
                <w:b/>
                <w:sz w:val="24"/>
              </w:rPr>
              <w:t>序号</w:t>
            </w:r>
          </w:p>
        </w:tc>
        <w:tc>
          <w:tcPr>
            <w:tcW w:w="3218" w:type="dxa"/>
            <w:tcBorders>
              <w:top w:val="single" w:color="auto" w:sz="4" w:space="0"/>
              <w:left w:val="single" w:color="auto" w:sz="4" w:space="0"/>
              <w:bottom w:val="single" w:color="auto" w:sz="4" w:space="0"/>
              <w:right w:val="single" w:color="auto" w:sz="4" w:space="0"/>
            </w:tcBorders>
            <w:vAlign w:val="center"/>
          </w:tcPr>
          <w:p w14:paraId="49B0B754">
            <w:pPr>
              <w:spacing w:line="360" w:lineRule="exact"/>
              <w:jc w:val="center"/>
              <w:rPr>
                <w:rFonts w:hint="eastAsia" w:ascii="宋体" w:hAnsi="宋体" w:eastAsia="宋体" w:cs="宋体"/>
                <w:b/>
                <w:sz w:val="24"/>
              </w:rPr>
            </w:pPr>
            <w:r>
              <w:rPr>
                <w:rFonts w:hint="eastAsia" w:ascii="宋体" w:hAnsi="宋体" w:eastAsia="宋体" w:cs="宋体"/>
                <w:b/>
                <w:sz w:val="24"/>
              </w:rPr>
              <w:t>品名</w:t>
            </w:r>
          </w:p>
        </w:tc>
        <w:tc>
          <w:tcPr>
            <w:tcW w:w="969" w:type="dxa"/>
            <w:tcBorders>
              <w:top w:val="single" w:color="auto" w:sz="4" w:space="0"/>
              <w:left w:val="single" w:color="auto" w:sz="4" w:space="0"/>
              <w:bottom w:val="single" w:color="auto" w:sz="4" w:space="0"/>
              <w:right w:val="single" w:color="auto" w:sz="4" w:space="0"/>
            </w:tcBorders>
            <w:vAlign w:val="center"/>
          </w:tcPr>
          <w:p w14:paraId="1B75DE3F">
            <w:pPr>
              <w:spacing w:line="360" w:lineRule="exact"/>
              <w:jc w:val="center"/>
              <w:rPr>
                <w:rFonts w:hint="eastAsia" w:ascii="宋体" w:hAnsi="宋体" w:eastAsia="宋体" w:cs="宋体"/>
                <w:b/>
                <w:kern w:val="2"/>
                <w:sz w:val="24"/>
              </w:rPr>
            </w:pPr>
            <w:r>
              <w:rPr>
                <w:rFonts w:hint="eastAsia" w:ascii="宋体" w:hAnsi="宋体" w:eastAsia="宋体" w:cs="宋体"/>
                <w:b/>
                <w:kern w:val="2"/>
                <w:sz w:val="24"/>
              </w:rPr>
              <w:t>品牌</w:t>
            </w:r>
          </w:p>
        </w:tc>
        <w:tc>
          <w:tcPr>
            <w:tcW w:w="743" w:type="dxa"/>
            <w:tcBorders>
              <w:top w:val="single" w:color="auto" w:sz="4" w:space="0"/>
              <w:left w:val="single" w:color="auto" w:sz="4" w:space="0"/>
              <w:bottom w:val="single" w:color="auto" w:sz="4" w:space="0"/>
              <w:right w:val="single" w:color="auto" w:sz="4" w:space="0"/>
            </w:tcBorders>
            <w:vAlign w:val="center"/>
          </w:tcPr>
          <w:p w14:paraId="13DBCA5E">
            <w:pPr>
              <w:spacing w:line="360" w:lineRule="exact"/>
              <w:jc w:val="center"/>
              <w:rPr>
                <w:rFonts w:hint="eastAsia" w:ascii="宋体" w:hAnsi="宋体" w:eastAsia="宋体" w:cs="宋体"/>
                <w:b/>
                <w:kern w:val="2"/>
                <w:sz w:val="24"/>
              </w:rPr>
            </w:pPr>
            <w:r>
              <w:rPr>
                <w:rFonts w:hint="eastAsia" w:ascii="宋体" w:hAnsi="宋体" w:eastAsia="宋体" w:cs="宋体"/>
                <w:b/>
                <w:kern w:val="2"/>
                <w:sz w:val="24"/>
              </w:rPr>
              <w:t>数量</w:t>
            </w:r>
          </w:p>
        </w:tc>
        <w:tc>
          <w:tcPr>
            <w:tcW w:w="835" w:type="dxa"/>
            <w:tcBorders>
              <w:top w:val="single" w:color="auto" w:sz="4" w:space="0"/>
              <w:left w:val="single" w:color="auto" w:sz="4" w:space="0"/>
              <w:bottom w:val="single" w:color="auto" w:sz="4" w:space="0"/>
              <w:right w:val="single" w:color="auto" w:sz="4" w:space="0"/>
            </w:tcBorders>
            <w:vAlign w:val="center"/>
          </w:tcPr>
          <w:p w14:paraId="71EF2374">
            <w:pPr>
              <w:spacing w:line="360" w:lineRule="exact"/>
              <w:jc w:val="center"/>
              <w:rPr>
                <w:rFonts w:hint="eastAsia" w:ascii="宋体" w:hAnsi="宋体" w:eastAsia="宋体" w:cs="宋体"/>
                <w:b/>
                <w:sz w:val="24"/>
              </w:rPr>
            </w:pPr>
            <w:r>
              <w:rPr>
                <w:rFonts w:hint="eastAsia" w:ascii="宋体" w:hAnsi="宋体" w:eastAsia="宋体" w:cs="宋体"/>
                <w:b/>
                <w:sz w:val="24"/>
              </w:rPr>
              <w:t>单位</w:t>
            </w:r>
          </w:p>
        </w:tc>
        <w:tc>
          <w:tcPr>
            <w:tcW w:w="1584" w:type="dxa"/>
            <w:tcBorders>
              <w:top w:val="single" w:color="auto" w:sz="4" w:space="0"/>
              <w:left w:val="single" w:color="auto" w:sz="4" w:space="0"/>
              <w:bottom w:val="single" w:color="auto" w:sz="4" w:space="0"/>
              <w:right w:val="single" w:color="auto" w:sz="4" w:space="0"/>
            </w:tcBorders>
            <w:vAlign w:val="center"/>
          </w:tcPr>
          <w:p w14:paraId="7E3018E4">
            <w:pPr>
              <w:spacing w:line="360" w:lineRule="exact"/>
              <w:jc w:val="center"/>
              <w:rPr>
                <w:rFonts w:hint="eastAsia" w:ascii="宋体" w:hAnsi="宋体" w:eastAsia="宋体" w:cs="宋体"/>
                <w:b/>
                <w:sz w:val="24"/>
              </w:rPr>
            </w:pPr>
            <w:r>
              <w:rPr>
                <w:rFonts w:hint="eastAsia" w:ascii="宋体" w:hAnsi="宋体" w:eastAsia="宋体" w:cs="宋体"/>
                <w:b/>
                <w:sz w:val="24"/>
              </w:rPr>
              <w:t>首次单价（元）</w:t>
            </w:r>
          </w:p>
        </w:tc>
        <w:tc>
          <w:tcPr>
            <w:tcW w:w="1735" w:type="dxa"/>
            <w:tcBorders>
              <w:top w:val="single" w:color="auto" w:sz="4" w:space="0"/>
              <w:left w:val="single" w:color="auto" w:sz="4" w:space="0"/>
              <w:bottom w:val="single" w:color="auto" w:sz="4" w:space="0"/>
              <w:right w:val="single" w:color="auto" w:sz="4" w:space="0"/>
            </w:tcBorders>
            <w:vAlign w:val="center"/>
          </w:tcPr>
          <w:p w14:paraId="1637D77F">
            <w:pPr>
              <w:spacing w:line="360" w:lineRule="exact"/>
              <w:jc w:val="center"/>
              <w:rPr>
                <w:rFonts w:hint="eastAsia" w:ascii="宋体" w:hAnsi="宋体" w:eastAsia="宋体" w:cs="宋体"/>
                <w:b/>
                <w:sz w:val="24"/>
              </w:rPr>
            </w:pPr>
            <w:r>
              <w:rPr>
                <w:rFonts w:hint="eastAsia" w:ascii="宋体" w:hAnsi="宋体" w:eastAsia="宋体" w:cs="宋体"/>
                <w:b/>
                <w:sz w:val="24"/>
              </w:rPr>
              <w:t>首次总价（元）</w:t>
            </w:r>
          </w:p>
        </w:tc>
      </w:tr>
      <w:tr w14:paraId="0EFD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3EF1E2DD">
            <w:pPr>
              <w:widowControl/>
              <w:jc w:val="center"/>
              <w:rPr>
                <w:rFonts w:hint="eastAsia" w:ascii="宋体" w:hAnsi="宋体" w:eastAsia="宋体" w:cs="宋体"/>
                <w:sz w:val="24"/>
              </w:rPr>
            </w:pPr>
            <w:r>
              <w:rPr>
                <w:rFonts w:hint="eastAsia" w:ascii="宋体" w:hAnsi="宋体" w:eastAsia="宋体" w:cs="宋体"/>
                <w:sz w:val="24"/>
              </w:rPr>
              <w:t>1</w:t>
            </w:r>
          </w:p>
        </w:tc>
        <w:tc>
          <w:tcPr>
            <w:tcW w:w="3218" w:type="dxa"/>
            <w:tcBorders>
              <w:top w:val="single" w:color="auto" w:sz="4" w:space="0"/>
              <w:left w:val="single" w:color="auto" w:sz="4" w:space="0"/>
              <w:bottom w:val="single" w:color="auto" w:sz="4" w:space="0"/>
              <w:right w:val="single" w:color="auto" w:sz="4" w:space="0"/>
            </w:tcBorders>
            <w:vAlign w:val="center"/>
          </w:tcPr>
          <w:p w14:paraId="6099156B">
            <w:pPr>
              <w:widowControl/>
              <w:spacing w:line="360" w:lineRule="auto"/>
              <w:jc w:val="left"/>
              <w:rPr>
                <w:rFonts w:hint="eastAsia" w:ascii="宋体" w:hAnsi="宋体" w:eastAsia="宋体" w:cs="宋体"/>
                <w:kern w:val="2"/>
                <w:sz w:val="24"/>
              </w:rPr>
            </w:pPr>
          </w:p>
        </w:tc>
        <w:tc>
          <w:tcPr>
            <w:tcW w:w="969" w:type="dxa"/>
            <w:tcBorders>
              <w:top w:val="single" w:color="auto" w:sz="4" w:space="0"/>
              <w:left w:val="single" w:color="auto" w:sz="4" w:space="0"/>
              <w:bottom w:val="single" w:color="auto" w:sz="4" w:space="0"/>
              <w:right w:val="single" w:color="auto" w:sz="4" w:space="0"/>
            </w:tcBorders>
            <w:vAlign w:val="center"/>
          </w:tcPr>
          <w:p w14:paraId="6BD7A19B">
            <w:pPr>
              <w:jc w:val="center"/>
              <w:rPr>
                <w:rFonts w:hint="eastAsia" w:ascii="宋体" w:hAnsi="宋体" w:eastAsia="宋体" w:cs="宋体"/>
                <w:sz w:val="24"/>
              </w:rPr>
            </w:pPr>
          </w:p>
        </w:tc>
        <w:tc>
          <w:tcPr>
            <w:tcW w:w="743" w:type="dxa"/>
            <w:tcBorders>
              <w:top w:val="single" w:color="auto" w:sz="4" w:space="0"/>
              <w:left w:val="single" w:color="auto" w:sz="4" w:space="0"/>
              <w:bottom w:val="single" w:color="auto" w:sz="4" w:space="0"/>
              <w:right w:val="single" w:color="auto" w:sz="4" w:space="0"/>
            </w:tcBorders>
            <w:vAlign w:val="center"/>
          </w:tcPr>
          <w:p w14:paraId="4A5F9B30">
            <w:pPr>
              <w:widowControl/>
              <w:spacing w:line="360" w:lineRule="auto"/>
              <w:jc w:val="center"/>
              <w:rPr>
                <w:rFonts w:hint="eastAsia" w:ascii="宋体" w:hAnsi="宋体" w:eastAsia="宋体" w:cs="宋体"/>
                <w:sz w:val="24"/>
              </w:rPr>
            </w:pPr>
          </w:p>
        </w:tc>
        <w:tc>
          <w:tcPr>
            <w:tcW w:w="835" w:type="dxa"/>
            <w:tcBorders>
              <w:top w:val="single" w:color="auto" w:sz="4" w:space="0"/>
              <w:left w:val="single" w:color="auto" w:sz="4" w:space="0"/>
              <w:bottom w:val="single" w:color="auto" w:sz="4" w:space="0"/>
              <w:right w:val="single" w:color="auto" w:sz="4" w:space="0"/>
            </w:tcBorders>
            <w:vAlign w:val="center"/>
          </w:tcPr>
          <w:p w14:paraId="50D15F39">
            <w:pPr>
              <w:widowControl/>
              <w:spacing w:line="360" w:lineRule="auto"/>
              <w:jc w:val="center"/>
              <w:rPr>
                <w:rFonts w:hint="eastAsia" w:ascii="宋体" w:hAnsi="宋体" w:eastAsia="宋体" w:cs="宋体"/>
                <w:sz w:val="24"/>
              </w:rPr>
            </w:pPr>
          </w:p>
        </w:tc>
        <w:tc>
          <w:tcPr>
            <w:tcW w:w="1584" w:type="dxa"/>
            <w:tcBorders>
              <w:top w:val="single" w:color="auto" w:sz="4" w:space="0"/>
              <w:left w:val="single" w:color="auto" w:sz="4" w:space="0"/>
              <w:bottom w:val="single" w:color="auto" w:sz="4" w:space="0"/>
              <w:right w:val="single" w:color="auto" w:sz="4" w:space="0"/>
            </w:tcBorders>
            <w:vAlign w:val="center"/>
          </w:tcPr>
          <w:p w14:paraId="0B3EDEEF">
            <w:pPr>
              <w:widowControl/>
              <w:jc w:val="center"/>
              <w:rPr>
                <w:rFonts w:hint="eastAsia" w:ascii="宋体" w:hAnsi="宋体" w:eastAsia="宋体" w:cs="宋体"/>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05FB2668">
            <w:pPr>
              <w:jc w:val="center"/>
              <w:rPr>
                <w:rFonts w:hint="eastAsia" w:ascii="宋体" w:hAnsi="宋体" w:eastAsia="宋体" w:cs="宋体"/>
                <w:sz w:val="24"/>
              </w:rPr>
            </w:pPr>
          </w:p>
        </w:tc>
      </w:tr>
      <w:tr w14:paraId="0576D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20691A05">
            <w:pPr>
              <w:widowControl/>
              <w:jc w:val="center"/>
              <w:rPr>
                <w:rFonts w:hint="eastAsia" w:ascii="宋体" w:hAnsi="宋体" w:eastAsia="宋体" w:cs="宋体"/>
                <w:sz w:val="24"/>
              </w:rPr>
            </w:pPr>
            <w:r>
              <w:rPr>
                <w:rFonts w:hint="eastAsia" w:ascii="宋体" w:hAnsi="宋体" w:eastAsia="宋体" w:cs="宋体"/>
                <w:sz w:val="24"/>
              </w:rPr>
              <w:t>2</w:t>
            </w:r>
          </w:p>
        </w:tc>
        <w:tc>
          <w:tcPr>
            <w:tcW w:w="3218" w:type="dxa"/>
            <w:tcBorders>
              <w:top w:val="single" w:color="auto" w:sz="4" w:space="0"/>
              <w:left w:val="single" w:color="auto" w:sz="4" w:space="0"/>
              <w:bottom w:val="single" w:color="auto" w:sz="4" w:space="0"/>
              <w:right w:val="single" w:color="auto" w:sz="4" w:space="0"/>
            </w:tcBorders>
            <w:vAlign w:val="center"/>
          </w:tcPr>
          <w:p w14:paraId="7B17EC8F">
            <w:pPr>
              <w:widowControl/>
              <w:spacing w:line="360" w:lineRule="auto"/>
              <w:jc w:val="left"/>
              <w:rPr>
                <w:rFonts w:hint="eastAsia" w:ascii="宋体" w:hAnsi="宋体" w:eastAsia="宋体" w:cs="宋体"/>
                <w:kern w:val="2"/>
                <w:sz w:val="24"/>
              </w:rPr>
            </w:pPr>
          </w:p>
        </w:tc>
        <w:tc>
          <w:tcPr>
            <w:tcW w:w="969" w:type="dxa"/>
            <w:tcBorders>
              <w:top w:val="single" w:color="auto" w:sz="4" w:space="0"/>
              <w:left w:val="single" w:color="auto" w:sz="4" w:space="0"/>
              <w:bottom w:val="single" w:color="auto" w:sz="4" w:space="0"/>
              <w:right w:val="single" w:color="auto" w:sz="4" w:space="0"/>
            </w:tcBorders>
            <w:vAlign w:val="center"/>
          </w:tcPr>
          <w:p w14:paraId="5FDB135F">
            <w:pPr>
              <w:jc w:val="center"/>
              <w:rPr>
                <w:rFonts w:hint="eastAsia" w:ascii="宋体" w:hAnsi="宋体" w:eastAsia="宋体" w:cs="宋体"/>
                <w:sz w:val="24"/>
              </w:rPr>
            </w:pPr>
          </w:p>
        </w:tc>
        <w:tc>
          <w:tcPr>
            <w:tcW w:w="743" w:type="dxa"/>
            <w:tcBorders>
              <w:top w:val="single" w:color="auto" w:sz="4" w:space="0"/>
              <w:left w:val="single" w:color="auto" w:sz="4" w:space="0"/>
              <w:bottom w:val="single" w:color="auto" w:sz="4" w:space="0"/>
              <w:right w:val="single" w:color="auto" w:sz="4" w:space="0"/>
            </w:tcBorders>
            <w:vAlign w:val="center"/>
          </w:tcPr>
          <w:p w14:paraId="7283133A">
            <w:pPr>
              <w:widowControl/>
              <w:spacing w:line="360" w:lineRule="auto"/>
              <w:jc w:val="center"/>
              <w:rPr>
                <w:rFonts w:hint="eastAsia" w:ascii="宋体" w:hAnsi="宋体" w:eastAsia="宋体" w:cs="宋体"/>
                <w:sz w:val="24"/>
              </w:rPr>
            </w:pPr>
          </w:p>
        </w:tc>
        <w:tc>
          <w:tcPr>
            <w:tcW w:w="835" w:type="dxa"/>
            <w:tcBorders>
              <w:top w:val="single" w:color="auto" w:sz="4" w:space="0"/>
              <w:left w:val="single" w:color="auto" w:sz="4" w:space="0"/>
              <w:bottom w:val="single" w:color="auto" w:sz="4" w:space="0"/>
              <w:right w:val="single" w:color="auto" w:sz="4" w:space="0"/>
            </w:tcBorders>
            <w:vAlign w:val="center"/>
          </w:tcPr>
          <w:p w14:paraId="2985919B">
            <w:pPr>
              <w:widowControl/>
              <w:spacing w:line="360" w:lineRule="auto"/>
              <w:jc w:val="center"/>
              <w:rPr>
                <w:rFonts w:hint="eastAsia" w:ascii="宋体" w:hAnsi="宋体" w:eastAsia="宋体" w:cs="宋体"/>
                <w:sz w:val="24"/>
              </w:rPr>
            </w:pPr>
          </w:p>
        </w:tc>
        <w:tc>
          <w:tcPr>
            <w:tcW w:w="1584" w:type="dxa"/>
            <w:tcBorders>
              <w:top w:val="single" w:color="auto" w:sz="4" w:space="0"/>
              <w:left w:val="single" w:color="auto" w:sz="4" w:space="0"/>
              <w:bottom w:val="single" w:color="auto" w:sz="4" w:space="0"/>
              <w:right w:val="single" w:color="auto" w:sz="4" w:space="0"/>
            </w:tcBorders>
            <w:vAlign w:val="center"/>
          </w:tcPr>
          <w:p w14:paraId="042FB2C4">
            <w:pPr>
              <w:widowControl/>
              <w:jc w:val="center"/>
              <w:rPr>
                <w:rFonts w:hint="eastAsia" w:ascii="宋体" w:hAnsi="宋体" w:eastAsia="宋体" w:cs="宋体"/>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34E9B94F">
            <w:pPr>
              <w:jc w:val="center"/>
              <w:rPr>
                <w:rFonts w:hint="eastAsia" w:ascii="宋体" w:hAnsi="宋体" w:eastAsia="宋体" w:cs="宋体"/>
                <w:sz w:val="24"/>
              </w:rPr>
            </w:pPr>
          </w:p>
        </w:tc>
      </w:tr>
      <w:tr w14:paraId="5DEA2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3B178A69">
            <w:pPr>
              <w:widowControl/>
              <w:jc w:val="center"/>
              <w:rPr>
                <w:rFonts w:hint="eastAsia" w:ascii="宋体" w:hAnsi="宋体" w:eastAsia="宋体" w:cs="宋体"/>
                <w:sz w:val="24"/>
              </w:rPr>
            </w:pPr>
            <w:r>
              <w:rPr>
                <w:rFonts w:hint="eastAsia" w:ascii="宋体" w:hAnsi="宋体" w:eastAsia="宋体" w:cs="宋体"/>
                <w:sz w:val="24"/>
              </w:rPr>
              <w:t>3</w:t>
            </w:r>
          </w:p>
        </w:tc>
        <w:tc>
          <w:tcPr>
            <w:tcW w:w="3218" w:type="dxa"/>
            <w:tcBorders>
              <w:top w:val="single" w:color="auto" w:sz="4" w:space="0"/>
              <w:left w:val="single" w:color="auto" w:sz="4" w:space="0"/>
              <w:bottom w:val="single" w:color="auto" w:sz="4" w:space="0"/>
              <w:right w:val="single" w:color="auto" w:sz="4" w:space="0"/>
            </w:tcBorders>
            <w:vAlign w:val="center"/>
          </w:tcPr>
          <w:p w14:paraId="1125C1E1">
            <w:pPr>
              <w:widowControl/>
              <w:spacing w:line="360" w:lineRule="auto"/>
              <w:jc w:val="left"/>
              <w:rPr>
                <w:rFonts w:hint="eastAsia" w:ascii="宋体" w:hAnsi="宋体" w:eastAsia="宋体" w:cs="宋体"/>
                <w:kern w:val="2"/>
                <w:sz w:val="24"/>
              </w:rPr>
            </w:pPr>
          </w:p>
        </w:tc>
        <w:tc>
          <w:tcPr>
            <w:tcW w:w="969" w:type="dxa"/>
            <w:tcBorders>
              <w:top w:val="single" w:color="auto" w:sz="4" w:space="0"/>
              <w:left w:val="single" w:color="auto" w:sz="4" w:space="0"/>
              <w:bottom w:val="single" w:color="auto" w:sz="4" w:space="0"/>
              <w:right w:val="single" w:color="auto" w:sz="4" w:space="0"/>
            </w:tcBorders>
            <w:vAlign w:val="center"/>
          </w:tcPr>
          <w:p w14:paraId="708B7F25">
            <w:pPr>
              <w:jc w:val="center"/>
              <w:rPr>
                <w:rFonts w:hint="eastAsia" w:ascii="宋体" w:hAnsi="宋体" w:eastAsia="宋体" w:cs="宋体"/>
                <w:sz w:val="24"/>
              </w:rPr>
            </w:pPr>
          </w:p>
        </w:tc>
        <w:tc>
          <w:tcPr>
            <w:tcW w:w="743" w:type="dxa"/>
            <w:tcBorders>
              <w:top w:val="single" w:color="auto" w:sz="4" w:space="0"/>
              <w:left w:val="single" w:color="auto" w:sz="4" w:space="0"/>
              <w:bottom w:val="single" w:color="auto" w:sz="4" w:space="0"/>
              <w:right w:val="single" w:color="auto" w:sz="4" w:space="0"/>
            </w:tcBorders>
            <w:vAlign w:val="center"/>
          </w:tcPr>
          <w:p w14:paraId="3299A74D">
            <w:pPr>
              <w:widowControl/>
              <w:spacing w:line="360" w:lineRule="auto"/>
              <w:jc w:val="center"/>
              <w:rPr>
                <w:rFonts w:hint="eastAsia" w:ascii="宋体" w:hAnsi="宋体" w:eastAsia="宋体" w:cs="宋体"/>
                <w:sz w:val="24"/>
              </w:rPr>
            </w:pPr>
          </w:p>
        </w:tc>
        <w:tc>
          <w:tcPr>
            <w:tcW w:w="835" w:type="dxa"/>
            <w:tcBorders>
              <w:top w:val="single" w:color="auto" w:sz="4" w:space="0"/>
              <w:left w:val="single" w:color="auto" w:sz="4" w:space="0"/>
              <w:bottom w:val="single" w:color="auto" w:sz="4" w:space="0"/>
              <w:right w:val="single" w:color="auto" w:sz="4" w:space="0"/>
            </w:tcBorders>
            <w:vAlign w:val="center"/>
          </w:tcPr>
          <w:p w14:paraId="4BB40E5D">
            <w:pPr>
              <w:widowControl/>
              <w:spacing w:line="360" w:lineRule="auto"/>
              <w:jc w:val="center"/>
              <w:rPr>
                <w:rFonts w:hint="eastAsia" w:ascii="宋体" w:hAnsi="宋体" w:eastAsia="宋体" w:cs="宋体"/>
                <w:sz w:val="24"/>
              </w:rPr>
            </w:pPr>
          </w:p>
        </w:tc>
        <w:tc>
          <w:tcPr>
            <w:tcW w:w="1584" w:type="dxa"/>
            <w:tcBorders>
              <w:top w:val="single" w:color="auto" w:sz="4" w:space="0"/>
              <w:left w:val="single" w:color="auto" w:sz="4" w:space="0"/>
              <w:bottom w:val="single" w:color="auto" w:sz="4" w:space="0"/>
              <w:right w:val="single" w:color="auto" w:sz="4" w:space="0"/>
            </w:tcBorders>
            <w:vAlign w:val="center"/>
          </w:tcPr>
          <w:p w14:paraId="5597D402">
            <w:pPr>
              <w:widowControl/>
              <w:jc w:val="center"/>
              <w:rPr>
                <w:rFonts w:hint="eastAsia" w:ascii="宋体" w:hAnsi="宋体" w:eastAsia="宋体" w:cs="宋体"/>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3CAD42D8">
            <w:pPr>
              <w:jc w:val="center"/>
              <w:rPr>
                <w:rFonts w:hint="eastAsia" w:ascii="宋体" w:hAnsi="宋体" w:eastAsia="宋体" w:cs="宋体"/>
                <w:sz w:val="24"/>
              </w:rPr>
            </w:pPr>
          </w:p>
        </w:tc>
      </w:tr>
      <w:tr w14:paraId="12B49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7A850A4B">
            <w:pPr>
              <w:widowControl/>
              <w:jc w:val="center"/>
              <w:rPr>
                <w:rFonts w:hint="eastAsia" w:ascii="宋体" w:hAnsi="宋体" w:eastAsia="宋体" w:cs="宋体"/>
                <w:sz w:val="24"/>
              </w:rPr>
            </w:pPr>
            <w:r>
              <w:rPr>
                <w:rFonts w:hint="eastAsia" w:ascii="宋体" w:hAnsi="宋体" w:eastAsia="宋体" w:cs="宋体"/>
                <w:sz w:val="24"/>
              </w:rPr>
              <w:t>...</w:t>
            </w:r>
          </w:p>
        </w:tc>
        <w:tc>
          <w:tcPr>
            <w:tcW w:w="3218" w:type="dxa"/>
            <w:tcBorders>
              <w:top w:val="single" w:color="auto" w:sz="4" w:space="0"/>
              <w:left w:val="single" w:color="auto" w:sz="4" w:space="0"/>
              <w:bottom w:val="single" w:color="auto" w:sz="4" w:space="0"/>
              <w:right w:val="single" w:color="auto" w:sz="4" w:space="0"/>
            </w:tcBorders>
            <w:vAlign w:val="center"/>
          </w:tcPr>
          <w:p w14:paraId="5CE8DA21">
            <w:pPr>
              <w:widowControl/>
              <w:spacing w:line="360" w:lineRule="auto"/>
              <w:jc w:val="left"/>
              <w:rPr>
                <w:rFonts w:hint="eastAsia" w:ascii="宋体" w:hAnsi="宋体" w:eastAsia="宋体" w:cs="宋体"/>
                <w:kern w:val="2"/>
                <w:sz w:val="24"/>
              </w:rPr>
            </w:pPr>
          </w:p>
        </w:tc>
        <w:tc>
          <w:tcPr>
            <w:tcW w:w="969" w:type="dxa"/>
            <w:tcBorders>
              <w:top w:val="single" w:color="auto" w:sz="4" w:space="0"/>
              <w:left w:val="single" w:color="auto" w:sz="4" w:space="0"/>
              <w:bottom w:val="single" w:color="auto" w:sz="4" w:space="0"/>
              <w:right w:val="single" w:color="auto" w:sz="4" w:space="0"/>
            </w:tcBorders>
            <w:vAlign w:val="center"/>
          </w:tcPr>
          <w:p w14:paraId="6C04F9A1">
            <w:pPr>
              <w:jc w:val="center"/>
              <w:rPr>
                <w:rFonts w:hint="eastAsia" w:ascii="宋体" w:hAnsi="宋体" w:eastAsia="宋体" w:cs="宋体"/>
                <w:sz w:val="24"/>
              </w:rPr>
            </w:pPr>
          </w:p>
        </w:tc>
        <w:tc>
          <w:tcPr>
            <w:tcW w:w="743" w:type="dxa"/>
            <w:tcBorders>
              <w:top w:val="single" w:color="auto" w:sz="4" w:space="0"/>
              <w:left w:val="single" w:color="auto" w:sz="4" w:space="0"/>
              <w:bottom w:val="single" w:color="auto" w:sz="4" w:space="0"/>
              <w:right w:val="single" w:color="auto" w:sz="4" w:space="0"/>
            </w:tcBorders>
            <w:vAlign w:val="center"/>
          </w:tcPr>
          <w:p w14:paraId="15E986EF">
            <w:pPr>
              <w:widowControl/>
              <w:spacing w:line="360" w:lineRule="auto"/>
              <w:jc w:val="center"/>
              <w:rPr>
                <w:rFonts w:hint="eastAsia" w:ascii="宋体" w:hAnsi="宋体" w:eastAsia="宋体" w:cs="宋体"/>
                <w:sz w:val="24"/>
              </w:rPr>
            </w:pPr>
          </w:p>
        </w:tc>
        <w:tc>
          <w:tcPr>
            <w:tcW w:w="835" w:type="dxa"/>
            <w:tcBorders>
              <w:top w:val="single" w:color="auto" w:sz="4" w:space="0"/>
              <w:left w:val="single" w:color="auto" w:sz="4" w:space="0"/>
              <w:bottom w:val="single" w:color="auto" w:sz="4" w:space="0"/>
              <w:right w:val="single" w:color="auto" w:sz="4" w:space="0"/>
            </w:tcBorders>
            <w:vAlign w:val="center"/>
          </w:tcPr>
          <w:p w14:paraId="3AEA329A">
            <w:pPr>
              <w:widowControl/>
              <w:spacing w:line="360" w:lineRule="auto"/>
              <w:jc w:val="center"/>
              <w:rPr>
                <w:rFonts w:hint="eastAsia" w:ascii="宋体" w:hAnsi="宋体" w:eastAsia="宋体" w:cs="宋体"/>
                <w:sz w:val="24"/>
              </w:rPr>
            </w:pPr>
          </w:p>
        </w:tc>
        <w:tc>
          <w:tcPr>
            <w:tcW w:w="1584" w:type="dxa"/>
            <w:tcBorders>
              <w:top w:val="single" w:color="auto" w:sz="4" w:space="0"/>
              <w:left w:val="single" w:color="auto" w:sz="4" w:space="0"/>
              <w:bottom w:val="single" w:color="auto" w:sz="4" w:space="0"/>
              <w:right w:val="single" w:color="auto" w:sz="4" w:space="0"/>
            </w:tcBorders>
            <w:vAlign w:val="center"/>
          </w:tcPr>
          <w:p w14:paraId="45A40521">
            <w:pPr>
              <w:widowControl/>
              <w:jc w:val="center"/>
              <w:rPr>
                <w:rFonts w:hint="eastAsia" w:ascii="宋体" w:hAnsi="宋体" w:eastAsia="宋体" w:cs="宋体"/>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40658BE5">
            <w:pPr>
              <w:jc w:val="center"/>
              <w:rPr>
                <w:rFonts w:hint="eastAsia" w:ascii="宋体" w:hAnsi="宋体" w:eastAsia="宋体" w:cs="宋体"/>
                <w:sz w:val="24"/>
              </w:rPr>
            </w:pPr>
          </w:p>
        </w:tc>
      </w:tr>
      <w:tr w14:paraId="5CEB4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3667B80A">
            <w:pPr>
              <w:widowControl/>
              <w:jc w:val="center"/>
              <w:rPr>
                <w:rFonts w:hint="eastAsia" w:ascii="宋体" w:hAnsi="宋体" w:eastAsia="宋体" w:cs="宋体"/>
                <w:sz w:val="24"/>
              </w:rPr>
            </w:pPr>
            <w:r>
              <w:rPr>
                <w:rFonts w:hint="eastAsia" w:ascii="宋体" w:hAnsi="宋体" w:eastAsia="宋体" w:cs="宋体"/>
                <w:sz w:val="24"/>
              </w:rPr>
              <w:t>17</w:t>
            </w:r>
          </w:p>
        </w:tc>
        <w:tc>
          <w:tcPr>
            <w:tcW w:w="3218" w:type="dxa"/>
            <w:tcBorders>
              <w:top w:val="single" w:color="auto" w:sz="4" w:space="0"/>
              <w:left w:val="single" w:color="auto" w:sz="4" w:space="0"/>
              <w:bottom w:val="single" w:color="auto" w:sz="4" w:space="0"/>
              <w:right w:val="single" w:color="auto" w:sz="4" w:space="0"/>
            </w:tcBorders>
            <w:vAlign w:val="center"/>
          </w:tcPr>
          <w:p w14:paraId="440C1DEA">
            <w:pPr>
              <w:widowControl/>
              <w:spacing w:line="360" w:lineRule="auto"/>
              <w:jc w:val="left"/>
              <w:rPr>
                <w:rFonts w:hint="eastAsia" w:ascii="宋体" w:hAnsi="宋体" w:eastAsia="宋体" w:cs="宋体"/>
                <w:kern w:val="2"/>
                <w:sz w:val="24"/>
              </w:rPr>
            </w:pPr>
          </w:p>
        </w:tc>
        <w:tc>
          <w:tcPr>
            <w:tcW w:w="969" w:type="dxa"/>
            <w:tcBorders>
              <w:top w:val="single" w:color="auto" w:sz="4" w:space="0"/>
              <w:left w:val="single" w:color="auto" w:sz="4" w:space="0"/>
              <w:bottom w:val="single" w:color="auto" w:sz="4" w:space="0"/>
              <w:right w:val="single" w:color="auto" w:sz="4" w:space="0"/>
            </w:tcBorders>
            <w:vAlign w:val="center"/>
          </w:tcPr>
          <w:p w14:paraId="1FE48263">
            <w:pPr>
              <w:jc w:val="center"/>
              <w:rPr>
                <w:rFonts w:hint="eastAsia" w:ascii="宋体" w:hAnsi="宋体" w:eastAsia="宋体" w:cs="宋体"/>
                <w:sz w:val="24"/>
              </w:rPr>
            </w:pPr>
          </w:p>
        </w:tc>
        <w:tc>
          <w:tcPr>
            <w:tcW w:w="743" w:type="dxa"/>
            <w:tcBorders>
              <w:top w:val="single" w:color="auto" w:sz="4" w:space="0"/>
              <w:left w:val="single" w:color="auto" w:sz="4" w:space="0"/>
              <w:bottom w:val="single" w:color="auto" w:sz="4" w:space="0"/>
              <w:right w:val="single" w:color="auto" w:sz="4" w:space="0"/>
            </w:tcBorders>
            <w:vAlign w:val="center"/>
          </w:tcPr>
          <w:p w14:paraId="1C6AC46B">
            <w:pPr>
              <w:widowControl/>
              <w:spacing w:line="360" w:lineRule="auto"/>
              <w:jc w:val="center"/>
              <w:rPr>
                <w:rFonts w:hint="eastAsia" w:ascii="宋体" w:hAnsi="宋体" w:eastAsia="宋体" w:cs="宋体"/>
                <w:sz w:val="24"/>
              </w:rPr>
            </w:pPr>
          </w:p>
        </w:tc>
        <w:tc>
          <w:tcPr>
            <w:tcW w:w="835" w:type="dxa"/>
            <w:tcBorders>
              <w:top w:val="single" w:color="auto" w:sz="4" w:space="0"/>
              <w:left w:val="single" w:color="auto" w:sz="4" w:space="0"/>
              <w:bottom w:val="single" w:color="auto" w:sz="4" w:space="0"/>
              <w:right w:val="single" w:color="auto" w:sz="4" w:space="0"/>
            </w:tcBorders>
            <w:vAlign w:val="center"/>
          </w:tcPr>
          <w:p w14:paraId="46FDF60B">
            <w:pPr>
              <w:widowControl/>
              <w:spacing w:line="360" w:lineRule="auto"/>
              <w:jc w:val="center"/>
              <w:rPr>
                <w:rFonts w:hint="eastAsia" w:ascii="宋体" w:hAnsi="宋体" w:eastAsia="宋体" w:cs="宋体"/>
                <w:sz w:val="24"/>
              </w:rPr>
            </w:pPr>
          </w:p>
        </w:tc>
        <w:tc>
          <w:tcPr>
            <w:tcW w:w="1584" w:type="dxa"/>
            <w:tcBorders>
              <w:top w:val="single" w:color="auto" w:sz="4" w:space="0"/>
              <w:left w:val="single" w:color="auto" w:sz="4" w:space="0"/>
              <w:bottom w:val="single" w:color="auto" w:sz="4" w:space="0"/>
              <w:right w:val="single" w:color="auto" w:sz="4" w:space="0"/>
            </w:tcBorders>
            <w:vAlign w:val="center"/>
          </w:tcPr>
          <w:p w14:paraId="17D4CE2E">
            <w:pPr>
              <w:widowControl/>
              <w:jc w:val="center"/>
              <w:rPr>
                <w:rFonts w:hint="eastAsia" w:ascii="宋体" w:hAnsi="宋体" w:eastAsia="宋体" w:cs="宋体"/>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59F66771">
            <w:pPr>
              <w:jc w:val="center"/>
              <w:rPr>
                <w:rFonts w:hint="eastAsia" w:ascii="宋体" w:hAnsi="宋体" w:eastAsia="宋体" w:cs="宋体"/>
                <w:sz w:val="24"/>
              </w:rPr>
            </w:pPr>
          </w:p>
        </w:tc>
      </w:tr>
      <w:tr w14:paraId="424DD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48B94667">
            <w:pPr>
              <w:jc w:val="center"/>
              <w:rPr>
                <w:rFonts w:hint="eastAsia" w:ascii="宋体" w:hAnsi="宋体" w:eastAsia="宋体" w:cs="宋体"/>
                <w:kern w:val="2"/>
                <w:sz w:val="24"/>
              </w:rPr>
            </w:pPr>
            <w:r>
              <w:rPr>
                <w:rFonts w:hint="eastAsia" w:ascii="宋体" w:hAnsi="宋体" w:eastAsia="宋体" w:cs="宋体"/>
                <w:sz w:val="24"/>
              </w:rPr>
              <w:t>合计</w:t>
            </w:r>
          </w:p>
        </w:tc>
        <w:tc>
          <w:tcPr>
            <w:tcW w:w="9084" w:type="dxa"/>
            <w:gridSpan w:val="6"/>
            <w:tcBorders>
              <w:top w:val="single" w:color="auto" w:sz="4" w:space="0"/>
              <w:left w:val="single" w:color="auto" w:sz="4" w:space="0"/>
              <w:bottom w:val="single" w:color="auto" w:sz="4" w:space="0"/>
              <w:right w:val="single" w:color="auto" w:sz="4" w:space="0"/>
            </w:tcBorders>
            <w:vAlign w:val="center"/>
          </w:tcPr>
          <w:p w14:paraId="06CEB04B">
            <w:pPr>
              <w:rPr>
                <w:rFonts w:hint="eastAsia" w:ascii="宋体" w:hAnsi="宋体" w:eastAsia="宋体" w:cs="宋体"/>
                <w:kern w:val="2"/>
                <w:sz w:val="24"/>
              </w:rPr>
            </w:pPr>
            <w:r>
              <w:rPr>
                <w:rFonts w:hint="eastAsia" w:ascii="宋体" w:hAnsi="宋体" w:eastAsia="宋体" w:cs="宋体"/>
                <w:sz w:val="24"/>
              </w:rPr>
              <w:t xml:space="preserve">大写：                     小写：               </w:t>
            </w:r>
          </w:p>
        </w:tc>
      </w:tr>
    </w:tbl>
    <w:p w14:paraId="4017B1DD">
      <w:pPr>
        <w:widowControl/>
        <w:snapToGrid w:val="0"/>
        <w:textAlignment w:val="baseline"/>
        <w:rPr>
          <w:rFonts w:hint="eastAsia" w:ascii="宋体" w:hAnsi="宋体" w:cs="宋体"/>
          <w:b/>
          <w:color w:val="000000"/>
          <w:sz w:val="24"/>
        </w:rPr>
      </w:pPr>
    </w:p>
    <w:p w14:paraId="680F3D08">
      <w:pPr>
        <w:tabs>
          <w:tab w:val="left" w:pos="5665"/>
          <w:tab w:val="right" w:pos="8360"/>
        </w:tabs>
        <w:snapToGrid w:val="0"/>
        <w:spacing w:line="360" w:lineRule="auto"/>
        <w:ind w:right="42"/>
        <w:textAlignment w:val="baseline"/>
        <w:rPr>
          <w:rFonts w:hint="eastAsia" w:hAnsi="宋体" w:eastAsia="宋体" w:cs="宋体"/>
          <w:sz w:val="24"/>
        </w:rPr>
      </w:pPr>
    </w:p>
    <w:p w14:paraId="2BA53C44">
      <w:pPr>
        <w:snapToGrid w:val="0"/>
        <w:spacing w:line="360" w:lineRule="auto"/>
        <w:ind w:right="79"/>
        <w:textAlignment w:val="baseline"/>
        <w:rPr>
          <w:rFonts w:hint="eastAsia" w:ascii="宋体" w:hAnsi="宋体" w:eastAsia="宋体" w:cs="宋体"/>
          <w:color w:val="000000"/>
          <w:sz w:val="24"/>
        </w:rPr>
      </w:pPr>
      <w:r>
        <w:rPr>
          <w:rFonts w:hint="eastAsia" w:ascii="宋体" w:hAnsi="宋体" w:eastAsia="宋体" w:cs="宋体"/>
          <w:sz w:val="24"/>
        </w:rPr>
        <w:t>供应商：（单位盖章）</w:t>
      </w:r>
    </w:p>
    <w:p w14:paraId="7D05C6CE">
      <w:pPr>
        <w:snapToGrid w:val="0"/>
        <w:spacing w:line="360" w:lineRule="auto"/>
        <w:rPr>
          <w:rFonts w:hint="eastAsia" w:ascii="宋体" w:hAnsi="宋体" w:eastAsia="宋体" w:cs="宋体"/>
          <w:color w:val="000000"/>
          <w:sz w:val="24"/>
        </w:rPr>
      </w:pPr>
      <w:r>
        <w:rPr>
          <w:rFonts w:hint="eastAsia" w:ascii="宋体" w:hAnsi="宋体" w:eastAsia="宋体" w:cs="宋体"/>
          <w:sz w:val="24"/>
        </w:rPr>
        <w:t>法定代表人或委托代理人（签字或盖章）：</w:t>
      </w:r>
    </w:p>
    <w:p w14:paraId="61A8BF53">
      <w:pPr>
        <w:kinsoku w:val="0"/>
        <w:topLinePunct/>
        <w:snapToGrid w:val="0"/>
        <w:spacing w:line="360" w:lineRule="auto"/>
        <w:rPr>
          <w:rFonts w:hint="eastAsia" w:ascii="宋体" w:hAnsi="宋体" w:eastAsia="宋体" w:cs="宋体"/>
          <w:sz w:val="24"/>
        </w:rPr>
      </w:pPr>
      <w:r>
        <w:rPr>
          <w:rFonts w:hint="eastAsia" w:ascii="宋体" w:hAnsi="宋体" w:eastAsia="宋体" w:cs="宋体"/>
          <w:color w:val="000000"/>
          <w:sz w:val="24"/>
        </w:rPr>
        <w:t>日期：  年  月  日</w:t>
      </w:r>
    </w:p>
    <w:p w14:paraId="21C0C1F9">
      <w:pPr>
        <w:snapToGrid w:val="0"/>
        <w:spacing w:line="360" w:lineRule="auto"/>
        <w:jc w:val="left"/>
        <w:rPr>
          <w:rFonts w:hint="eastAsia" w:ascii="宋体" w:hAnsi="宋体" w:eastAsia="宋体" w:cs="宋体"/>
          <w:b/>
          <w:sz w:val="24"/>
        </w:rPr>
      </w:pPr>
    </w:p>
    <w:p w14:paraId="7ADE39BB">
      <w:pPr>
        <w:snapToGrid w:val="0"/>
        <w:spacing w:line="360" w:lineRule="auto"/>
        <w:ind w:firstLine="482" w:firstLineChars="200"/>
        <w:jc w:val="left"/>
        <w:rPr>
          <w:rFonts w:hint="eastAsia" w:ascii="宋体" w:hAnsi="宋体" w:eastAsia="宋体" w:cs="宋体"/>
          <w:b/>
          <w:sz w:val="24"/>
        </w:rPr>
      </w:pPr>
      <w:r>
        <w:rPr>
          <w:rFonts w:hint="eastAsia" w:ascii="宋体" w:hAnsi="宋体" w:eastAsia="宋体" w:cs="宋体"/>
          <w:b/>
          <w:sz w:val="24"/>
        </w:rPr>
        <w:t>注：1、最终磋商总价报价将在磋商现场填写，响应文件密封提交时只需填写本明细表和首次磋商总价报价。</w:t>
      </w:r>
    </w:p>
    <w:p w14:paraId="3A59B7B1">
      <w:pPr>
        <w:snapToGrid w:val="0"/>
        <w:spacing w:line="360" w:lineRule="auto"/>
        <w:ind w:firstLine="482" w:firstLineChars="200"/>
        <w:jc w:val="left"/>
        <w:rPr>
          <w:rFonts w:hint="eastAsia" w:ascii="宋体" w:hAnsi="宋体" w:eastAsia="宋体" w:cs="宋体"/>
          <w:b/>
          <w:sz w:val="24"/>
        </w:rPr>
      </w:pPr>
      <w:r>
        <w:rPr>
          <w:rFonts w:hint="eastAsia" w:ascii="宋体" w:hAnsi="宋体" w:eastAsia="宋体" w:cs="宋体"/>
          <w:b/>
          <w:sz w:val="24"/>
        </w:rPr>
        <w:t>2、磋商响应供应商须自行分析项目组成后，详细报出磋商响应报价总表内总报价的组成部分的报价，且本表各分项报价合计应当与磋商响应报价总表内的首次磋商总价相等。</w:t>
      </w:r>
    </w:p>
    <w:p w14:paraId="1EE8C56A">
      <w:pPr>
        <w:snapToGrid w:val="0"/>
        <w:spacing w:line="360" w:lineRule="auto"/>
        <w:ind w:firstLine="482" w:firstLineChars="200"/>
        <w:jc w:val="left"/>
        <w:rPr>
          <w:rFonts w:hint="eastAsia" w:ascii="宋体" w:hAnsi="宋体" w:eastAsia="宋体" w:cs="宋体"/>
          <w:b/>
          <w:sz w:val="24"/>
        </w:rPr>
      </w:pPr>
      <w:r>
        <w:rPr>
          <w:rFonts w:hint="eastAsia" w:ascii="宋体" w:hAnsi="宋体" w:eastAsia="宋体" w:cs="宋体"/>
          <w:b/>
          <w:sz w:val="24"/>
        </w:rPr>
        <w:t>3、如果不提供本表将视为未实质性响应磋商文件要求。</w:t>
      </w:r>
    </w:p>
    <w:p w14:paraId="62EA2B41">
      <w:pPr>
        <w:snapToGrid w:val="0"/>
        <w:spacing w:line="360" w:lineRule="auto"/>
        <w:ind w:firstLine="482" w:firstLineChars="200"/>
        <w:jc w:val="left"/>
        <w:rPr>
          <w:rFonts w:hint="eastAsia" w:ascii="宋体" w:hAnsi="宋体" w:eastAsia="宋体" w:cs="宋体"/>
          <w:b/>
          <w:sz w:val="24"/>
        </w:rPr>
      </w:pPr>
      <w:r>
        <w:rPr>
          <w:rFonts w:hint="eastAsia" w:ascii="宋体" w:hAnsi="宋体" w:eastAsia="宋体" w:cs="宋体"/>
          <w:b/>
          <w:sz w:val="24"/>
        </w:rPr>
        <w:t>4、如果按各分项报价计算的结果与总价不一致，以各分项报价为准，修正总价。</w:t>
      </w:r>
    </w:p>
    <w:p w14:paraId="4C8A3BD9">
      <w:pPr>
        <w:snapToGrid w:val="0"/>
        <w:spacing w:line="360" w:lineRule="auto"/>
        <w:ind w:firstLine="482" w:firstLineChars="200"/>
        <w:jc w:val="left"/>
        <w:rPr>
          <w:rFonts w:hint="eastAsia" w:ascii="宋体" w:hAnsi="宋体" w:eastAsia="宋体" w:cs="宋体"/>
          <w:b/>
          <w:sz w:val="24"/>
        </w:rPr>
      </w:pPr>
      <w:r>
        <w:rPr>
          <w:rFonts w:hint="eastAsia" w:ascii="宋体" w:hAnsi="宋体" w:eastAsia="宋体" w:cs="宋体"/>
          <w:b/>
          <w:sz w:val="24"/>
        </w:rPr>
        <w:t xml:space="preserve">5、若成交，各分项成交单价的计算原则：以磋商响应首次报价明细表中的各分项报价为基数，根据最终磋商报价（成交价）与首次磋商报价之间的下浮率进行同比例下浮，且以此作为确定最终各分项成交单价的依据。 </w:t>
      </w:r>
    </w:p>
    <w:p w14:paraId="6E26C880">
      <w:pPr>
        <w:snapToGrid w:val="0"/>
        <w:spacing w:line="360" w:lineRule="auto"/>
        <w:ind w:left="420" w:leftChars="200"/>
        <w:rPr>
          <w:rFonts w:hint="eastAsia" w:ascii="宋体" w:hAnsi="宋体" w:eastAsia="宋体" w:cs="宋体"/>
          <w:b/>
          <w:sz w:val="24"/>
        </w:rPr>
      </w:pPr>
      <w:r>
        <w:rPr>
          <w:rFonts w:hint="eastAsia" w:ascii="宋体" w:hAnsi="宋体" w:eastAsia="宋体" w:cs="宋体"/>
          <w:b/>
          <w:sz w:val="24"/>
        </w:rPr>
        <w:t>6、供应商应如实填写表格中所有信息，否则视为无效响应。</w:t>
      </w:r>
    </w:p>
    <w:p w14:paraId="60E6BA14">
      <w:pPr>
        <w:rPr>
          <w:rFonts w:hint="eastAsia" w:ascii="宋体" w:hAnsi="宋体" w:eastAsia="宋体" w:cs="宋体"/>
          <w:b/>
          <w:sz w:val="24"/>
        </w:rPr>
      </w:pPr>
      <w:r>
        <w:rPr>
          <w:rFonts w:hint="eastAsia" w:ascii="宋体" w:hAnsi="宋体" w:eastAsia="宋体" w:cs="宋体"/>
          <w:b/>
          <w:sz w:val="24"/>
        </w:rPr>
        <w:br w:type="page"/>
      </w:r>
    </w:p>
    <w:p w14:paraId="0E7D7A8B">
      <w:pPr>
        <w:snapToGrid w:val="0"/>
        <w:spacing w:line="360" w:lineRule="auto"/>
        <w:ind w:left="420" w:leftChars="200"/>
        <w:jc w:val="center"/>
        <w:rPr>
          <w:rFonts w:hint="eastAsia" w:ascii="黑体" w:hAnsi="黑体" w:eastAsia="黑体" w:cs="仿宋"/>
          <w:bCs/>
          <w:sz w:val="44"/>
          <w:szCs w:val="44"/>
        </w:rPr>
      </w:pPr>
      <w:r>
        <w:rPr>
          <w:rFonts w:hint="eastAsia" w:ascii="宋体" w:hAnsi="宋体" w:eastAsia="宋体" w:cs="宋体"/>
          <w:b/>
          <w:bCs/>
          <w:sz w:val="28"/>
          <w:szCs w:val="28"/>
        </w:rPr>
        <w:t>13、质疑函范本</w:t>
      </w:r>
    </w:p>
    <w:p w14:paraId="7ED2E1D6">
      <w:pPr>
        <w:adjustRightInd w:val="0"/>
        <w:snapToGrid w:val="0"/>
        <w:spacing w:line="360" w:lineRule="auto"/>
        <w:rPr>
          <w:rFonts w:hint="eastAsia" w:ascii="宋体" w:hAnsi="宋体" w:eastAsia="宋体" w:cs="宋体"/>
          <w:bCs/>
          <w:sz w:val="24"/>
        </w:rPr>
      </w:pPr>
      <w:r>
        <w:rPr>
          <w:rFonts w:hint="eastAsia" w:ascii="宋体" w:hAnsi="宋体" w:eastAsia="宋体" w:cs="宋体"/>
          <w:bCs/>
          <w:sz w:val="24"/>
        </w:rPr>
        <w:t>一、质疑供应商基本信息</w:t>
      </w:r>
    </w:p>
    <w:p w14:paraId="7B2EC98C">
      <w:pPr>
        <w:adjustRightInd w:val="0"/>
        <w:snapToGrid w:val="0"/>
        <w:spacing w:line="360" w:lineRule="auto"/>
        <w:rPr>
          <w:rFonts w:hint="eastAsia" w:ascii="宋体" w:hAnsi="宋体" w:eastAsia="宋体" w:cs="宋体"/>
          <w:sz w:val="24"/>
          <w:u w:val="dotted"/>
        </w:rPr>
      </w:pPr>
      <w:r>
        <w:rPr>
          <w:rFonts w:hint="eastAsia" w:ascii="宋体" w:hAnsi="宋体" w:eastAsia="宋体" w:cs="宋体"/>
          <w:sz w:val="24"/>
        </w:rPr>
        <w:t>质疑供应商：</w:t>
      </w:r>
    </w:p>
    <w:p w14:paraId="4CF6F4F9">
      <w:pPr>
        <w:adjustRightInd w:val="0"/>
        <w:snapToGrid w:val="0"/>
        <w:spacing w:line="360" w:lineRule="auto"/>
        <w:rPr>
          <w:rFonts w:hint="eastAsia" w:ascii="宋体" w:hAnsi="宋体" w:eastAsia="宋体" w:cs="宋体"/>
          <w:sz w:val="24"/>
        </w:rPr>
      </w:pPr>
      <w:r>
        <w:rPr>
          <w:rFonts w:hint="eastAsia" w:ascii="宋体" w:hAnsi="宋体" w:eastAsia="宋体" w:cs="宋体"/>
          <w:sz w:val="24"/>
        </w:rPr>
        <w:t>地址：邮编：</w:t>
      </w:r>
    </w:p>
    <w:p w14:paraId="3920CAB3">
      <w:pPr>
        <w:adjustRightInd w:val="0"/>
        <w:snapToGrid w:val="0"/>
        <w:spacing w:line="360" w:lineRule="auto"/>
        <w:rPr>
          <w:rFonts w:hint="eastAsia" w:ascii="宋体" w:hAnsi="宋体" w:eastAsia="宋体" w:cs="宋体"/>
          <w:sz w:val="24"/>
        </w:rPr>
      </w:pPr>
      <w:r>
        <w:rPr>
          <w:rFonts w:hint="eastAsia" w:ascii="宋体" w:hAnsi="宋体" w:eastAsia="宋体" w:cs="宋体"/>
          <w:sz w:val="24"/>
        </w:rPr>
        <w:t>联系人：联系电话：</w:t>
      </w:r>
    </w:p>
    <w:p w14:paraId="3A0D117D">
      <w:pPr>
        <w:adjustRightInd w:val="0"/>
        <w:snapToGrid w:val="0"/>
        <w:spacing w:line="360" w:lineRule="auto"/>
        <w:rPr>
          <w:rFonts w:hint="eastAsia" w:ascii="宋体" w:hAnsi="宋体" w:eastAsia="宋体" w:cs="宋体"/>
          <w:sz w:val="24"/>
          <w:u w:val="dotted"/>
        </w:rPr>
      </w:pPr>
      <w:r>
        <w:rPr>
          <w:rFonts w:hint="eastAsia" w:ascii="宋体" w:hAnsi="宋体" w:eastAsia="宋体" w:cs="宋体"/>
          <w:sz w:val="24"/>
        </w:rPr>
        <w:t>授权代表：</w:t>
      </w:r>
    </w:p>
    <w:p w14:paraId="2264C7CC">
      <w:pPr>
        <w:adjustRightInd w:val="0"/>
        <w:snapToGrid w:val="0"/>
        <w:spacing w:line="360" w:lineRule="auto"/>
        <w:rPr>
          <w:rFonts w:hint="eastAsia" w:ascii="宋体" w:hAnsi="宋体" w:eastAsia="宋体" w:cs="宋体"/>
          <w:sz w:val="24"/>
        </w:rPr>
      </w:pPr>
      <w:r>
        <w:rPr>
          <w:rFonts w:hint="eastAsia" w:ascii="宋体" w:hAnsi="宋体" w:eastAsia="宋体" w:cs="宋体"/>
          <w:sz w:val="24"/>
        </w:rPr>
        <w:t>联系电话：</w:t>
      </w:r>
    </w:p>
    <w:p w14:paraId="0F51995B">
      <w:pPr>
        <w:adjustRightInd w:val="0"/>
        <w:snapToGrid w:val="0"/>
        <w:spacing w:line="360" w:lineRule="auto"/>
        <w:rPr>
          <w:rFonts w:hint="eastAsia" w:ascii="宋体" w:hAnsi="宋体" w:eastAsia="宋体" w:cs="宋体"/>
          <w:sz w:val="24"/>
        </w:rPr>
      </w:pPr>
      <w:r>
        <w:rPr>
          <w:rFonts w:hint="eastAsia" w:ascii="宋体" w:hAnsi="宋体" w:eastAsia="宋体" w:cs="宋体"/>
          <w:sz w:val="24"/>
        </w:rPr>
        <w:t>地址：邮编：</w:t>
      </w:r>
    </w:p>
    <w:p w14:paraId="4874ED08">
      <w:pPr>
        <w:adjustRightInd w:val="0"/>
        <w:snapToGrid w:val="0"/>
        <w:spacing w:line="360" w:lineRule="auto"/>
        <w:rPr>
          <w:rFonts w:hint="eastAsia" w:ascii="宋体" w:hAnsi="宋体" w:eastAsia="宋体" w:cs="宋体"/>
          <w:bCs/>
          <w:sz w:val="24"/>
        </w:rPr>
      </w:pPr>
      <w:r>
        <w:rPr>
          <w:rFonts w:hint="eastAsia" w:ascii="宋体" w:hAnsi="宋体" w:eastAsia="宋体" w:cs="宋体"/>
          <w:bCs/>
          <w:sz w:val="24"/>
        </w:rPr>
        <w:t>二、质疑项目基本情况</w:t>
      </w:r>
    </w:p>
    <w:p w14:paraId="48B635DB">
      <w:pPr>
        <w:adjustRightInd w:val="0"/>
        <w:snapToGrid w:val="0"/>
        <w:spacing w:line="360" w:lineRule="auto"/>
        <w:rPr>
          <w:rFonts w:hint="eastAsia" w:ascii="宋体" w:hAnsi="宋体" w:eastAsia="宋体" w:cs="宋体"/>
          <w:sz w:val="24"/>
        </w:rPr>
      </w:pPr>
      <w:r>
        <w:rPr>
          <w:rFonts w:hint="eastAsia" w:ascii="宋体" w:hAnsi="宋体" w:eastAsia="宋体" w:cs="宋体"/>
          <w:sz w:val="24"/>
        </w:rPr>
        <w:t>质疑项目的名称：</w:t>
      </w:r>
    </w:p>
    <w:p w14:paraId="113CE642">
      <w:pPr>
        <w:adjustRightInd w:val="0"/>
        <w:snapToGrid w:val="0"/>
        <w:spacing w:line="360" w:lineRule="auto"/>
        <w:rPr>
          <w:rFonts w:hint="eastAsia" w:ascii="宋体" w:hAnsi="宋体" w:eastAsia="宋体" w:cs="宋体"/>
          <w:sz w:val="24"/>
        </w:rPr>
      </w:pPr>
      <w:r>
        <w:rPr>
          <w:rFonts w:hint="eastAsia" w:ascii="宋体" w:hAnsi="宋体" w:eastAsia="宋体" w:cs="宋体"/>
          <w:sz w:val="24"/>
        </w:rPr>
        <w:t>质疑项目的编号：包号：</w:t>
      </w:r>
    </w:p>
    <w:p w14:paraId="685A2154">
      <w:pPr>
        <w:adjustRightInd w:val="0"/>
        <w:snapToGrid w:val="0"/>
        <w:spacing w:line="360" w:lineRule="auto"/>
        <w:rPr>
          <w:rFonts w:hint="eastAsia" w:ascii="宋体" w:hAnsi="宋体" w:eastAsia="宋体" w:cs="宋体"/>
          <w:sz w:val="24"/>
          <w:u w:val="dotted"/>
        </w:rPr>
      </w:pPr>
      <w:r>
        <w:rPr>
          <w:rFonts w:hint="eastAsia" w:ascii="宋体" w:hAnsi="宋体" w:eastAsia="宋体" w:cs="宋体"/>
          <w:sz w:val="24"/>
        </w:rPr>
        <w:t>采购人名称：</w:t>
      </w:r>
    </w:p>
    <w:p w14:paraId="64BD8BEC">
      <w:pPr>
        <w:adjustRightInd w:val="0"/>
        <w:snapToGrid w:val="0"/>
        <w:spacing w:line="360" w:lineRule="auto"/>
        <w:rPr>
          <w:rFonts w:hint="eastAsia" w:ascii="宋体" w:hAnsi="宋体" w:eastAsia="宋体" w:cs="宋体"/>
          <w:sz w:val="24"/>
        </w:rPr>
      </w:pPr>
      <w:r>
        <w:rPr>
          <w:rFonts w:hint="eastAsia" w:ascii="宋体" w:hAnsi="宋体" w:eastAsia="宋体" w:cs="宋体"/>
          <w:sz w:val="24"/>
        </w:rPr>
        <w:t>采购文件获取日期：</w:t>
      </w:r>
    </w:p>
    <w:p w14:paraId="56ADD8F7">
      <w:pPr>
        <w:adjustRightInd w:val="0"/>
        <w:snapToGrid w:val="0"/>
        <w:spacing w:line="360" w:lineRule="auto"/>
        <w:rPr>
          <w:rFonts w:hint="eastAsia" w:ascii="宋体" w:hAnsi="宋体" w:eastAsia="宋体" w:cs="宋体"/>
          <w:bCs/>
          <w:sz w:val="24"/>
        </w:rPr>
      </w:pPr>
      <w:r>
        <w:rPr>
          <w:rFonts w:hint="eastAsia" w:ascii="宋体" w:hAnsi="宋体" w:eastAsia="宋体" w:cs="宋体"/>
          <w:bCs/>
          <w:sz w:val="24"/>
        </w:rPr>
        <w:t>三、质疑事项具体内容</w:t>
      </w:r>
    </w:p>
    <w:p w14:paraId="66695BB6">
      <w:pPr>
        <w:adjustRightInd w:val="0"/>
        <w:snapToGrid w:val="0"/>
        <w:spacing w:line="360" w:lineRule="auto"/>
        <w:rPr>
          <w:rFonts w:hint="eastAsia" w:ascii="宋体" w:hAnsi="宋体" w:eastAsia="宋体" w:cs="宋体"/>
          <w:sz w:val="24"/>
          <w:u w:val="dotted"/>
        </w:rPr>
      </w:pPr>
      <w:r>
        <w:rPr>
          <w:rFonts w:hint="eastAsia" w:ascii="宋体" w:hAnsi="宋体" w:eastAsia="宋体" w:cs="宋体"/>
          <w:sz w:val="24"/>
        </w:rPr>
        <w:t>质疑事项1：</w:t>
      </w:r>
    </w:p>
    <w:p w14:paraId="72F0491A">
      <w:pPr>
        <w:adjustRightInd w:val="0"/>
        <w:snapToGrid w:val="0"/>
        <w:spacing w:line="360" w:lineRule="auto"/>
        <w:rPr>
          <w:rFonts w:hint="eastAsia" w:ascii="宋体" w:hAnsi="宋体" w:eastAsia="宋体" w:cs="宋体"/>
          <w:sz w:val="24"/>
          <w:u w:val="dotted"/>
        </w:rPr>
      </w:pPr>
      <w:r>
        <w:rPr>
          <w:rFonts w:hint="eastAsia" w:ascii="宋体" w:hAnsi="宋体" w:eastAsia="宋体" w:cs="宋体"/>
          <w:sz w:val="24"/>
        </w:rPr>
        <w:t>事实依据：</w:t>
      </w:r>
    </w:p>
    <w:p w14:paraId="0731718B">
      <w:pPr>
        <w:adjustRightInd w:val="0"/>
        <w:snapToGrid w:val="0"/>
        <w:spacing w:line="360" w:lineRule="auto"/>
        <w:rPr>
          <w:rFonts w:hint="eastAsia" w:ascii="宋体" w:hAnsi="宋体" w:eastAsia="宋体" w:cs="宋体"/>
          <w:sz w:val="24"/>
        </w:rPr>
      </w:pPr>
    </w:p>
    <w:p w14:paraId="0EDDA828">
      <w:pPr>
        <w:adjustRightInd w:val="0"/>
        <w:snapToGrid w:val="0"/>
        <w:spacing w:line="360" w:lineRule="auto"/>
        <w:rPr>
          <w:rFonts w:hint="eastAsia" w:ascii="宋体" w:hAnsi="宋体" w:eastAsia="宋体" w:cs="宋体"/>
          <w:sz w:val="24"/>
          <w:u w:val="dotted"/>
        </w:rPr>
      </w:pPr>
      <w:r>
        <w:rPr>
          <w:rFonts w:hint="eastAsia" w:ascii="宋体" w:hAnsi="宋体" w:eastAsia="宋体" w:cs="宋体"/>
          <w:sz w:val="24"/>
        </w:rPr>
        <w:t>法律依据：</w:t>
      </w:r>
    </w:p>
    <w:p w14:paraId="6888C505">
      <w:pPr>
        <w:adjustRightInd w:val="0"/>
        <w:snapToGrid w:val="0"/>
        <w:spacing w:line="360" w:lineRule="auto"/>
        <w:rPr>
          <w:rFonts w:hint="eastAsia" w:ascii="宋体" w:hAnsi="宋体" w:eastAsia="宋体" w:cs="宋体"/>
          <w:sz w:val="24"/>
          <w:u w:val="dotted"/>
        </w:rPr>
      </w:pPr>
    </w:p>
    <w:p w14:paraId="61FB3D63">
      <w:pPr>
        <w:adjustRightInd w:val="0"/>
        <w:snapToGrid w:val="0"/>
        <w:spacing w:line="360" w:lineRule="auto"/>
        <w:rPr>
          <w:rFonts w:hint="eastAsia" w:ascii="宋体" w:hAnsi="宋体" w:eastAsia="宋体" w:cs="宋体"/>
          <w:sz w:val="24"/>
          <w:u w:val="dotted"/>
        </w:rPr>
      </w:pPr>
      <w:r>
        <w:rPr>
          <w:rFonts w:hint="eastAsia" w:ascii="宋体" w:hAnsi="宋体" w:eastAsia="宋体" w:cs="宋体"/>
          <w:sz w:val="24"/>
        </w:rPr>
        <w:t>质疑事项2</w:t>
      </w:r>
    </w:p>
    <w:p w14:paraId="7E6EE05E">
      <w:pPr>
        <w:adjustRightInd w:val="0"/>
        <w:snapToGrid w:val="0"/>
        <w:spacing w:line="360" w:lineRule="auto"/>
        <w:rPr>
          <w:rFonts w:hint="eastAsia" w:ascii="宋体" w:hAnsi="宋体" w:eastAsia="宋体" w:cs="宋体"/>
          <w:sz w:val="24"/>
        </w:rPr>
      </w:pPr>
      <w:r>
        <w:rPr>
          <w:rFonts w:hint="eastAsia" w:ascii="宋体" w:hAnsi="宋体" w:eastAsia="宋体" w:cs="宋体"/>
          <w:sz w:val="24"/>
        </w:rPr>
        <w:t>……</w:t>
      </w:r>
    </w:p>
    <w:p w14:paraId="7EA27B71">
      <w:pPr>
        <w:adjustRightInd w:val="0"/>
        <w:snapToGrid w:val="0"/>
        <w:spacing w:line="360" w:lineRule="auto"/>
        <w:rPr>
          <w:rFonts w:hint="eastAsia" w:ascii="宋体" w:hAnsi="宋体" w:eastAsia="宋体" w:cs="宋体"/>
          <w:bCs/>
          <w:sz w:val="24"/>
        </w:rPr>
      </w:pPr>
      <w:r>
        <w:rPr>
          <w:rFonts w:hint="eastAsia" w:ascii="宋体" w:hAnsi="宋体" w:eastAsia="宋体" w:cs="宋体"/>
          <w:bCs/>
          <w:sz w:val="24"/>
        </w:rPr>
        <w:t>四、与质疑事项相关的质疑请求</w:t>
      </w:r>
    </w:p>
    <w:p w14:paraId="3A66A3A6">
      <w:pPr>
        <w:adjustRightInd w:val="0"/>
        <w:snapToGrid w:val="0"/>
        <w:spacing w:line="360" w:lineRule="auto"/>
        <w:rPr>
          <w:rFonts w:hint="eastAsia" w:ascii="宋体" w:hAnsi="宋体" w:eastAsia="宋体" w:cs="宋体"/>
          <w:sz w:val="24"/>
          <w:u w:val="dotted"/>
        </w:rPr>
      </w:pPr>
      <w:r>
        <w:rPr>
          <w:rFonts w:hint="eastAsia" w:ascii="宋体" w:hAnsi="宋体" w:eastAsia="宋体" w:cs="宋体"/>
          <w:sz w:val="24"/>
        </w:rPr>
        <w:t>请求：</w:t>
      </w:r>
    </w:p>
    <w:p w14:paraId="0EA0EC0D">
      <w:pPr>
        <w:snapToGrid w:val="0"/>
        <w:spacing w:line="360" w:lineRule="auto"/>
        <w:rPr>
          <w:rFonts w:hint="eastAsia" w:ascii="宋体" w:hAnsi="宋体" w:eastAsia="宋体" w:cs="宋体"/>
          <w:sz w:val="24"/>
        </w:rPr>
      </w:pPr>
      <w:r>
        <w:rPr>
          <w:rFonts w:hint="eastAsia" w:ascii="宋体" w:hAnsi="宋体" w:eastAsia="宋体" w:cs="宋体"/>
          <w:sz w:val="24"/>
        </w:rPr>
        <w:t xml:space="preserve">签字(签章)：                   公章：                      </w:t>
      </w:r>
    </w:p>
    <w:p w14:paraId="4E8C72E8">
      <w:pPr>
        <w:snapToGrid w:val="0"/>
        <w:spacing w:line="360" w:lineRule="auto"/>
        <w:rPr>
          <w:rFonts w:hint="eastAsia" w:ascii="宋体" w:hAnsi="宋体" w:eastAsia="宋体" w:cs="宋体"/>
          <w:sz w:val="24"/>
        </w:rPr>
      </w:pPr>
      <w:r>
        <w:rPr>
          <w:rFonts w:hint="eastAsia" w:ascii="宋体" w:hAnsi="宋体" w:eastAsia="宋体" w:cs="宋体"/>
          <w:sz w:val="24"/>
        </w:rPr>
        <w:t xml:space="preserve">日期：    </w:t>
      </w:r>
    </w:p>
    <w:p w14:paraId="7D21135B">
      <w:pPr>
        <w:adjustRightInd w:val="0"/>
        <w:snapToGrid w:val="0"/>
        <w:spacing w:line="360" w:lineRule="auto"/>
        <w:rPr>
          <w:rFonts w:hint="eastAsia" w:ascii="宋体" w:hAnsi="宋体" w:eastAsia="宋体" w:cs="宋体"/>
          <w:sz w:val="24"/>
        </w:rPr>
      </w:pPr>
    </w:p>
    <w:p w14:paraId="78F08B88">
      <w:pPr>
        <w:snapToGrid w:val="0"/>
        <w:spacing w:line="360" w:lineRule="auto"/>
        <w:rPr>
          <w:rFonts w:hint="eastAsia" w:ascii="宋体" w:hAnsi="宋体" w:eastAsia="宋体" w:cs="宋体"/>
          <w:b/>
          <w:sz w:val="24"/>
        </w:rPr>
      </w:pPr>
    </w:p>
    <w:p w14:paraId="3F25DBD0">
      <w:pPr>
        <w:snapToGrid w:val="0"/>
        <w:spacing w:line="360" w:lineRule="auto"/>
        <w:rPr>
          <w:rFonts w:hint="eastAsia" w:ascii="宋体" w:hAnsi="宋体" w:eastAsia="宋体" w:cs="宋体"/>
          <w:b/>
          <w:sz w:val="24"/>
        </w:rPr>
      </w:pPr>
      <w:r>
        <w:rPr>
          <w:rFonts w:hint="eastAsia" w:ascii="宋体" w:hAnsi="宋体" w:eastAsia="宋体" w:cs="宋体"/>
          <w:b/>
          <w:sz w:val="24"/>
        </w:rPr>
        <w:t>质疑函制作说明：</w:t>
      </w:r>
    </w:p>
    <w:p w14:paraId="2A6E9AB2">
      <w:pPr>
        <w:widowControl/>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1.供应商提出质疑时，应提交质疑函和必要的证明材料。</w:t>
      </w:r>
    </w:p>
    <w:p w14:paraId="70317A39">
      <w:pPr>
        <w:widowControl/>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52ADB90">
      <w:pPr>
        <w:widowControl/>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3.质疑供应商若对项目的某一分包进行质疑，质疑函中应列明具体分包号。</w:t>
      </w:r>
    </w:p>
    <w:p w14:paraId="4835EAB8">
      <w:pPr>
        <w:widowControl/>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4.质疑函的质疑事项应具体、明确，并有必要的事实依据和法律依据。</w:t>
      </w:r>
    </w:p>
    <w:p w14:paraId="577A72A7">
      <w:pPr>
        <w:widowControl/>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5.质疑函的质疑请求应与质疑事项相关。</w:t>
      </w:r>
    </w:p>
    <w:p w14:paraId="0F8D5A65">
      <w:pPr>
        <w:widowControl/>
        <w:snapToGrid w:val="0"/>
        <w:spacing w:line="360" w:lineRule="auto"/>
        <w:ind w:firstLine="480" w:firstLineChars="200"/>
        <w:jc w:val="left"/>
        <w:rPr>
          <w:rFonts w:hint="eastAsia" w:ascii="宋体" w:hAnsi="宋体" w:eastAsia="宋体"/>
          <w:sz w:val="24"/>
        </w:rPr>
      </w:pPr>
      <w:r>
        <w:rPr>
          <w:rFonts w:hint="eastAsia" w:ascii="宋体" w:hAnsi="宋体" w:eastAsia="宋体" w:cs="宋体"/>
          <w:sz w:val="24"/>
        </w:rPr>
        <w:t>6.质疑供应商为自然人的，质疑函应由本人签字；质疑供应商为法人或者其他组织的，质疑函应由法定代表人、主要负责人，或者其授权代表签字或者盖章，并加盖公章。</w:t>
      </w:r>
    </w:p>
    <w:p w14:paraId="3CD1937B">
      <w:pPr>
        <w:jc w:val="center"/>
        <w:rPr>
          <w:rFonts w:hint="eastAsia" w:ascii="宋体" w:hAnsi="宋体" w:cs="宋体"/>
          <w:sz w:val="24"/>
          <w:szCs w:val="24"/>
        </w:rPr>
      </w:pPr>
    </w:p>
    <w:p w14:paraId="4F13B7C4">
      <w:pPr>
        <w:rPr>
          <w:rFonts w:hint="eastAsia" w:ascii="宋体" w:hAnsi="宋体" w:cs="宋体"/>
          <w:sz w:val="24"/>
          <w:szCs w:val="24"/>
        </w:rPr>
      </w:pPr>
    </w:p>
    <w:p w14:paraId="427DAB20">
      <w:pPr>
        <w:rPr>
          <w:rFonts w:hint="eastAsia" w:ascii="宋体" w:hAnsi="宋体" w:cs="宋体"/>
          <w:sz w:val="24"/>
        </w:rPr>
      </w:pPr>
    </w:p>
    <w:p w14:paraId="6A1ACB0E">
      <w:pPr>
        <w:jc w:val="center"/>
        <w:rPr>
          <w:sz w:val="24"/>
          <w:szCs w:val="24"/>
        </w:rPr>
      </w:pPr>
      <w:r>
        <w:rPr>
          <w:rFonts w:hint="eastAsia" w:ascii="宋体" w:hAnsi="宋体" w:eastAsia="宋体" w:cs="宋体"/>
          <w:sz w:val="24"/>
          <w:szCs w:val="24"/>
        </w:rPr>
        <w:t>……全文结束……</w:t>
      </w:r>
    </w:p>
    <w:sectPr>
      <w:footerReference r:id="rId9" w:type="default"/>
      <w:pgSz w:w="11906" w:h="16838"/>
      <w:pgMar w:top="1417" w:right="1134" w:bottom="1417" w:left="1134" w:header="737" w:footer="454" w:gutter="0"/>
      <w:pgNumType w:fmt="numberInDash"/>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swiss"/>
    <w:pitch w:val="default"/>
    <w:sig w:usb0="80000287" w:usb1="280F3C52" w:usb2="00000016" w:usb3="00000000" w:csb0="0004001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619FC">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04800" cy="131445"/>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304800" cy="131445"/>
                      </a:xfrm>
                      <a:prstGeom prst="rect">
                        <a:avLst/>
                      </a:prstGeom>
                      <a:noFill/>
                      <a:ln>
                        <a:noFill/>
                      </a:ln>
                      <a:effectLst/>
                    </wps:spPr>
                    <wps:txbx>
                      <w:txbxContent>
                        <w:p w14:paraId="4168CA1B">
                          <w:pPr>
                            <w:jc w:val="center"/>
                          </w:pP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0.35pt;width:24pt;mso-position-horizontal:center;mso-position-horizontal-relative:margin;mso-wrap-style:none;z-index:251659264;mso-width-relative:page;mso-height-relative:page;" filled="f" stroked="f" coordsize="21600,21600" o:gfxdata="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3RZsT0AAAAAMBAAAPAAAAAAAAAAEAIAAAACIAAABk&#10;cnMvZG93bnJldi54bWxQSwECFAAUAAAACACHTuJARkFrm9UBAACoAwAADgAAAAAAAAABACAAAAAf&#10;AQAAZHJzL2Uyb0RvYy54bWxQSwUGAAAAAAYABgBZAQAAZgUAAAAA&#10;">
              <v:fill on="f" focussize="0,0"/>
              <v:stroke on="f"/>
              <v:imagedata o:title=""/>
              <o:lock v:ext="edit" aspectratio="f"/>
              <v:textbox inset="0mm,0mm,0mm,0mm" style="mso-fit-shape-to-text:t;">
                <w:txbxContent>
                  <w:p w14:paraId="4168CA1B">
                    <w:pPr>
                      <w:jc w:val="cente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9253289"/>
    </w:sdtPr>
    <w:sdtContent>
      <w:p w14:paraId="54F0D2B9">
        <w:pPr>
          <w:pStyle w:val="9"/>
          <w:jc w:val="center"/>
        </w:pPr>
        <w:r>
          <w:fldChar w:fldCharType="begin"/>
        </w:r>
        <w:r>
          <w:instrText xml:space="preserve">PAGE   \* MERGEFORMAT</w:instrText>
        </w:r>
        <w:r>
          <w:fldChar w:fldCharType="separate"/>
        </w:r>
        <w:r>
          <w:rPr>
            <w:lang w:val="zh-CN"/>
          </w:rPr>
          <w:t>2</w:t>
        </w:r>
        <w:r>
          <w:fldChar w:fldCharType="end"/>
        </w:r>
      </w:p>
    </w:sdtContent>
  </w:sdt>
  <w:p w14:paraId="35D0D9FA">
    <w:pP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50861B5D">
        <w:pPr>
          <w:pStyle w:val="9"/>
          <w:jc w:val="center"/>
        </w:pPr>
        <w:r>
          <w:fldChar w:fldCharType="begin"/>
        </w:r>
        <w:r>
          <w:instrText xml:space="preserve">PAGE   \* MERGEFORMAT</w:instrText>
        </w:r>
        <w:r>
          <w:fldChar w:fldCharType="separate"/>
        </w:r>
        <w:r>
          <w:rPr>
            <w:lang w:val="zh-CN"/>
          </w:rPr>
          <w:t>2</w:t>
        </w:r>
        <w:r>
          <w:fldChar w:fldCharType="end"/>
        </w:r>
      </w:p>
    </w:sdtContent>
  </w:sdt>
  <w:p w14:paraId="43D4B1F3"/>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4913759"/>
    </w:sdtPr>
    <w:sdtContent>
      <w:p w14:paraId="24C6518C">
        <w:pPr>
          <w:pStyle w:val="9"/>
          <w:jc w:val="center"/>
        </w:pPr>
        <w:r>
          <w:fldChar w:fldCharType="begin"/>
        </w:r>
        <w:r>
          <w:instrText xml:space="preserve">PAGE   \* MERGEFORMAT</w:instrText>
        </w:r>
        <w:r>
          <w:fldChar w:fldCharType="separate"/>
        </w:r>
        <w:r>
          <w:rPr>
            <w:lang w:val="zh-CN"/>
          </w:rPr>
          <w:t>2</w:t>
        </w:r>
        <w:r>
          <w:fldChar w:fldCharType="end"/>
        </w:r>
      </w:p>
    </w:sdtContent>
  </w:sdt>
  <w:p w14:paraId="67331B42">
    <w:pP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0908726"/>
    </w:sdtPr>
    <w:sdtContent>
      <w:p w14:paraId="102C628B">
        <w:pPr>
          <w:pStyle w:val="9"/>
          <w:jc w:val="center"/>
        </w:pPr>
        <w:r>
          <w:fldChar w:fldCharType="begin"/>
        </w:r>
        <w:r>
          <w:instrText xml:space="preserve">PAGE   \* MERGEFORMAT</w:instrText>
        </w:r>
        <w:r>
          <w:fldChar w:fldCharType="separate"/>
        </w:r>
        <w:r>
          <w:rPr>
            <w:lang w:val="zh-CN"/>
          </w:rPr>
          <w:t>2</w:t>
        </w:r>
        <w:r>
          <w:fldChar w:fldCharType="end"/>
        </w:r>
      </w:p>
    </w:sdtContent>
  </w:sdt>
  <w:p w14:paraId="11CD28B8">
    <w:pPr>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101C7">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71782">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79D2E8"/>
    <w:multiLevelType w:val="singleLevel"/>
    <w:tmpl w:val="9179D2E8"/>
    <w:lvl w:ilvl="0" w:tentative="0">
      <w:start w:val="8"/>
      <w:numFmt w:val="decimal"/>
      <w:suff w:val="nothing"/>
      <w:lvlText w:val="%1、"/>
      <w:lvlJc w:val="left"/>
    </w:lvl>
  </w:abstractNum>
  <w:abstractNum w:abstractNumId="1">
    <w:nsid w:val="B365929A"/>
    <w:multiLevelType w:val="singleLevel"/>
    <w:tmpl w:val="B365929A"/>
    <w:lvl w:ilvl="0" w:tentative="0">
      <w:start w:val="10"/>
      <w:numFmt w:val="chineseCounting"/>
      <w:suff w:val="nothing"/>
      <w:lvlText w:val="%1、"/>
      <w:lvlJc w:val="left"/>
      <w:rPr>
        <w:rFonts w:hint="eastAsia"/>
      </w:rPr>
    </w:lvl>
  </w:abstractNum>
  <w:abstractNum w:abstractNumId="2">
    <w:nsid w:val="E2895CEA"/>
    <w:multiLevelType w:val="singleLevel"/>
    <w:tmpl w:val="E2895CEA"/>
    <w:lvl w:ilvl="0" w:tentative="0">
      <w:start w:val="1"/>
      <w:numFmt w:val="decimal"/>
      <w:suff w:val="space"/>
      <w:lvlText w:val="%1."/>
      <w:lvlJc w:val="left"/>
    </w:lvl>
  </w:abstractNum>
  <w:abstractNum w:abstractNumId="3">
    <w:nsid w:val="FF70715A"/>
    <w:multiLevelType w:val="singleLevel"/>
    <w:tmpl w:val="FF70715A"/>
    <w:lvl w:ilvl="0" w:tentative="0">
      <w:start w:val="1"/>
      <w:numFmt w:val="decimal"/>
      <w:suff w:val="space"/>
      <w:lvlText w:val="%1."/>
      <w:lvlJc w:val="left"/>
    </w:lvl>
  </w:abstractNum>
  <w:abstractNum w:abstractNumId="4">
    <w:nsid w:val="35F81A04"/>
    <w:multiLevelType w:val="singleLevel"/>
    <w:tmpl w:val="35F81A04"/>
    <w:lvl w:ilvl="0" w:tentative="0">
      <w:start w:val="3"/>
      <w:numFmt w:val="chineseCounting"/>
      <w:suff w:val="nothing"/>
      <w:lvlText w:val="（%1）"/>
      <w:lvlJc w:val="left"/>
      <w:rPr>
        <w:rFonts w:hint="eastAsia"/>
      </w:rPr>
    </w:lvl>
  </w:abstractNum>
  <w:abstractNum w:abstractNumId="5">
    <w:nsid w:val="3E7C392C"/>
    <w:multiLevelType w:val="singleLevel"/>
    <w:tmpl w:val="3E7C392C"/>
    <w:lvl w:ilvl="0" w:tentative="0">
      <w:start w:val="5"/>
      <w:numFmt w:val="chineseCounting"/>
      <w:suff w:val="space"/>
      <w:lvlText w:val="第%1部分"/>
      <w:lvlJc w:val="left"/>
      <w:rPr>
        <w:rFonts w:hint="eastAsia"/>
      </w:rPr>
    </w:lvl>
  </w:abstractNum>
  <w:abstractNum w:abstractNumId="6">
    <w:nsid w:val="5A0F3AED"/>
    <w:multiLevelType w:val="singleLevel"/>
    <w:tmpl w:val="5A0F3AED"/>
    <w:lvl w:ilvl="0" w:tentative="0">
      <w:start w:val="1"/>
      <w:numFmt w:val="decimal"/>
      <w:suff w:val="nothing"/>
      <w:lvlText w:val="%1、"/>
      <w:lvlJc w:val="left"/>
    </w:lvl>
  </w:abstractNum>
  <w:abstractNum w:abstractNumId="7">
    <w:nsid w:val="6E014B64"/>
    <w:multiLevelType w:val="singleLevel"/>
    <w:tmpl w:val="6E014B64"/>
    <w:lvl w:ilvl="0" w:tentative="0">
      <w:start w:val="2"/>
      <w:numFmt w:val="chineseCounting"/>
      <w:suff w:val="nothing"/>
      <w:lvlText w:val="%1、"/>
      <w:lvlJc w:val="left"/>
      <w:rPr>
        <w:rFonts w:hint="eastAsia"/>
      </w:rPr>
    </w:lvl>
  </w:abstractNum>
  <w:num w:numId="1">
    <w:abstractNumId w:val="6"/>
  </w:num>
  <w:num w:numId="2">
    <w:abstractNumId w:val="7"/>
  </w:num>
  <w:num w:numId="3">
    <w:abstractNumId w:val="1"/>
  </w:num>
  <w:num w:numId="4">
    <w:abstractNumId w:val="4"/>
  </w:num>
  <w:num w:numId="5">
    <w:abstractNumId w:val="5"/>
  </w:num>
  <w:num w:numId="6">
    <w:abstractNumId w:val="2"/>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gxMTA1M2I0MDYxZGFiNjRjNmU1MGIyZGQ1NGRjNTcifQ=="/>
  </w:docVars>
  <w:rsids>
    <w:rsidRoot w:val="00F93D57"/>
    <w:rsid w:val="00050A51"/>
    <w:rsid w:val="0009507F"/>
    <w:rsid w:val="000A7DEE"/>
    <w:rsid w:val="000B7C60"/>
    <w:rsid w:val="000E028A"/>
    <w:rsid w:val="000F2E7C"/>
    <w:rsid w:val="00120129"/>
    <w:rsid w:val="00144730"/>
    <w:rsid w:val="00156D43"/>
    <w:rsid w:val="001C5521"/>
    <w:rsid w:val="001F40F8"/>
    <w:rsid w:val="00231CD8"/>
    <w:rsid w:val="00270FCB"/>
    <w:rsid w:val="00294C12"/>
    <w:rsid w:val="002D4F41"/>
    <w:rsid w:val="002E435A"/>
    <w:rsid w:val="002F4C68"/>
    <w:rsid w:val="00364900"/>
    <w:rsid w:val="0038185F"/>
    <w:rsid w:val="003A15EE"/>
    <w:rsid w:val="003A3EF8"/>
    <w:rsid w:val="00451018"/>
    <w:rsid w:val="00454DD4"/>
    <w:rsid w:val="00470F9F"/>
    <w:rsid w:val="00477043"/>
    <w:rsid w:val="004D2655"/>
    <w:rsid w:val="00517729"/>
    <w:rsid w:val="005423F8"/>
    <w:rsid w:val="00595773"/>
    <w:rsid w:val="00644AD3"/>
    <w:rsid w:val="00671593"/>
    <w:rsid w:val="006D03D4"/>
    <w:rsid w:val="006F7E6D"/>
    <w:rsid w:val="0073325C"/>
    <w:rsid w:val="007756C4"/>
    <w:rsid w:val="007F7435"/>
    <w:rsid w:val="008051E3"/>
    <w:rsid w:val="008226B3"/>
    <w:rsid w:val="00824206"/>
    <w:rsid w:val="00847E7B"/>
    <w:rsid w:val="00873BD3"/>
    <w:rsid w:val="008B0269"/>
    <w:rsid w:val="008C2C36"/>
    <w:rsid w:val="008C58A6"/>
    <w:rsid w:val="008D7FA8"/>
    <w:rsid w:val="00932C2A"/>
    <w:rsid w:val="009858E2"/>
    <w:rsid w:val="009B40C4"/>
    <w:rsid w:val="009C409A"/>
    <w:rsid w:val="009C7CC0"/>
    <w:rsid w:val="00AA1075"/>
    <w:rsid w:val="00AA27BB"/>
    <w:rsid w:val="00AB5FFF"/>
    <w:rsid w:val="00B02664"/>
    <w:rsid w:val="00B06E28"/>
    <w:rsid w:val="00B250CC"/>
    <w:rsid w:val="00B57EEF"/>
    <w:rsid w:val="00BA4035"/>
    <w:rsid w:val="00BB3B53"/>
    <w:rsid w:val="00BC6CC6"/>
    <w:rsid w:val="00BE6E00"/>
    <w:rsid w:val="00CB6637"/>
    <w:rsid w:val="00D62A06"/>
    <w:rsid w:val="00D7008B"/>
    <w:rsid w:val="00DC3DD4"/>
    <w:rsid w:val="00DD5777"/>
    <w:rsid w:val="00DD7A75"/>
    <w:rsid w:val="00DE6AB6"/>
    <w:rsid w:val="00E071F7"/>
    <w:rsid w:val="00F26159"/>
    <w:rsid w:val="00F264E2"/>
    <w:rsid w:val="00F54B44"/>
    <w:rsid w:val="00F552C8"/>
    <w:rsid w:val="00F93D57"/>
    <w:rsid w:val="00F94870"/>
    <w:rsid w:val="00FB532D"/>
    <w:rsid w:val="00FC0732"/>
    <w:rsid w:val="00FC25FA"/>
    <w:rsid w:val="00FD01C4"/>
    <w:rsid w:val="01691B76"/>
    <w:rsid w:val="023D293E"/>
    <w:rsid w:val="05945023"/>
    <w:rsid w:val="075A7AEE"/>
    <w:rsid w:val="09614D8F"/>
    <w:rsid w:val="09D678FF"/>
    <w:rsid w:val="09EB3A02"/>
    <w:rsid w:val="0C395673"/>
    <w:rsid w:val="0D0C521D"/>
    <w:rsid w:val="0E4B71D2"/>
    <w:rsid w:val="0EFA02AE"/>
    <w:rsid w:val="0F7C66D6"/>
    <w:rsid w:val="10FF6CE8"/>
    <w:rsid w:val="12ED1BFE"/>
    <w:rsid w:val="135E5057"/>
    <w:rsid w:val="13857CA0"/>
    <w:rsid w:val="138C102F"/>
    <w:rsid w:val="1439090B"/>
    <w:rsid w:val="14411AB0"/>
    <w:rsid w:val="144679F0"/>
    <w:rsid w:val="144B0B25"/>
    <w:rsid w:val="14753710"/>
    <w:rsid w:val="15327E31"/>
    <w:rsid w:val="157F59D7"/>
    <w:rsid w:val="164764B4"/>
    <w:rsid w:val="17C92604"/>
    <w:rsid w:val="18697B91"/>
    <w:rsid w:val="194F322A"/>
    <w:rsid w:val="19CF036F"/>
    <w:rsid w:val="1A736AA5"/>
    <w:rsid w:val="1AF057A7"/>
    <w:rsid w:val="1AF5485E"/>
    <w:rsid w:val="1B1F4E7E"/>
    <w:rsid w:val="1B334C22"/>
    <w:rsid w:val="1B7927E1"/>
    <w:rsid w:val="1CB82E95"/>
    <w:rsid w:val="1CD11261"/>
    <w:rsid w:val="1DED4DC0"/>
    <w:rsid w:val="1E4C7F89"/>
    <w:rsid w:val="1ED43294"/>
    <w:rsid w:val="1F5D0F05"/>
    <w:rsid w:val="1FEF3071"/>
    <w:rsid w:val="20FF690F"/>
    <w:rsid w:val="217F1324"/>
    <w:rsid w:val="21CB53AE"/>
    <w:rsid w:val="21D34E70"/>
    <w:rsid w:val="224B0307"/>
    <w:rsid w:val="22904B28"/>
    <w:rsid w:val="22E36792"/>
    <w:rsid w:val="2370378E"/>
    <w:rsid w:val="251E1D03"/>
    <w:rsid w:val="2572156F"/>
    <w:rsid w:val="25C66622"/>
    <w:rsid w:val="25F413E1"/>
    <w:rsid w:val="264D0AF2"/>
    <w:rsid w:val="26727FA6"/>
    <w:rsid w:val="274301E8"/>
    <w:rsid w:val="27466D84"/>
    <w:rsid w:val="276509B1"/>
    <w:rsid w:val="28834C9E"/>
    <w:rsid w:val="289562B8"/>
    <w:rsid w:val="28B9421C"/>
    <w:rsid w:val="297B4512"/>
    <w:rsid w:val="2A3A2B91"/>
    <w:rsid w:val="2BE55328"/>
    <w:rsid w:val="2C3D6F12"/>
    <w:rsid w:val="2CA13DF9"/>
    <w:rsid w:val="2D487DFF"/>
    <w:rsid w:val="2D636E4D"/>
    <w:rsid w:val="2E1078B5"/>
    <w:rsid w:val="304778B0"/>
    <w:rsid w:val="308E5F8F"/>
    <w:rsid w:val="30AE4883"/>
    <w:rsid w:val="32382656"/>
    <w:rsid w:val="32566F80"/>
    <w:rsid w:val="32B55A55"/>
    <w:rsid w:val="33BE6EC6"/>
    <w:rsid w:val="34141103"/>
    <w:rsid w:val="355E6877"/>
    <w:rsid w:val="35C3492C"/>
    <w:rsid w:val="37E4238A"/>
    <w:rsid w:val="38AF1198"/>
    <w:rsid w:val="38DF7CCF"/>
    <w:rsid w:val="39264BF8"/>
    <w:rsid w:val="39AC56D7"/>
    <w:rsid w:val="3B5C6D32"/>
    <w:rsid w:val="3BB14DD3"/>
    <w:rsid w:val="3BD36E08"/>
    <w:rsid w:val="3C853BB1"/>
    <w:rsid w:val="3D8C7CFA"/>
    <w:rsid w:val="3E3D7695"/>
    <w:rsid w:val="3E815385"/>
    <w:rsid w:val="3F31063E"/>
    <w:rsid w:val="3FC079FF"/>
    <w:rsid w:val="3FCB5719"/>
    <w:rsid w:val="3FFF3573"/>
    <w:rsid w:val="402B55A8"/>
    <w:rsid w:val="40595F58"/>
    <w:rsid w:val="415C79E3"/>
    <w:rsid w:val="418C79FF"/>
    <w:rsid w:val="43C20EE5"/>
    <w:rsid w:val="43D32954"/>
    <w:rsid w:val="43DE7CEC"/>
    <w:rsid w:val="44FA28CA"/>
    <w:rsid w:val="45717F01"/>
    <w:rsid w:val="47163C12"/>
    <w:rsid w:val="475C073D"/>
    <w:rsid w:val="482422F2"/>
    <w:rsid w:val="485D651B"/>
    <w:rsid w:val="48C65906"/>
    <w:rsid w:val="4AB56AE2"/>
    <w:rsid w:val="4B182BCD"/>
    <w:rsid w:val="4B7C0C17"/>
    <w:rsid w:val="4E606EDA"/>
    <w:rsid w:val="4F26273B"/>
    <w:rsid w:val="4FFF25AD"/>
    <w:rsid w:val="50047BC4"/>
    <w:rsid w:val="5038161B"/>
    <w:rsid w:val="50746AF7"/>
    <w:rsid w:val="5077607E"/>
    <w:rsid w:val="536470BF"/>
    <w:rsid w:val="53B67427"/>
    <w:rsid w:val="53B915FF"/>
    <w:rsid w:val="548C31C2"/>
    <w:rsid w:val="54D14486"/>
    <w:rsid w:val="54FC530D"/>
    <w:rsid w:val="54FF095A"/>
    <w:rsid w:val="559519EA"/>
    <w:rsid w:val="57E45557"/>
    <w:rsid w:val="59F6057D"/>
    <w:rsid w:val="5AD07755"/>
    <w:rsid w:val="5AE34EAB"/>
    <w:rsid w:val="5B035313"/>
    <w:rsid w:val="5B8E1144"/>
    <w:rsid w:val="5BA87F9D"/>
    <w:rsid w:val="5BCA3A6F"/>
    <w:rsid w:val="5C5118C4"/>
    <w:rsid w:val="5C5D6F1E"/>
    <w:rsid w:val="5D1D108A"/>
    <w:rsid w:val="5D8660BC"/>
    <w:rsid w:val="5FD517CA"/>
    <w:rsid w:val="61F41846"/>
    <w:rsid w:val="62CE6A89"/>
    <w:rsid w:val="63A57A90"/>
    <w:rsid w:val="63B752BE"/>
    <w:rsid w:val="642D103F"/>
    <w:rsid w:val="643A375C"/>
    <w:rsid w:val="64EE6A20"/>
    <w:rsid w:val="64F62484"/>
    <w:rsid w:val="66372649"/>
    <w:rsid w:val="67256946"/>
    <w:rsid w:val="67966EFB"/>
    <w:rsid w:val="6AA95198"/>
    <w:rsid w:val="6B051C76"/>
    <w:rsid w:val="6B152F5A"/>
    <w:rsid w:val="6CD7423E"/>
    <w:rsid w:val="6E957F0D"/>
    <w:rsid w:val="6F29091E"/>
    <w:rsid w:val="70AB3A18"/>
    <w:rsid w:val="70BC134B"/>
    <w:rsid w:val="71997D14"/>
    <w:rsid w:val="72067563"/>
    <w:rsid w:val="72374F86"/>
    <w:rsid w:val="72E77295"/>
    <w:rsid w:val="72FD155C"/>
    <w:rsid w:val="754E7C24"/>
    <w:rsid w:val="75B710B1"/>
    <w:rsid w:val="768216BE"/>
    <w:rsid w:val="77707769"/>
    <w:rsid w:val="7806482E"/>
    <w:rsid w:val="782642CC"/>
    <w:rsid w:val="78B611AB"/>
    <w:rsid w:val="79263DF0"/>
    <w:rsid w:val="79366790"/>
    <w:rsid w:val="79CD393F"/>
    <w:rsid w:val="79D73ACF"/>
    <w:rsid w:val="7B5829EE"/>
    <w:rsid w:val="7BE2675B"/>
    <w:rsid w:val="7C914409"/>
    <w:rsid w:val="7C9E08D4"/>
    <w:rsid w:val="7DDE1326"/>
    <w:rsid w:val="7DF2712A"/>
    <w:rsid w:val="7E3A2CA5"/>
    <w:rsid w:val="7E521976"/>
    <w:rsid w:val="7E5F5E41"/>
    <w:rsid w:val="7EB42631"/>
    <w:rsid w:val="7F64263C"/>
    <w:rsid w:val="7F934D2E"/>
    <w:rsid w:val="7FE7319C"/>
    <w:rsid w:val="BEE7D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9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paragraph" w:styleId="2">
    <w:name w:val="heading 3"/>
    <w:basedOn w:val="1"/>
    <w:next w:val="1"/>
    <w:qFormat/>
    <w:uiPriority w:val="99"/>
    <w:pPr>
      <w:keepNext/>
      <w:keepLines/>
      <w:adjustRightInd w:val="0"/>
      <w:spacing w:before="260" w:after="260" w:line="416" w:lineRule="atLeast"/>
      <w:textAlignment w:val="baseline"/>
      <w:outlineLvl w:val="2"/>
    </w:pPr>
    <w:rPr>
      <w:b/>
      <w:bCs/>
      <w:sz w:val="32"/>
      <w:szCs w:val="32"/>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Body Text Indent"/>
    <w:basedOn w:val="1"/>
    <w:next w:val="5"/>
    <w:qFormat/>
    <w:uiPriority w:val="99"/>
    <w:pPr>
      <w:spacing w:after="156"/>
      <w:ind w:firstLine="480"/>
    </w:pPr>
    <w:rPr>
      <w:sz w:val="24"/>
      <w:szCs w:val="24"/>
    </w:rPr>
  </w:style>
  <w:style w:type="paragraph" w:styleId="5">
    <w:name w:val="envelope return"/>
    <w:basedOn w:val="1"/>
    <w:qFormat/>
    <w:uiPriority w:val="99"/>
    <w:pPr>
      <w:snapToGrid w:val="0"/>
    </w:pPr>
    <w:rPr>
      <w:rFonts w:ascii="Arial" w:hAnsi="Arial" w:cs="Arial"/>
    </w:rPr>
  </w:style>
  <w:style w:type="paragraph" w:styleId="6">
    <w:name w:val="Plain Text"/>
    <w:basedOn w:val="1"/>
    <w:next w:val="7"/>
    <w:qFormat/>
    <w:uiPriority w:val="99"/>
    <w:rPr>
      <w:rFonts w:ascii="宋体" w:hAnsi="Courier New"/>
    </w:rPr>
  </w:style>
  <w:style w:type="paragraph" w:styleId="7">
    <w:name w:val="toc 2"/>
    <w:basedOn w:val="1"/>
    <w:next w:val="1"/>
    <w:semiHidden/>
    <w:qFormat/>
    <w:uiPriority w:val="99"/>
    <w:pPr>
      <w:ind w:left="210"/>
      <w:jc w:val="left"/>
    </w:pPr>
    <w:rPr>
      <w:smallCaps/>
      <w:sz w:val="20"/>
      <w:szCs w:val="20"/>
    </w:rPr>
  </w:style>
  <w:style w:type="paragraph" w:styleId="8">
    <w:name w:val="Balloon Text"/>
    <w:basedOn w:val="1"/>
    <w:link w:val="18"/>
    <w:qFormat/>
    <w:uiPriority w:val="0"/>
    <w:rPr>
      <w:sz w:val="18"/>
      <w:szCs w:val="18"/>
    </w:rPr>
  </w:style>
  <w:style w:type="paragraph" w:styleId="9">
    <w:name w:val="footer"/>
    <w:basedOn w:val="1"/>
    <w:link w:val="20"/>
    <w:qFormat/>
    <w:uiPriority w:val="99"/>
    <w:pPr>
      <w:tabs>
        <w:tab w:val="center" w:pos="4153"/>
        <w:tab w:val="right" w:pos="8306"/>
      </w:tabs>
      <w:snapToGrid w:val="0"/>
      <w:jc w:val="left"/>
    </w:pPr>
    <w:rPr>
      <w:rFonts w:ascii="Times New Roman" w:hAnsi="Times New Roman" w:eastAsia="宋体"/>
      <w:sz w:val="18"/>
      <w:szCs w:val="20"/>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Body Text First Indent"/>
    <w:basedOn w:val="3"/>
    <w:qFormat/>
    <w:uiPriority w:val="0"/>
    <w:pPr>
      <w:ind w:firstLine="420" w:firstLineChars="100"/>
    </w:pPr>
    <w:rPr>
      <w:rFonts w:ascii="Times New Roman" w:hAnsi="Times New Roman" w:cs="Times New Roman"/>
      <w:sz w:val="20"/>
      <w:szCs w:val="24"/>
    </w:rPr>
  </w:style>
  <w:style w:type="character" w:styleId="14">
    <w:name w:val="HTML Typewriter"/>
    <w:qFormat/>
    <w:uiPriority w:val="0"/>
    <w:rPr>
      <w:rFonts w:ascii="黑体" w:hAnsi="Courier New" w:eastAsia="黑体" w:cs="Courier New"/>
      <w:sz w:val="14"/>
      <w:szCs w:val="14"/>
    </w:rPr>
  </w:style>
  <w:style w:type="paragraph" w:customStyle="1" w:styleId="15">
    <w:name w:val="目录 82"/>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6">
    <w:name w:val="正文1"/>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character" w:customStyle="1" w:styleId="17">
    <w:name w:val="font11"/>
    <w:basedOn w:val="13"/>
    <w:qFormat/>
    <w:uiPriority w:val="0"/>
    <w:rPr>
      <w:rFonts w:hint="eastAsia" w:ascii="宋体" w:hAnsi="宋体" w:eastAsia="宋体" w:cs="宋体"/>
      <w:color w:val="000000"/>
      <w:sz w:val="22"/>
      <w:szCs w:val="22"/>
      <w:u w:val="none"/>
    </w:rPr>
  </w:style>
  <w:style w:type="character" w:customStyle="1" w:styleId="18">
    <w:name w:val="批注框文本 字符"/>
    <w:basedOn w:val="13"/>
    <w:link w:val="8"/>
    <w:qFormat/>
    <w:uiPriority w:val="0"/>
    <w:rPr>
      <w:rFonts w:asciiTheme="minorHAnsi" w:hAnsiTheme="minorHAnsi" w:eastAsiaTheme="minorEastAsia" w:cstheme="minorBidi"/>
      <w:sz w:val="18"/>
      <w:szCs w:val="18"/>
    </w:rPr>
  </w:style>
  <w:style w:type="paragraph" w:customStyle="1" w:styleId="19">
    <w:name w:val="Table Paragraph"/>
    <w:basedOn w:val="1"/>
    <w:qFormat/>
    <w:uiPriority w:val="1"/>
    <w:rPr>
      <w:rFonts w:ascii="宋体" w:hAnsi="宋体" w:eastAsia="宋体" w:cs="宋体"/>
      <w:lang w:val="zh-CN" w:bidi="zh-CN"/>
    </w:rPr>
  </w:style>
  <w:style w:type="character" w:customStyle="1" w:styleId="20">
    <w:name w:val="页脚 字符"/>
    <w:basedOn w:val="13"/>
    <w:link w:val="9"/>
    <w:qFormat/>
    <w:uiPriority w:val="99"/>
    <w:rPr>
      <w:rFonts w:cstheme="minorBidi"/>
      <w:sz w:val="18"/>
    </w:rPr>
  </w:style>
  <w:style w:type="paragraph" w:customStyle="1" w:styleId="21">
    <w:name w:val="正文缩进2格"/>
    <w:basedOn w:val="1"/>
    <w:qFormat/>
    <w:uiPriority w:val="0"/>
    <w:pPr>
      <w:spacing w:line="600" w:lineRule="exact"/>
      <w:ind w:firstLine="639" w:firstLineChars="206"/>
    </w:pPr>
    <w:rPr>
      <w:rFonts w:ascii="仿宋_GB2312" w:hAnsi="宋体" w:eastAsia="仿宋_GB2312"/>
      <w:sz w:val="31"/>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54</Pages>
  <Words>29677</Words>
  <Characters>30949</Characters>
  <Lines>237</Lines>
  <Paragraphs>66</Paragraphs>
  <TotalTime>21</TotalTime>
  <ScaleCrop>false</ScaleCrop>
  <LinksUpToDate>false</LinksUpToDate>
  <CharactersWithSpaces>32132</CharactersWithSpaces>
  <Application>WPS Office_12.9.0.18028_F1E327BC-269C-435d-A152-05C5408002CA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2025-06-13T07:23:00Z</dcterms:created>
  <dc:creator>wlgc-beiyon</dc:creator>
  <cp:lastModifiedBy>陆小波</cp:lastModifiedBy>
  <cp:lastPrinted>2024-11-30T02:40:00Z</cp:lastPrinted>
  <dcterms:modified xsi:type="dcterms:W3CDTF">2025-10-14T01:13:34Z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2052-12.9.0.18028</vt:lpwstr>
  </property>
  <property fmtid="{D5CDD505-2E9C-101B-9397-08002B2CF9AE}" pid="3" name="ICV">
    <vt:lpwstr>A85E0D23E6534E85B31A3B9FCD6CD4AD_13</vt:lpwstr>
  </property>
  <property fmtid="{D5CDD505-2E9C-101B-9397-08002B2CF9AE}" pid="4" name="KSOTemplateDocerSaveRecord">
    <vt:lpwstr>eyJoZGlkIjoiMzdmOTY3NjZjMGJmYjIzOGQwM2VjODc3YjAyMTdkYzQiLCJ1c2VySWQiOiIxMDc1NjAyNjIzIn0=</vt:lpwstr>
  </property>
</Properties>
</file>