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29CA">
      <w:pPr>
        <w:rPr>
          <w:rFonts w:ascii="宋体" w:hAnsi="宋体" w:cs="宋体"/>
          <w:b/>
          <w:color w:val="auto"/>
          <w:sz w:val="36"/>
          <w:szCs w:val="36"/>
          <w:highlight w:val="none"/>
        </w:rPr>
      </w:pPr>
      <w:bookmarkStart w:id="153" w:name="_GoBack"/>
      <w:bookmarkEnd w:id="153"/>
    </w:p>
    <w:p w14:paraId="1CABD1ED">
      <w:pPr>
        <w:autoSpaceDE w:val="0"/>
        <w:autoSpaceDN w:val="0"/>
        <w:adjustRightInd w:val="0"/>
        <w:spacing w:line="1000" w:lineRule="exact"/>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2026年南通市公路事业发展中心基础环境与安全运维服务项目</w:t>
      </w:r>
    </w:p>
    <w:p w14:paraId="42FAF2FB">
      <w:pPr>
        <w:pStyle w:val="18"/>
        <w:rPr>
          <w:rFonts w:ascii="宋体" w:hAnsi="宋体" w:cs="宋体"/>
          <w:color w:val="auto"/>
          <w:highlight w:val="none"/>
        </w:rPr>
      </w:pPr>
    </w:p>
    <w:p w14:paraId="05AC2C92">
      <w:pPr>
        <w:pStyle w:val="18"/>
        <w:rPr>
          <w:rFonts w:ascii="宋体" w:hAnsi="宋体" w:cs="宋体"/>
          <w:color w:val="auto"/>
          <w:highlight w:val="none"/>
        </w:rPr>
      </w:pPr>
    </w:p>
    <w:p w14:paraId="6C5B0957">
      <w:pPr>
        <w:tabs>
          <w:tab w:val="left" w:pos="6300"/>
        </w:tabs>
        <w:snapToGrid w:val="0"/>
        <w:spacing w:line="300" w:lineRule="auto"/>
        <w:jc w:val="center"/>
        <w:rPr>
          <w:rFonts w:ascii="宋体" w:hAnsi="宋体" w:cs="宋体"/>
          <w:b/>
          <w:color w:val="auto"/>
          <w:w w:val="80"/>
          <w:sz w:val="96"/>
          <w:szCs w:val="96"/>
          <w:highlight w:val="none"/>
        </w:rPr>
      </w:pPr>
      <w:r>
        <w:rPr>
          <w:rFonts w:hint="eastAsia" w:ascii="宋体" w:hAnsi="宋体" w:cs="宋体"/>
          <w:b/>
          <w:color w:val="auto"/>
          <w:w w:val="80"/>
          <w:sz w:val="96"/>
          <w:szCs w:val="96"/>
          <w:highlight w:val="none"/>
        </w:rPr>
        <w:t>竞争性磋商文件</w:t>
      </w:r>
    </w:p>
    <w:p w14:paraId="4D87F24F">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lang w:val="en-US" w:eastAsia="zh-CN"/>
        </w:rPr>
        <w:t>项目编号：2026AQYW</w:t>
      </w:r>
    </w:p>
    <w:p w14:paraId="36959DCD">
      <w:pPr>
        <w:tabs>
          <w:tab w:val="left" w:pos="6300"/>
        </w:tabs>
        <w:snapToGrid w:val="0"/>
        <w:spacing w:line="300" w:lineRule="auto"/>
        <w:ind w:firstLine="3087" w:firstLineChars="1200"/>
        <w:jc w:val="both"/>
        <w:rPr>
          <w:rFonts w:hint="default"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档案编号：20251122</w:t>
      </w:r>
    </w:p>
    <w:p w14:paraId="4784C0F7">
      <w:pPr>
        <w:tabs>
          <w:tab w:val="left" w:pos="6300"/>
        </w:tabs>
        <w:snapToGrid w:val="0"/>
        <w:spacing w:line="300" w:lineRule="auto"/>
        <w:ind w:firstLine="2830" w:firstLineChars="1100"/>
        <w:rPr>
          <w:rFonts w:ascii="宋体" w:hAnsi="宋体" w:cs="宋体"/>
          <w:b/>
          <w:snapToGrid w:val="0"/>
          <w:color w:val="auto"/>
          <w:w w:val="80"/>
          <w:kern w:val="0"/>
          <w:sz w:val="32"/>
          <w:szCs w:val="32"/>
          <w:highlight w:val="none"/>
        </w:rPr>
      </w:pPr>
    </w:p>
    <w:p w14:paraId="1C272296">
      <w:pPr>
        <w:autoSpaceDE w:val="0"/>
        <w:autoSpaceDN w:val="0"/>
        <w:adjustRightInd w:val="0"/>
        <w:spacing w:line="360" w:lineRule="auto"/>
        <w:ind w:firstLine="420"/>
        <w:jc w:val="center"/>
        <w:rPr>
          <w:rFonts w:ascii="宋体" w:hAnsi="宋体" w:cs="宋体"/>
          <w:color w:val="auto"/>
          <w:szCs w:val="21"/>
          <w:highlight w:val="none"/>
        </w:rPr>
      </w:pPr>
    </w:p>
    <w:p w14:paraId="075DEF2F">
      <w:pPr>
        <w:autoSpaceDE w:val="0"/>
        <w:autoSpaceDN w:val="0"/>
        <w:adjustRightInd w:val="0"/>
        <w:spacing w:line="360" w:lineRule="auto"/>
        <w:ind w:firstLine="420"/>
        <w:jc w:val="center"/>
        <w:rPr>
          <w:rFonts w:ascii="宋体" w:hAnsi="宋体" w:cs="宋体"/>
          <w:color w:val="auto"/>
          <w:szCs w:val="21"/>
          <w:highlight w:val="none"/>
        </w:rPr>
      </w:pPr>
    </w:p>
    <w:p w14:paraId="046A3A87">
      <w:pPr>
        <w:autoSpaceDE w:val="0"/>
        <w:autoSpaceDN w:val="0"/>
        <w:adjustRightInd w:val="0"/>
        <w:spacing w:line="360" w:lineRule="auto"/>
        <w:ind w:firstLine="420"/>
        <w:jc w:val="center"/>
        <w:rPr>
          <w:rFonts w:ascii="宋体" w:hAnsi="宋体" w:cs="宋体"/>
          <w:color w:val="auto"/>
          <w:szCs w:val="21"/>
          <w:highlight w:val="none"/>
        </w:rPr>
      </w:pPr>
    </w:p>
    <w:p w14:paraId="7A2C676B">
      <w:pPr>
        <w:autoSpaceDE w:val="0"/>
        <w:autoSpaceDN w:val="0"/>
        <w:adjustRightInd w:val="0"/>
        <w:spacing w:line="360" w:lineRule="auto"/>
        <w:ind w:firstLine="420"/>
        <w:jc w:val="center"/>
        <w:rPr>
          <w:rFonts w:ascii="宋体" w:hAnsi="宋体" w:cs="宋体"/>
          <w:color w:val="auto"/>
          <w:szCs w:val="21"/>
          <w:highlight w:val="none"/>
        </w:rPr>
      </w:pPr>
    </w:p>
    <w:p w14:paraId="3346916F">
      <w:pPr>
        <w:autoSpaceDE w:val="0"/>
        <w:autoSpaceDN w:val="0"/>
        <w:adjustRightInd w:val="0"/>
        <w:spacing w:line="360" w:lineRule="auto"/>
        <w:ind w:firstLine="420"/>
        <w:jc w:val="center"/>
        <w:rPr>
          <w:rFonts w:ascii="宋体" w:hAnsi="宋体" w:cs="宋体"/>
          <w:color w:val="auto"/>
          <w:szCs w:val="21"/>
          <w:highlight w:val="none"/>
        </w:rPr>
      </w:pPr>
    </w:p>
    <w:p w14:paraId="67C81B8C">
      <w:pPr>
        <w:autoSpaceDE w:val="0"/>
        <w:autoSpaceDN w:val="0"/>
        <w:adjustRightInd w:val="0"/>
        <w:spacing w:line="360" w:lineRule="auto"/>
        <w:ind w:firstLine="420"/>
        <w:jc w:val="center"/>
        <w:rPr>
          <w:rFonts w:ascii="宋体" w:hAnsi="宋体" w:cs="宋体"/>
          <w:color w:val="auto"/>
          <w:szCs w:val="21"/>
          <w:highlight w:val="none"/>
        </w:rPr>
      </w:pPr>
    </w:p>
    <w:p w14:paraId="18802255">
      <w:pPr>
        <w:autoSpaceDE w:val="0"/>
        <w:autoSpaceDN w:val="0"/>
        <w:adjustRightInd w:val="0"/>
        <w:spacing w:line="360" w:lineRule="auto"/>
        <w:ind w:firstLine="420"/>
        <w:jc w:val="center"/>
        <w:rPr>
          <w:rFonts w:ascii="宋体" w:hAnsi="宋体" w:cs="宋体"/>
          <w:color w:val="auto"/>
          <w:szCs w:val="21"/>
          <w:highlight w:val="none"/>
        </w:rPr>
      </w:pPr>
    </w:p>
    <w:p w14:paraId="47AF95AA">
      <w:pPr>
        <w:autoSpaceDE w:val="0"/>
        <w:autoSpaceDN w:val="0"/>
        <w:adjustRightInd w:val="0"/>
        <w:jc w:val="center"/>
        <w:rPr>
          <w:rFonts w:ascii="宋体" w:hAnsi="宋体" w:cs="宋体"/>
          <w:color w:val="auto"/>
          <w:szCs w:val="21"/>
          <w:highlight w:val="none"/>
        </w:rPr>
      </w:pPr>
    </w:p>
    <w:p w14:paraId="7ABA66A7">
      <w:pPr>
        <w:autoSpaceDE w:val="0"/>
        <w:autoSpaceDN w:val="0"/>
        <w:adjustRightInd w:val="0"/>
        <w:spacing w:line="360" w:lineRule="auto"/>
        <w:ind w:firstLine="420"/>
        <w:jc w:val="center"/>
        <w:rPr>
          <w:rFonts w:ascii="宋体" w:hAnsi="宋体" w:cs="宋体"/>
          <w:color w:val="auto"/>
          <w:szCs w:val="21"/>
          <w:highlight w:val="none"/>
        </w:rPr>
      </w:pPr>
    </w:p>
    <w:p w14:paraId="220D0DF3">
      <w:pPr>
        <w:autoSpaceDE w:val="0"/>
        <w:autoSpaceDN w:val="0"/>
        <w:adjustRightInd w:val="0"/>
        <w:spacing w:line="360" w:lineRule="auto"/>
        <w:ind w:firstLine="420"/>
        <w:jc w:val="center"/>
        <w:rPr>
          <w:rFonts w:ascii="宋体" w:hAnsi="宋体" w:cs="宋体"/>
          <w:color w:val="auto"/>
          <w:szCs w:val="21"/>
          <w:highlight w:val="none"/>
        </w:rPr>
      </w:pPr>
    </w:p>
    <w:p w14:paraId="2C27A476">
      <w:pPr>
        <w:autoSpaceDE w:val="0"/>
        <w:autoSpaceDN w:val="0"/>
        <w:adjustRightInd w:val="0"/>
        <w:spacing w:line="360" w:lineRule="auto"/>
        <w:rPr>
          <w:rFonts w:ascii="宋体" w:hAnsi="宋体" w:cs="宋体"/>
          <w:color w:val="auto"/>
          <w:szCs w:val="21"/>
          <w:highlight w:val="none"/>
        </w:rPr>
      </w:pPr>
    </w:p>
    <w:p w14:paraId="57A0D841">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   购   人：南通市公路事业发展中心</w:t>
      </w:r>
    </w:p>
    <w:p w14:paraId="571CC6FD">
      <w:pPr>
        <w:adjustRightInd w:val="0"/>
        <w:snapToGrid w:val="0"/>
        <w:spacing w:line="360" w:lineRule="auto"/>
        <w:ind w:firstLine="602" w:firstLineChars="20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采购代理机构：</w:t>
      </w:r>
      <w:r>
        <w:rPr>
          <w:rFonts w:hint="eastAsia" w:ascii="宋体" w:hAnsi="宋体" w:cs="宋体"/>
          <w:b/>
          <w:color w:val="auto"/>
          <w:sz w:val="30"/>
          <w:szCs w:val="30"/>
          <w:highlight w:val="none"/>
          <w:lang w:eastAsia="zh-CN"/>
        </w:rPr>
        <w:t>捷宏润安工程顾问（江苏）有限公司</w:t>
      </w:r>
    </w:p>
    <w:p w14:paraId="023EADAB">
      <w:pPr>
        <w:adjustRightInd w:val="0"/>
        <w:snapToGrid w:val="0"/>
        <w:spacing w:line="360"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2025年</w:t>
      </w:r>
      <w:r>
        <w:rPr>
          <w:rFonts w:hint="eastAsia" w:ascii="宋体" w:hAnsi="宋体" w:cs="宋体"/>
          <w:b/>
          <w:color w:val="auto"/>
          <w:sz w:val="30"/>
          <w:szCs w:val="30"/>
          <w:highlight w:val="none"/>
          <w:lang w:val="en-US" w:eastAsia="zh-CN"/>
        </w:rPr>
        <w:tab/>
      </w:r>
      <w:r>
        <w:rPr>
          <w:rFonts w:hint="eastAsia" w:ascii="宋体" w:hAnsi="宋体" w:cs="宋体"/>
          <w:b/>
          <w:color w:val="auto"/>
          <w:sz w:val="30"/>
          <w:szCs w:val="30"/>
          <w:highlight w:val="none"/>
          <w:lang w:val="en-US" w:eastAsia="zh-CN"/>
        </w:rPr>
        <w:t>12</w:t>
      </w:r>
      <w:r>
        <w:rPr>
          <w:rFonts w:hint="eastAsia" w:ascii="宋体" w:hAnsi="宋体" w:cs="宋体"/>
          <w:b/>
          <w:color w:val="auto"/>
          <w:sz w:val="30"/>
          <w:szCs w:val="30"/>
          <w:highlight w:val="none"/>
        </w:rPr>
        <w:t>月</w:t>
      </w:r>
    </w:p>
    <w:p w14:paraId="743EA168">
      <w:pPr>
        <w:autoSpaceDE w:val="0"/>
        <w:autoSpaceDN w:val="0"/>
        <w:adjustRightInd w:val="0"/>
        <w:spacing w:line="360" w:lineRule="auto"/>
        <w:jc w:val="center"/>
        <w:outlineLvl w:val="0"/>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r>
        <w:rPr>
          <w:rFonts w:hint="eastAsia" w:ascii="宋体" w:hAnsi="宋体" w:cs="宋体"/>
          <w:b/>
          <w:bCs/>
          <w:color w:val="auto"/>
          <w:sz w:val="44"/>
          <w:szCs w:val="44"/>
          <w:highlight w:val="none"/>
          <w:lang w:val="zh-CN"/>
        </w:rPr>
        <w:t>目   录</w:t>
      </w:r>
    </w:p>
    <w:p w14:paraId="45D8E3E1">
      <w:pPr>
        <w:autoSpaceDE w:val="0"/>
        <w:autoSpaceDN w:val="0"/>
        <w:adjustRightInd w:val="0"/>
        <w:spacing w:line="480" w:lineRule="auto"/>
        <w:ind w:firstLine="556"/>
        <w:rPr>
          <w:rFonts w:ascii="宋体" w:hAnsi="宋体" w:cs="宋体"/>
          <w:b/>
          <w:bCs/>
          <w:color w:val="auto"/>
          <w:sz w:val="32"/>
          <w:szCs w:val="32"/>
          <w:highlight w:val="none"/>
        </w:rPr>
      </w:pPr>
    </w:p>
    <w:p w14:paraId="5CF6BA9E">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竞争性磋商公告</w:t>
      </w:r>
    </w:p>
    <w:p w14:paraId="5120B71D">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磋商须知</w:t>
      </w:r>
    </w:p>
    <w:p w14:paraId="61CFB728">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第三部分  项目需求</w:t>
      </w:r>
    </w:p>
    <w:p w14:paraId="7D7C8609">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第四部分  磋商程序和内容</w:t>
      </w:r>
    </w:p>
    <w:p w14:paraId="01884277">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第五部分  合同签订与验收付款</w:t>
      </w:r>
    </w:p>
    <w:p w14:paraId="330CC46A">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  质疑提出和处理</w:t>
      </w:r>
    </w:p>
    <w:p w14:paraId="48E188C5">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第七部分  响应文件组成</w:t>
      </w:r>
    </w:p>
    <w:p w14:paraId="7A603905">
      <w:pPr>
        <w:tabs>
          <w:tab w:val="left" w:pos="7740"/>
        </w:tabs>
        <w:spacing w:line="500" w:lineRule="exact"/>
        <w:rPr>
          <w:rFonts w:ascii="宋体" w:hAnsi="宋体" w:cs="宋体"/>
          <w:b/>
          <w:color w:val="auto"/>
          <w:spacing w:val="2"/>
          <w:sz w:val="32"/>
          <w:szCs w:val="32"/>
          <w:highlight w:val="none"/>
        </w:rPr>
      </w:pPr>
    </w:p>
    <w:p w14:paraId="0CE77F72">
      <w:pPr>
        <w:autoSpaceDE w:val="0"/>
        <w:autoSpaceDN w:val="0"/>
        <w:adjustRightInd w:val="0"/>
        <w:spacing w:line="540" w:lineRule="exact"/>
        <w:jc w:val="center"/>
        <w:rPr>
          <w:rFonts w:ascii="宋体" w:hAnsi="宋体" w:cs="宋体"/>
          <w:b/>
          <w:bCs/>
          <w:color w:val="auto"/>
          <w:sz w:val="36"/>
          <w:szCs w:val="36"/>
          <w:highlight w:val="none"/>
          <w:lang w:val="zh-CN"/>
        </w:rPr>
      </w:pPr>
    </w:p>
    <w:p w14:paraId="7EB15FC8">
      <w:pPr>
        <w:autoSpaceDE w:val="0"/>
        <w:autoSpaceDN w:val="0"/>
        <w:adjustRightInd w:val="0"/>
        <w:spacing w:line="540" w:lineRule="exact"/>
        <w:rPr>
          <w:rFonts w:ascii="宋体" w:hAnsi="宋体" w:cs="宋体"/>
          <w:b/>
          <w:bCs/>
          <w:color w:val="auto"/>
          <w:sz w:val="36"/>
          <w:szCs w:val="36"/>
          <w:highlight w:val="none"/>
          <w:lang w:val="zh-CN"/>
        </w:rPr>
      </w:pPr>
    </w:p>
    <w:p w14:paraId="76BFA547">
      <w:pPr>
        <w:autoSpaceDE w:val="0"/>
        <w:autoSpaceDN w:val="0"/>
        <w:adjustRightInd w:val="0"/>
        <w:spacing w:line="540" w:lineRule="exact"/>
        <w:jc w:val="center"/>
        <w:rPr>
          <w:rFonts w:ascii="宋体" w:hAnsi="宋体" w:cs="宋体"/>
          <w:b/>
          <w:bCs/>
          <w:color w:val="auto"/>
          <w:sz w:val="36"/>
          <w:szCs w:val="36"/>
          <w:highlight w:val="none"/>
          <w:lang w:val="zh-CN"/>
        </w:rPr>
      </w:pPr>
    </w:p>
    <w:p w14:paraId="7F345DE2">
      <w:pPr>
        <w:autoSpaceDE w:val="0"/>
        <w:autoSpaceDN w:val="0"/>
        <w:adjustRightInd w:val="0"/>
        <w:spacing w:line="540" w:lineRule="exact"/>
        <w:jc w:val="center"/>
        <w:rPr>
          <w:rFonts w:ascii="宋体" w:hAnsi="宋体" w:cs="宋体"/>
          <w:b/>
          <w:bCs/>
          <w:color w:val="auto"/>
          <w:sz w:val="36"/>
          <w:szCs w:val="36"/>
          <w:highlight w:val="none"/>
          <w:lang w:val="zh-CN"/>
        </w:rPr>
      </w:pPr>
    </w:p>
    <w:p w14:paraId="0B7B5570">
      <w:pPr>
        <w:autoSpaceDE w:val="0"/>
        <w:autoSpaceDN w:val="0"/>
        <w:adjustRightInd w:val="0"/>
        <w:spacing w:line="540" w:lineRule="exact"/>
        <w:jc w:val="center"/>
        <w:rPr>
          <w:rFonts w:ascii="宋体" w:hAnsi="宋体" w:cs="宋体"/>
          <w:b/>
          <w:bCs/>
          <w:color w:val="auto"/>
          <w:sz w:val="36"/>
          <w:szCs w:val="36"/>
          <w:highlight w:val="none"/>
          <w:lang w:val="zh-CN"/>
        </w:rPr>
      </w:pPr>
    </w:p>
    <w:p w14:paraId="266007DB">
      <w:pPr>
        <w:autoSpaceDE w:val="0"/>
        <w:autoSpaceDN w:val="0"/>
        <w:adjustRightInd w:val="0"/>
        <w:spacing w:line="540" w:lineRule="exact"/>
        <w:jc w:val="center"/>
        <w:rPr>
          <w:rFonts w:ascii="宋体" w:hAnsi="宋体" w:cs="宋体"/>
          <w:b/>
          <w:bCs/>
          <w:color w:val="auto"/>
          <w:sz w:val="36"/>
          <w:szCs w:val="36"/>
          <w:highlight w:val="none"/>
          <w:lang w:val="zh-CN"/>
        </w:rPr>
      </w:pPr>
    </w:p>
    <w:p w14:paraId="5F5D402A">
      <w:pPr>
        <w:autoSpaceDE w:val="0"/>
        <w:autoSpaceDN w:val="0"/>
        <w:adjustRightInd w:val="0"/>
        <w:spacing w:line="540" w:lineRule="exact"/>
        <w:rPr>
          <w:rFonts w:ascii="宋体" w:hAnsi="宋体" w:cs="宋体"/>
          <w:b/>
          <w:bCs/>
          <w:color w:val="auto"/>
          <w:sz w:val="36"/>
          <w:szCs w:val="36"/>
          <w:highlight w:val="none"/>
          <w:lang w:val="zh-CN"/>
        </w:rPr>
      </w:pPr>
    </w:p>
    <w:p w14:paraId="0EE00D08">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 xml:space="preserve">第一部分  </w:t>
      </w:r>
      <w:bookmarkStart w:id="0" w:name="_Hlk156306618"/>
      <w:r>
        <w:rPr>
          <w:rFonts w:hint="eastAsia" w:ascii="宋体" w:hAnsi="宋体" w:cs="宋体"/>
          <w:b/>
          <w:bCs/>
          <w:color w:val="auto"/>
          <w:sz w:val="36"/>
          <w:szCs w:val="36"/>
          <w:highlight w:val="none"/>
          <w:lang w:val="zh-CN"/>
        </w:rPr>
        <w:t>竞争性磋商公告</w:t>
      </w:r>
    </w:p>
    <w:p w14:paraId="356A4314">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一、项目基本情况</w:t>
      </w:r>
    </w:p>
    <w:p w14:paraId="60F89A2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1.项目</w:t>
      </w:r>
      <w:r>
        <w:rPr>
          <w:rFonts w:hint="eastAsia" w:ascii="宋体" w:hAnsi="宋体" w:cs="宋体"/>
          <w:color w:val="auto"/>
          <w:sz w:val="24"/>
          <w:highlight w:val="none"/>
          <w:lang w:eastAsia="zh-CN"/>
        </w:rPr>
        <w:t>编号：</w:t>
      </w:r>
      <w:r>
        <w:rPr>
          <w:rFonts w:hint="eastAsia" w:ascii="宋体" w:hAnsi="宋体" w:cs="宋体"/>
          <w:color w:val="auto"/>
          <w:sz w:val="24"/>
          <w:highlight w:val="none"/>
          <w:lang w:val="en-US" w:eastAsia="zh-CN"/>
        </w:rPr>
        <w:t>2026AQYW</w:t>
      </w:r>
    </w:p>
    <w:p w14:paraId="427437D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2026年南通市公路事业发展中心基础环境与安全运维服务项目</w:t>
      </w:r>
    </w:p>
    <w:p w14:paraId="1FE1946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3.项目类型：服务</w:t>
      </w:r>
    </w:p>
    <w:p w14:paraId="0118130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4.所属行业：其他未列明行业</w:t>
      </w:r>
    </w:p>
    <w:p w14:paraId="18B9B0D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5.预算金额：人民币</w:t>
      </w:r>
      <w:r>
        <w:rPr>
          <w:rFonts w:hint="eastAsia" w:ascii="宋体" w:hAnsi="宋体" w:cs="宋体"/>
          <w:color w:val="auto"/>
          <w:sz w:val="24"/>
          <w:highlight w:val="none"/>
          <w:lang w:val="en-US" w:eastAsia="zh-CN"/>
        </w:rPr>
        <w:t>肆拾柒万伍仟元整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475000</w:t>
      </w:r>
      <w:r>
        <w:rPr>
          <w:rFonts w:hint="eastAsia" w:ascii="宋体" w:hAnsi="宋体" w:cs="宋体"/>
          <w:color w:val="auto"/>
          <w:sz w:val="24"/>
          <w:highlight w:val="none"/>
        </w:rPr>
        <w:t>）</w:t>
      </w:r>
    </w:p>
    <w:p w14:paraId="6EF9826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最高投标限价为人民币</w:t>
      </w:r>
      <w:r>
        <w:rPr>
          <w:rFonts w:hint="eastAsia" w:ascii="宋体" w:hAnsi="宋体" w:cs="宋体"/>
          <w:color w:val="auto"/>
          <w:sz w:val="24"/>
          <w:highlight w:val="none"/>
          <w:lang w:val="en-US" w:eastAsia="zh-CN"/>
        </w:rPr>
        <w:t>肆拾柒万伍仟元整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475000</w:t>
      </w:r>
      <w:r>
        <w:rPr>
          <w:rFonts w:hint="eastAsia" w:ascii="宋体" w:hAnsi="宋体" w:cs="宋体"/>
          <w:color w:val="auto"/>
          <w:sz w:val="24"/>
          <w:highlight w:val="none"/>
        </w:rPr>
        <w:t>）</w:t>
      </w:r>
    </w:p>
    <w:p w14:paraId="2BBDDC3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6.采购需求：①对市中心机房开展基础环境运维服务；对市中心及下属8个分中心的安全软硬件产品开展运维服务。②对市中心及分中心开展网络安全运维服务。具体详见《第三部分项目需求》，请仔细研究。</w:t>
      </w:r>
    </w:p>
    <w:p w14:paraId="7C38B83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7.服务期要求</w:t>
      </w:r>
      <w:r>
        <w:rPr>
          <w:rFonts w:hint="eastAsia" w:ascii="宋体" w:hAnsi="宋体" w:cs="宋体"/>
          <w:color w:val="auto"/>
          <w:sz w:val="24"/>
          <w:highlight w:val="none"/>
        </w:rPr>
        <w:t>：服务期为12个月。2026年1月底前，对市公路中心(包含下属8个分中心)的外网出口防火墙、内网防火墙、服务器区防火墙、中心无线防火墙XDR、探针、中心终端EDR完成软硬件维保服务授权，安全接入服务授权工作。</w:t>
      </w:r>
    </w:p>
    <w:p w14:paraId="187EECD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服务期满，完成当年度基础环境及安全运维服务工作，并提交当年度服务报告。</w:t>
      </w:r>
    </w:p>
    <w:p w14:paraId="4F62FF1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8.本项目不接受联合体。</w:t>
      </w:r>
    </w:p>
    <w:p w14:paraId="49B76DCA">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w:t>
      </w: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z w:val="24"/>
          <w:highlight w:val="none"/>
          <w:lang w:val="en-US" w:eastAsia="zh-CN"/>
        </w:rPr>
        <w:t>不</w:t>
      </w:r>
      <w:r>
        <w:rPr>
          <w:rFonts w:hint="eastAsia" w:cs="宋体" w:asciiTheme="minorEastAsia" w:hAnsiTheme="minorEastAsia" w:eastAsiaTheme="minorEastAsia"/>
          <w:color w:val="auto"/>
          <w:sz w:val="24"/>
          <w:highlight w:val="none"/>
        </w:rPr>
        <w:t>允许分包。</w:t>
      </w:r>
    </w:p>
    <w:p w14:paraId="2523C3BB">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二、供应商资格要求</w:t>
      </w:r>
    </w:p>
    <w:p w14:paraId="7776A47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95942A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2.落实政府采购政策需满足的资格要求：本项目专门面向中小微企业采购。</w:t>
      </w:r>
    </w:p>
    <w:p w14:paraId="16BEA7F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3.其他资格要求：</w:t>
      </w:r>
    </w:p>
    <w:p w14:paraId="45B3BA6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信誉要求：响应文件递交截止日当日，供应商未被“信用中国”网站（www.creditchina.gov.cn）列入失信被执行人、重大税收违法案件当事人名单，未被“中国政府采购网”（http://www.ccgp.gov.cn/）列入政府采购严重失信行为记录名单。</w:t>
      </w:r>
    </w:p>
    <w:p w14:paraId="0221ED0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.本项目的特定资格要求：</w:t>
      </w:r>
    </w:p>
    <w:p w14:paraId="65C8018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供应商拟投入本项目的项目负责人须为供应商自有人员，出具供应商为其缴纳的近3个月中任意1个月的社保缴费证明。</w:t>
      </w:r>
    </w:p>
    <w:p w14:paraId="21DC911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社保缴纳证明材料需含缴费起止时间、缴费单位、缴费人员姓名并由社保机构加盖缴费证明专用章，社保机构官网上打印件与线下的盖章件具有同等效力，缴费单位须与供应商名称一致（供应商下属不具备独立法人资格的分支机构缴纳的社保视为本单位）。</w:t>
      </w:r>
    </w:p>
    <w:p w14:paraId="45C2331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.与采购人存在利害关系可能影响公正性的单位，单位负责人为同一人或者存在直接控股、管理关系的不同供应商</w:t>
      </w:r>
      <w:r>
        <w:rPr>
          <w:rFonts w:hint="eastAsia" w:ascii="宋体" w:hAnsi="宋体" w:cs="宋体"/>
          <w:color w:val="auto"/>
          <w:sz w:val="24"/>
          <w:highlight w:val="none"/>
          <w:lang w:eastAsia="zh-CN"/>
        </w:rPr>
        <w:t>，</w:t>
      </w:r>
      <w:r>
        <w:rPr>
          <w:rFonts w:hint="eastAsia" w:ascii="宋体" w:hAnsi="宋体" w:cs="宋体"/>
          <w:color w:val="auto"/>
          <w:sz w:val="24"/>
          <w:highlight w:val="none"/>
        </w:rPr>
        <w:t>不得参加同一合同项下的政府采购活动。若同时参加同一合同项下的政府采购活动，则相关供应商的投标均做无效投标处理。</w:t>
      </w:r>
    </w:p>
    <w:p w14:paraId="0573EDA1">
      <w:pPr>
        <w:pStyle w:val="35"/>
        <w:keepNext w:val="0"/>
        <w:keepLines w:val="0"/>
        <w:pageBreakBefore w:val="0"/>
        <w:topLinePunct w:val="0"/>
        <w:bidi w:val="0"/>
        <w:adjustRightInd w:val="0"/>
        <w:snapToGrid w:val="0"/>
        <w:spacing w:line="360" w:lineRule="auto"/>
        <w:ind w:firstLine="482" w:firstLineChars="200"/>
        <w:textAlignment w:val="auto"/>
        <w:rPr>
          <w:rFonts w:eastAsia="宋体" w:cs="宋体"/>
          <w:b/>
          <w:bCs/>
          <w:color w:val="auto"/>
          <w:highlight w:val="none"/>
        </w:rPr>
      </w:pPr>
      <w:r>
        <w:rPr>
          <w:rFonts w:hint="eastAsia" w:eastAsia="宋体" w:cs="宋体"/>
          <w:b/>
          <w:color w:val="auto"/>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CD1244F">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三、获取磋商文件</w:t>
      </w:r>
    </w:p>
    <w:p w14:paraId="7861654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1.申请</w:t>
      </w:r>
    </w:p>
    <w:p w14:paraId="2AA113E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申请时间：自公告上网发布之日起至</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24</w:t>
      </w:r>
      <w:r>
        <w:rPr>
          <w:rFonts w:hint="eastAsia" w:ascii="宋体" w:hAnsi="宋体" w:cs="宋体"/>
          <w:color w:val="auto"/>
          <w:spacing w:val="7"/>
          <w:kern w:val="0"/>
          <w:sz w:val="24"/>
          <w:highlight w:val="none"/>
        </w:rPr>
        <w:t>日，每日工作时间：上午9:00—11:30整，</w:t>
      </w:r>
      <w:r>
        <w:rPr>
          <w:rFonts w:hint="eastAsia" w:ascii="宋体" w:hAnsi="宋体" w:cs="宋体"/>
          <w:color w:val="auto"/>
          <w:spacing w:val="7"/>
          <w:kern w:val="0"/>
          <w:sz w:val="24"/>
          <w:highlight w:val="none"/>
          <w:lang w:eastAsia="zh-CN"/>
        </w:rPr>
        <w:t>13:30</w:t>
      </w:r>
      <w:r>
        <w:rPr>
          <w:rFonts w:hint="eastAsia" w:ascii="宋体" w:hAnsi="宋体" w:cs="宋体"/>
          <w:color w:val="auto"/>
          <w:spacing w:val="7"/>
          <w:kern w:val="0"/>
          <w:sz w:val="24"/>
          <w:highlight w:val="none"/>
        </w:rPr>
        <w:t>—17:30整（节假日除外）。</w:t>
      </w:r>
    </w:p>
    <w:p w14:paraId="4D250A0F">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按照磋商公告下附件《申请函》的形式，回函（加盖单位章）发彩色扫描件至邮箱中（联系人：</w:t>
      </w:r>
      <w:r>
        <w:rPr>
          <w:rFonts w:hint="eastAsia" w:ascii="宋体" w:hAnsi="宋体" w:cs="宋体"/>
          <w:color w:val="auto"/>
          <w:kern w:val="0"/>
          <w:sz w:val="24"/>
          <w:highlight w:val="none"/>
          <w:lang w:val="en-US" w:eastAsia="zh-CN"/>
        </w:rPr>
        <w:t>沙</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lang w:val="en-US" w:eastAsia="zh-CN"/>
        </w:rPr>
        <w:t>18551417471</w:t>
      </w:r>
      <w:r>
        <w:rPr>
          <w:rFonts w:hint="eastAsia" w:ascii="宋体" w:hAnsi="宋体" w:cs="宋体"/>
          <w:color w:val="auto"/>
          <w:kern w:val="0"/>
          <w:sz w:val="24"/>
          <w:highlight w:val="none"/>
        </w:rPr>
        <w:t>），并致电代理机构确认邮件送达，确认是否参与本次投标的相关事宜。</w:t>
      </w:r>
    </w:p>
    <w:p w14:paraId="02C1359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申请提供资料：按附件提供《申请函》</w:t>
      </w:r>
    </w:p>
    <w:p w14:paraId="26D52649">
      <w:pPr>
        <w:keepNext w:val="0"/>
        <w:keepLines w:val="0"/>
        <w:pageBreakBefore w:val="0"/>
        <w:topLinePunct w:val="0"/>
        <w:bidi w:val="0"/>
        <w:adjustRightInd w:val="0"/>
        <w:snapToGrid w:val="0"/>
        <w:spacing w:line="360" w:lineRule="auto"/>
        <w:ind w:firstLine="482" w:firstLineChars="200"/>
        <w:contextualSpacing/>
        <w:textAlignment w:val="auto"/>
        <w:rPr>
          <w:rFonts w:ascii="宋体" w:hAnsi="宋体" w:cs="宋体"/>
          <w:color w:val="auto"/>
          <w:spacing w:val="7"/>
          <w:kern w:val="0"/>
          <w:sz w:val="24"/>
          <w:highlight w:val="none"/>
        </w:rPr>
      </w:pPr>
      <w:r>
        <w:rPr>
          <w:rFonts w:hint="eastAsia" w:ascii="宋体" w:hAnsi="宋体" w:cs="宋体"/>
          <w:b/>
          <w:bCs/>
          <w:color w:val="auto"/>
          <w:kern w:val="0"/>
          <w:sz w:val="24"/>
          <w:highlight w:val="none"/>
        </w:rPr>
        <w:t>未按要求进行申请的不具备磋商资格。</w:t>
      </w:r>
    </w:p>
    <w:p w14:paraId="4599E885">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2.获取磋商文件</w:t>
      </w:r>
    </w:p>
    <w:p w14:paraId="4305950B">
      <w:pPr>
        <w:keepNext w:val="0"/>
        <w:keepLines w:val="0"/>
        <w:pageBreakBefore w:val="0"/>
        <w:topLinePunct w:val="0"/>
        <w:bidi w:val="0"/>
        <w:adjustRightInd w:val="0"/>
        <w:snapToGrid w:val="0"/>
        <w:spacing w:line="360" w:lineRule="auto"/>
        <w:ind w:firstLine="508" w:firstLineChars="200"/>
        <w:contextualSpacing/>
        <w:jc w:val="left"/>
        <w:textAlignment w:val="auto"/>
        <w:rPr>
          <w:rFonts w:ascii="宋体" w:hAnsi="宋体" w:cs="宋体"/>
          <w:color w:val="auto"/>
          <w:spacing w:val="7"/>
          <w:kern w:val="0"/>
          <w:sz w:val="24"/>
          <w:highlight w:val="none"/>
        </w:rPr>
      </w:pPr>
      <w:r>
        <w:rPr>
          <w:rFonts w:ascii="宋体" w:hAnsi="宋体" w:cs="宋体"/>
          <w:color w:val="auto"/>
          <w:spacing w:val="7"/>
          <w:kern w:val="0"/>
          <w:sz w:val="24"/>
          <w:highlight w:val="none"/>
        </w:rPr>
        <w:t>各申请人</w:t>
      </w:r>
      <w:r>
        <w:rPr>
          <w:rFonts w:hint="eastAsia" w:ascii="宋体" w:cs="宋体"/>
          <w:color w:val="auto"/>
          <w:sz w:val="24"/>
          <w:highlight w:val="none"/>
        </w:rPr>
        <w:t>在南通市交通运输局网站（网址：</w:t>
      </w:r>
      <w:r>
        <w:rPr>
          <w:rFonts w:hint="eastAsia" w:ascii="宋体" w:hAnsi="Times New Roman" w:eastAsia="宋体" w:cs="宋体"/>
          <w:color w:val="auto"/>
          <w:sz w:val="24"/>
          <w:highlight w:val="none"/>
        </w:rPr>
        <w:fldChar w:fldCharType="begin"/>
      </w:r>
      <w:r>
        <w:rPr>
          <w:rFonts w:hint="eastAsia" w:ascii="宋体" w:hAnsi="Times New Roman" w:eastAsia="宋体" w:cs="宋体"/>
          <w:color w:val="auto"/>
          <w:sz w:val="24"/>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Times New Roman" w:eastAsia="宋体" w:cs="宋体"/>
          <w:color w:val="auto"/>
          <w:sz w:val="24"/>
          <w:highlight w:val="none"/>
        </w:rPr>
        <w:fldChar w:fldCharType="separate"/>
      </w:r>
      <w:r>
        <w:rPr>
          <w:rFonts w:hint="eastAsia" w:ascii="宋体" w:hAnsi="Times New Roman" w:eastAsia="宋体" w:cs="宋体"/>
          <w:color w:val="auto"/>
          <w:sz w:val="24"/>
          <w:highlight w:val="none"/>
        </w:rPr>
        <w:t>http://jtysj.nantong.gov.cn/）</w:t>
      </w:r>
      <w:r>
        <w:rPr>
          <w:rFonts w:hint="eastAsia" w:ascii="宋体" w:hAnsi="Times New Roman" w:eastAsia="宋体" w:cs="宋体"/>
          <w:color w:val="auto"/>
          <w:sz w:val="24"/>
          <w:highlight w:val="none"/>
          <w:lang w:val="en-US" w:eastAsia="zh-CN"/>
        </w:rPr>
        <w:t>本项目</w:t>
      </w:r>
      <w:r>
        <w:rPr>
          <w:rFonts w:hint="eastAsia" w:ascii="宋体" w:hAnsi="Times New Roman" w:eastAsia="宋体" w:cs="宋体"/>
          <w:color w:val="auto"/>
          <w:sz w:val="24"/>
          <w:highlight w:val="none"/>
        </w:rPr>
        <w:fldChar w:fldCharType="end"/>
      </w:r>
      <w:r>
        <w:rPr>
          <w:rFonts w:hint="eastAsia" w:ascii="宋体" w:cs="宋体"/>
          <w:color w:val="auto"/>
          <w:sz w:val="24"/>
          <w:highlight w:val="none"/>
          <w:lang w:val="en-US" w:eastAsia="zh-CN"/>
        </w:rPr>
        <w:t>磋商公告下附件自行下载</w:t>
      </w:r>
      <w:r>
        <w:rPr>
          <w:rFonts w:ascii="宋体" w:hAnsi="宋体" w:cs="宋体"/>
          <w:color w:val="auto"/>
          <w:spacing w:val="7"/>
          <w:kern w:val="0"/>
          <w:sz w:val="24"/>
          <w:highlight w:val="none"/>
        </w:rPr>
        <w:t>。</w:t>
      </w:r>
    </w:p>
    <w:p w14:paraId="1DF93979">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磋商文件售价</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元/供应商。</w:t>
      </w:r>
    </w:p>
    <w:p w14:paraId="750BC059">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16390A38">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四、磋商响应文件递交</w:t>
      </w:r>
    </w:p>
    <w:p w14:paraId="1807663D">
      <w:pPr>
        <w:keepNext w:val="0"/>
        <w:keepLines w:val="0"/>
        <w:pageBreakBefore w:val="0"/>
        <w:widowControl/>
        <w:shd w:val="clear" w:color="auto" w:fill="FFFFFF"/>
        <w:topLinePunct w:val="0"/>
        <w:bidi w:val="0"/>
        <w:adjustRightInd w:val="0"/>
        <w:snapToGrid w:val="0"/>
        <w:spacing w:line="360" w:lineRule="auto"/>
        <w:ind w:firstLine="508" w:firstLineChars="200"/>
        <w:textAlignment w:val="auto"/>
        <w:rPr>
          <w:rFonts w:ascii="宋体" w:hAnsi="宋体" w:cs="宋体"/>
          <w:i/>
          <w:color w:val="auto"/>
          <w:spacing w:val="7"/>
          <w:kern w:val="0"/>
          <w:sz w:val="24"/>
          <w:highlight w:val="none"/>
          <w:u w:val="single"/>
        </w:rPr>
      </w:pPr>
      <w:r>
        <w:rPr>
          <w:rFonts w:hint="eastAsia" w:ascii="宋体" w:hAnsi="宋体" w:cs="宋体"/>
          <w:color w:val="auto"/>
          <w:spacing w:val="7"/>
          <w:kern w:val="0"/>
          <w:sz w:val="24"/>
          <w:highlight w:val="none"/>
        </w:rPr>
        <w:t>截止时间：</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29</w:t>
      </w:r>
      <w:r>
        <w:rPr>
          <w:rFonts w:hint="eastAsia" w:ascii="宋体" w:hAnsi="宋体" w:cs="宋体"/>
          <w:color w:val="auto"/>
          <w:spacing w:val="7"/>
          <w:kern w:val="0"/>
          <w:sz w:val="24"/>
          <w:highlight w:val="none"/>
        </w:rPr>
        <w:t>日</w:t>
      </w:r>
      <w:r>
        <w:rPr>
          <w:rFonts w:hint="eastAsia" w:ascii="宋体" w:hAnsi="宋体" w:cs="宋体"/>
          <w:color w:val="auto"/>
          <w:sz w:val="24"/>
          <w:highlight w:val="none"/>
          <w:u w:val="single"/>
        </w:rPr>
        <w:t>9</w:t>
      </w:r>
      <w:r>
        <w:rPr>
          <w:rFonts w:hint="eastAsia" w:ascii="宋体" w:hAnsi="宋体" w:cs="宋体"/>
          <w:color w:val="auto"/>
          <w:spacing w:val="7"/>
          <w:kern w:val="0"/>
          <w:sz w:val="24"/>
          <w:highlight w:val="none"/>
        </w:rPr>
        <w:t>时</w:t>
      </w:r>
      <w:r>
        <w:rPr>
          <w:rFonts w:hint="eastAsia" w:ascii="宋体" w:hAnsi="宋体" w:cs="宋体"/>
          <w:color w:val="auto"/>
          <w:sz w:val="24"/>
          <w:highlight w:val="none"/>
          <w:u w:val="single"/>
        </w:rPr>
        <w:t>00</w:t>
      </w:r>
      <w:r>
        <w:rPr>
          <w:rFonts w:hint="eastAsia" w:ascii="宋体" w:hAnsi="宋体" w:cs="宋体"/>
          <w:color w:val="auto"/>
          <w:spacing w:val="7"/>
          <w:kern w:val="0"/>
          <w:sz w:val="24"/>
          <w:highlight w:val="none"/>
        </w:rPr>
        <w:t>分（北京时间）</w:t>
      </w:r>
    </w:p>
    <w:p w14:paraId="0F827D5B">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逾时，将不予接收。</w:t>
      </w:r>
    </w:p>
    <w:p w14:paraId="363F269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58404184">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五、磋商响应文件开启</w:t>
      </w:r>
    </w:p>
    <w:p w14:paraId="769CE56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时间：</w:t>
      </w:r>
      <w:r>
        <w:rPr>
          <w:rFonts w:hint="eastAsia" w:ascii="宋体" w:hAnsi="宋体" w:cs="宋体"/>
          <w:color w:val="auto"/>
          <w:kern w:val="0"/>
          <w:sz w:val="24"/>
          <w:highlight w:val="none"/>
        </w:rPr>
        <w:t>同磋商响应文件递交截止时间</w:t>
      </w:r>
    </w:p>
    <w:p w14:paraId="0A5DE40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03601D4D">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六、公告期限</w:t>
      </w:r>
    </w:p>
    <w:p w14:paraId="6CF2374B">
      <w:pPr>
        <w:keepNext w:val="0"/>
        <w:keepLines w:val="0"/>
        <w:pageBreakBefore w:val="0"/>
        <w:topLinePunct w:val="0"/>
        <w:bidi w:val="0"/>
        <w:adjustRightInd w:val="0"/>
        <w:snapToGrid w:val="0"/>
        <w:spacing w:line="360" w:lineRule="auto"/>
        <w:ind w:firstLine="508"/>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自本公告发布之日起10日。</w:t>
      </w:r>
    </w:p>
    <w:p w14:paraId="4ED8F5A9">
      <w:pPr>
        <w:keepNext w:val="0"/>
        <w:keepLines w:val="0"/>
        <w:pageBreakBefore w:val="0"/>
        <w:topLinePunct w:val="0"/>
        <w:bidi w:val="0"/>
        <w:adjustRightInd w:val="0"/>
        <w:snapToGrid w:val="0"/>
        <w:spacing w:line="360" w:lineRule="auto"/>
        <w:ind w:firstLine="510" w:firstLineChars="200"/>
        <w:textAlignment w:val="auto"/>
        <w:rPr>
          <w:rFonts w:ascii="宋体" w:hAnsi="宋体" w:cs="宋体"/>
          <w:color w:val="auto"/>
          <w:kern w:val="0"/>
          <w:sz w:val="24"/>
          <w:highlight w:val="none"/>
        </w:rPr>
      </w:pPr>
      <w:r>
        <w:rPr>
          <w:rFonts w:hint="eastAsia" w:ascii="宋体" w:hAnsi="宋体" w:cs="宋体"/>
          <w:b/>
          <w:color w:val="auto"/>
          <w:spacing w:val="7"/>
          <w:kern w:val="0"/>
          <w:sz w:val="24"/>
          <w:highlight w:val="none"/>
        </w:rPr>
        <w:t>七、</w:t>
      </w:r>
      <w:r>
        <w:rPr>
          <w:rFonts w:hint="eastAsia" w:ascii="宋体" w:hAnsi="宋体" w:cs="宋体"/>
          <w:b/>
          <w:bCs/>
          <w:color w:val="auto"/>
          <w:sz w:val="24"/>
          <w:highlight w:val="none"/>
          <w:lang w:val="zh-CN"/>
        </w:rPr>
        <w:t>支付方式</w:t>
      </w:r>
      <w:r>
        <w:rPr>
          <w:rFonts w:hint="eastAsia" w:ascii="宋体" w:hAnsi="宋体" w:cs="宋体"/>
          <w:b/>
          <w:bCs/>
          <w:color w:val="auto"/>
          <w:sz w:val="24"/>
          <w:highlight w:val="none"/>
        </w:rPr>
        <w:t>：</w:t>
      </w:r>
    </w:p>
    <w:p w14:paraId="579760F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本项目为总价合同。签订合同15日内支付预付款为签约合同价的30%。2026年6月底前支付签约合同价的30%。服务期满且完成全部服务并通过验收后付清尾款。</w:t>
      </w:r>
    </w:p>
    <w:p w14:paraId="4A6DA67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7AEB2A1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）每次付款须按合同扣减违约金和赔偿款；</w:t>
      </w:r>
    </w:p>
    <w:p w14:paraId="6B26C93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付款前供应商须提供等额合规发票及相关申请资料，否则采购人可以拒付；</w:t>
      </w:r>
    </w:p>
    <w:p w14:paraId="216F799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所有付款均不计利息。</w:t>
      </w:r>
    </w:p>
    <w:p w14:paraId="6D8BA8A2">
      <w:pPr>
        <w:keepNext w:val="0"/>
        <w:keepLines w:val="0"/>
        <w:pageBreakBefore w:val="0"/>
        <w:topLinePunct w:val="0"/>
        <w:bidi w:val="0"/>
        <w:adjustRightInd w:val="0"/>
        <w:snapToGrid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bCs/>
          <w:color w:val="auto"/>
          <w:sz w:val="24"/>
          <w:highlight w:val="none"/>
          <w:lang w:val="zh-CN"/>
        </w:rPr>
        <w:t>八、</w:t>
      </w:r>
      <w:r>
        <w:rPr>
          <w:rFonts w:hint="eastAsia" w:ascii="宋体" w:hAnsi="宋体" w:cs="宋体"/>
          <w:b/>
          <w:color w:val="auto"/>
          <w:sz w:val="24"/>
          <w:highlight w:val="none"/>
        </w:rPr>
        <w:t>公告媒介</w:t>
      </w:r>
    </w:p>
    <w:p w14:paraId="41CBE7F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媒介。</w:t>
      </w:r>
    </w:p>
    <w:p w14:paraId="01B56013">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九、凡对本次采购提出询问，请按以下方式联系。</w:t>
      </w:r>
    </w:p>
    <w:p w14:paraId="32DBE44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0AFC13B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名  称：南通市公路事业发展中心 </w:t>
      </w:r>
    </w:p>
    <w:p w14:paraId="5682FBD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  址：江苏省南通市跃龙路4号 </w:t>
      </w:r>
    </w:p>
    <w:p w14:paraId="7242BAD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联 系 人：周先生 </w:t>
      </w:r>
    </w:p>
    <w:p w14:paraId="769BD185">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联系方式：0513-85524439</w:t>
      </w:r>
    </w:p>
    <w:p w14:paraId="7C8398F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6806BDB6">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捷宏润安工程顾问（江苏）有限公司</w:t>
      </w:r>
    </w:p>
    <w:p w14:paraId="1D99601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南通市崇川区崇川路58号南通产业研究院9号A1303室</w:t>
      </w:r>
    </w:p>
    <w:p w14:paraId="6535713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沙云天、钱舒佳</w:t>
      </w:r>
    </w:p>
    <w:p w14:paraId="7058A137">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18551417471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沙云天</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15162861908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钱舒佳</w:t>
      </w:r>
      <w:r>
        <w:rPr>
          <w:rFonts w:hint="eastAsia" w:ascii="宋体" w:hAnsi="宋体" w:cs="宋体"/>
          <w:color w:val="auto"/>
          <w:sz w:val="24"/>
          <w:highlight w:val="none"/>
        </w:rPr>
        <w:t>）</w:t>
      </w:r>
    </w:p>
    <w:p w14:paraId="75B61B57">
      <w:pPr>
        <w:keepNext w:val="0"/>
        <w:keepLines w:val="0"/>
        <w:pageBreakBefore w:val="0"/>
        <w:topLinePunct w:val="0"/>
        <w:bidi w:val="0"/>
        <w:adjustRightInd w:val="0"/>
        <w:snapToGrid w:val="0"/>
        <w:spacing w:line="360" w:lineRule="auto"/>
        <w:ind w:firstLine="560" w:firstLineChars="200"/>
        <w:contextualSpacing/>
        <w:textAlignment w:val="auto"/>
        <w:rPr>
          <w:rFonts w:ascii="宋体" w:hAnsi="宋体" w:cs="宋体"/>
          <w:color w:val="auto"/>
          <w:sz w:val="28"/>
          <w:szCs w:val="28"/>
          <w:highlight w:val="none"/>
        </w:rPr>
      </w:pPr>
    </w:p>
    <w:p w14:paraId="1535F652">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ascii="宋体" w:hAnsi="宋体" w:cs="宋体"/>
          <w:color w:val="auto"/>
          <w:sz w:val="28"/>
          <w:szCs w:val="28"/>
          <w:highlight w:val="none"/>
        </w:rPr>
      </w:pPr>
      <w:r>
        <w:rPr>
          <w:rFonts w:hint="eastAsia" w:ascii="宋体" w:hAnsi="宋体" w:cs="宋体"/>
          <w:color w:val="auto"/>
          <w:spacing w:val="7"/>
          <w:kern w:val="0"/>
          <w:sz w:val="24"/>
          <w:highlight w:val="none"/>
        </w:rPr>
        <w:t xml:space="preserve">   </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17</w:t>
      </w:r>
      <w:r>
        <w:rPr>
          <w:rFonts w:hint="eastAsia" w:ascii="宋体" w:hAnsi="宋体" w:cs="宋体"/>
          <w:color w:val="auto"/>
          <w:spacing w:val="7"/>
          <w:kern w:val="0"/>
          <w:sz w:val="24"/>
          <w:highlight w:val="none"/>
        </w:rPr>
        <w:t>日</w:t>
      </w:r>
      <w:bookmarkEnd w:id="0"/>
    </w:p>
    <w:p w14:paraId="644D31AD">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p>
    <w:p w14:paraId="4190C032">
      <w:pPr>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附件1</w:t>
      </w:r>
    </w:p>
    <w:p w14:paraId="27B347C5">
      <w:pPr>
        <w:spacing w:line="420" w:lineRule="exact"/>
        <w:jc w:val="center"/>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申请函</w:t>
      </w:r>
    </w:p>
    <w:p w14:paraId="6FC83043">
      <w:pPr>
        <w:spacing w:line="420" w:lineRule="exact"/>
        <w:jc w:val="left"/>
        <w:rPr>
          <w:rFonts w:ascii="宋体" w:hAnsi="宋体" w:cs="宋体"/>
          <w:b/>
          <w:color w:val="auto"/>
          <w:kern w:val="0"/>
          <w:sz w:val="32"/>
          <w:szCs w:val="20"/>
          <w:highlight w:val="none"/>
        </w:rPr>
      </w:pPr>
    </w:p>
    <w:p w14:paraId="2EFD2A6F">
      <w:pPr>
        <w:spacing w:line="360" w:lineRule="auto"/>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rPr>
        <w:t>南通市公路事业发展中心</w:t>
      </w:r>
    </w:p>
    <w:p w14:paraId="6B0D611B">
      <w:pPr>
        <w:widowControl/>
        <w:shd w:val="clear" w:color="auto" w:fill="FFFFFF"/>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我公司已获悉贵单位发出的</w:t>
      </w:r>
      <w:r>
        <w:rPr>
          <w:rFonts w:hint="eastAsia" w:ascii="宋体" w:hAnsi="宋体" w:cs="宋体"/>
          <w:color w:val="auto"/>
          <w:spacing w:val="7"/>
          <w:kern w:val="0"/>
          <w:sz w:val="24"/>
          <w:highlight w:val="none"/>
          <w:u w:val="single"/>
          <w:lang w:eastAsia="zh-CN"/>
        </w:rPr>
        <w:t>2026年南通市公路事业发展中心基础环境与安全运维服务项目</w:t>
      </w:r>
      <w:r>
        <w:rPr>
          <w:rFonts w:hint="eastAsia" w:ascii="宋体" w:hAnsi="宋体" w:cs="宋体"/>
          <w:color w:val="auto"/>
          <w:spacing w:val="7"/>
          <w:kern w:val="0"/>
          <w:sz w:val="24"/>
          <w:highlight w:val="none"/>
        </w:rPr>
        <w:t>竞争性磋商公告</w:t>
      </w:r>
      <w:r>
        <w:rPr>
          <w:rFonts w:hint="eastAsia" w:ascii="宋体" w:hAnsi="宋体" w:cs="宋体"/>
          <w:color w:val="auto"/>
          <w:kern w:val="0"/>
          <w:sz w:val="24"/>
          <w:highlight w:val="none"/>
        </w:rPr>
        <w:t>，经研究，我单位拟参加本项目磋商，现申请获取磋商文件。</w:t>
      </w:r>
    </w:p>
    <w:p w14:paraId="514BBC01">
      <w:pPr>
        <w:spacing w:line="360" w:lineRule="auto"/>
        <w:ind w:firstLine="480" w:firstLineChars="200"/>
        <w:jc w:val="left"/>
        <w:rPr>
          <w:rFonts w:ascii="宋体" w:hAnsi="宋体" w:cs="宋体"/>
          <w:color w:val="auto"/>
          <w:kern w:val="0"/>
          <w:sz w:val="24"/>
          <w:highlight w:val="none"/>
        </w:rPr>
      </w:pPr>
    </w:p>
    <w:p w14:paraId="1146575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spacing w:val="7"/>
          <w:kern w:val="0"/>
          <w:sz w:val="24"/>
          <w:highlight w:val="none"/>
          <w:u w:val="single"/>
        </w:rPr>
        <w:t xml:space="preserve">   </w:t>
      </w:r>
    </w:p>
    <w:p w14:paraId="472E9D1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spacing w:val="7"/>
          <w:kern w:val="0"/>
          <w:sz w:val="24"/>
          <w:highlight w:val="none"/>
          <w:u w:val="single"/>
        </w:rPr>
        <w:t xml:space="preserve">   </w:t>
      </w:r>
    </w:p>
    <w:p w14:paraId="611B9FA1">
      <w:pPr>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r>
        <w:rPr>
          <w:rFonts w:hint="eastAsia" w:ascii="宋体" w:hAnsi="宋体" w:cs="宋体"/>
          <w:color w:val="auto"/>
          <w:spacing w:val="7"/>
          <w:kern w:val="0"/>
          <w:sz w:val="24"/>
          <w:highlight w:val="none"/>
          <w:u w:val="single"/>
        </w:rPr>
        <w:t xml:space="preserve">   </w:t>
      </w:r>
    </w:p>
    <w:p w14:paraId="3E0DF138">
      <w:pPr>
        <w:spacing w:line="360" w:lineRule="auto"/>
        <w:jc w:val="left"/>
        <w:rPr>
          <w:rFonts w:ascii="宋体" w:hAnsi="宋体" w:cs="宋体"/>
          <w:color w:val="auto"/>
          <w:kern w:val="0"/>
          <w:sz w:val="24"/>
          <w:highlight w:val="none"/>
          <w:lang w:val="zh-CN"/>
        </w:rPr>
      </w:pPr>
    </w:p>
    <w:p w14:paraId="71109941">
      <w:pPr>
        <w:spacing w:line="360" w:lineRule="auto"/>
        <w:jc w:val="left"/>
        <w:rPr>
          <w:rFonts w:ascii="宋体" w:hAnsi="宋体" w:cs="宋体"/>
          <w:b/>
          <w:color w:val="auto"/>
          <w:kern w:val="0"/>
          <w:sz w:val="24"/>
          <w:highlight w:val="none"/>
          <w:lang w:val="zh-CN"/>
        </w:rPr>
      </w:pPr>
    </w:p>
    <w:p w14:paraId="435D64D7">
      <w:pPr>
        <w:spacing w:line="360" w:lineRule="auto"/>
        <w:jc w:val="left"/>
        <w:rPr>
          <w:rFonts w:ascii="宋体" w:hAnsi="宋体" w:cs="宋体"/>
          <w:b/>
          <w:color w:val="auto"/>
          <w:kern w:val="0"/>
          <w:sz w:val="24"/>
          <w:highlight w:val="none"/>
          <w:lang w:val="zh-CN"/>
        </w:rPr>
      </w:pPr>
    </w:p>
    <w:p w14:paraId="2D2C363E">
      <w:pPr>
        <w:spacing w:line="360" w:lineRule="auto"/>
        <w:jc w:val="left"/>
        <w:rPr>
          <w:rFonts w:ascii="宋体" w:hAnsi="宋体" w:cs="宋体"/>
          <w:b/>
          <w:color w:val="auto"/>
          <w:kern w:val="0"/>
          <w:sz w:val="24"/>
          <w:highlight w:val="none"/>
          <w:lang w:val="zh-CN"/>
        </w:rPr>
      </w:pPr>
    </w:p>
    <w:p w14:paraId="2FE9CEB1">
      <w:pPr>
        <w:spacing w:line="360" w:lineRule="auto"/>
        <w:ind w:firstLine="5280" w:firstLineChars="2200"/>
        <w:jc w:val="left"/>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 xml:space="preserve"> （盖章）                 </w:t>
      </w:r>
    </w:p>
    <w:p w14:paraId="390CCEBB">
      <w:pPr>
        <w:spacing w:line="360" w:lineRule="auto"/>
        <w:jc w:val="right"/>
        <w:rPr>
          <w:rFonts w:ascii="宋体" w:hAnsi="宋体" w:cs="宋体"/>
          <w:color w:val="auto"/>
          <w:kern w:val="0"/>
          <w:sz w:val="24"/>
          <w:highlight w:val="none"/>
        </w:rPr>
      </w:pP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月</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日</w:t>
      </w:r>
    </w:p>
    <w:p w14:paraId="28A5AC4A">
      <w:pPr>
        <w:snapToGrid w:val="0"/>
        <w:spacing w:line="300" w:lineRule="auto"/>
        <w:ind w:firstLine="560" w:firstLineChars="200"/>
        <w:contextualSpacing/>
        <w:rPr>
          <w:rFonts w:ascii="宋体" w:hAnsi="宋体" w:cs="宋体"/>
          <w:color w:val="auto"/>
          <w:sz w:val="28"/>
          <w:szCs w:val="28"/>
          <w:highlight w:val="none"/>
        </w:rPr>
      </w:pPr>
    </w:p>
    <w:p w14:paraId="1D7E7084">
      <w:pPr>
        <w:snapToGrid w:val="0"/>
        <w:spacing w:line="300" w:lineRule="auto"/>
        <w:contextualSpacing/>
        <w:jc w:val="center"/>
        <w:rPr>
          <w:rFonts w:ascii="宋体" w:hAnsi="宋体" w:cs="宋体"/>
          <w:b/>
          <w:bCs/>
          <w:color w:val="auto"/>
          <w:sz w:val="36"/>
          <w:szCs w:val="36"/>
          <w:highlight w:val="none"/>
          <w:lang w:val="zh-CN"/>
        </w:rPr>
      </w:pPr>
      <w:r>
        <w:rPr>
          <w:rFonts w:hint="eastAsia" w:ascii="宋体" w:hAnsi="宋体" w:cs="宋体"/>
          <w:b/>
          <w:color w:val="auto"/>
          <w:sz w:val="28"/>
          <w:szCs w:val="28"/>
          <w:highlight w:val="none"/>
        </w:rPr>
        <w:br w:type="page"/>
      </w:r>
      <w:r>
        <w:rPr>
          <w:rFonts w:hint="eastAsia" w:ascii="宋体" w:hAnsi="宋体" w:cs="宋体"/>
          <w:b/>
          <w:bCs/>
          <w:color w:val="auto"/>
          <w:sz w:val="36"/>
          <w:szCs w:val="36"/>
          <w:highlight w:val="none"/>
          <w:lang w:val="zh-CN"/>
        </w:rPr>
        <w:t>第二部分 磋商须知</w:t>
      </w:r>
    </w:p>
    <w:p w14:paraId="3F74BE90">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14:paraId="16E09B9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本竞争性磋商文件仅适用于采购人组织的竞争性磋商采购活动。</w:t>
      </w:r>
    </w:p>
    <w:p w14:paraId="7069155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竞争性磋商活动及因本次磋商产生的合同受中国法律制约和保护。</w:t>
      </w:r>
    </w:p>
    <w:p w14:paraId="1DBAA13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lang w:val="zh-CN"/>
        </w:rPr>
        <w:t>.</w:t>
      </w:r>
      <w:r>
        <w:rPr>
          <w:rFonts w:hint="eastAsia" w:ascii="宋体" w:hAnsi="宋体" w:cs="宋体"/>
          <w:bCs/>
          <w:color w:val="auto"/>
          <w:sz w:val="24"/>
          <w:highlight w:val="none"/>
        </w:rPr>
        <w:t>竞争性磋商文件的解释权属于采购人。</w:t>
      </w:r>
    </w:p>
    <w:p w14:paraId="6174F7B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color w:val="auto"/>
          <w:sz w:val="24"/>
          <w:highlight w:val="none"/>
          <w:lang w:val="zh-CN"/>
        </w:rPr>
        <w:t>供应商下载磋商</w:t>
      </w:r>
      <w:r>
        <w:rPr>
          <w:rFonts w:hint="eastAsia" w:ascii="宋体" w:hAnsi="宋体" w:cs="宋体"/>
          <w:color w:val="auto"/>
          <w:sz w:val="24"/>
          <w:highlight w:val="none"/>
        </w:rPr>
        <w:t>文件后，应在磋商文件发布后的</w:t>
      </w:r>
      <w:r>
        <w:rPr>
          <w:rFonts w:hint="eastAsia" w:ascii="宋体" w:hAnsi="宋体" w:cs="宋体"/>
          <w:b/>
          <w:color w:val="auto"/>
          <w:sz w:val="24"/>
          <w:highlight w:val="none"/>
          <w:lang w:val="zh-CN"/>
        </w:rPr>
        <w:t>3日内以书面形式向采购人或代理单位提出询问或疑问</w:t>
      </w:r>
      <w:r>
        <w:rPr>
          <w:rFonts w:hint="eastAsia" w:ascii="宋体" w:hAnsi="宋体" w:cs="宋体"/>
          <w:color w:val="auto"/>
          <w:sz w:val="24"/>
          <w:highlight w:val="none"/>
          <w:lang w:val="zh-CN"/>
        </w:rPr>
        <w:t>，未在规定的3日内提出询问或疑问的，视同供应商理解并接受本磋商文件所有内容，并由此引起的损失自负。</w:t>
      </w:r>
      <w:r>
        <w:rPr>
          <w:rFonts w:hint="eastAsia" w:ascii="宋体" w:hAnsi="宋体" w:cs="宋体"/>
          <w:b/>
          <w:color w:val="auto"/>
          <w:sz w:val="24"/>
          <w:highlight w:val="none"/>
        </w:rPr>
        <w:t>非书面形式的不作为日后质疑提出的依据。</w:t>
      </w:r>
    </w:p>
    <w:p w14:paraId="5D3F4A84">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50875C6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w:t>
      </w:r>
      <w:r>
        <w:rPr>
          <w:rFonts w:hint="eastAsia" w:ascii="宋体" w:hAnsi="宋体" w:cs="宋体"/>
          <w:color w:val="auto"/>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4335C29F">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二、磋商文件的澄清、修改、答疑</w:t>
      </w:r>
    </w:p>
    <w:p w14:paraId="4E59600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采购人有权对发出的磋商文件进行必要的澄清、修改或补充。</w:t>
      </w:r>
    </w:p>
    <w:p w14:paraId="79D94935">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磋商文件的澄清、修改、补充等内容均以书面明确的形式发布，并以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14:paraId="099222C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采购人对磋商文件的澄清、修改将构成磋商文件的一部分，对响应磋商的供应商具有约束力。</w:t>
      </w:r>
    </w:p>
    <w:p w14:paraId="33B0CEF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澄清或者修改的内容可能影响到响应文件编制的，采购人将在提交响应文件接收截止之日5日前，发布澄清或者修改公告，不足5日的，当顺延提交响应文件接收截止时间。</w:t>
      </w:r>
    </w:p>
    <w:p w14:paraId="6299F7C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除非采购人以书面的形式对磋商文件作出澄清、修改及补充，供应商由于对磋商文件的任何推论和误解以及采购人对有关问题的口头解释所造成的后果，均由供应商自负。</w:t>
      </w:r>
    </w:p>
    <w:p w14:paraId="2F01F0F8">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color w:val="auto"/>
          <w:sz w:val="24"/>
          <w:highlight w:val="none"/>
        </w:rPr>
        <w:t>采购人视情况组织答疑会。如有产生答疑且对磋商文件内容有修改，采购人将按照本须知有关规定，以书面方式发出。</w:t>
      </w:r>
    </w:p>
    <w:p w14:paraId="74603044">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三、磋商项目涉及到的现场勘察</w:t>
      </w:r>
    </w:p>
    <w:p w14:paraId="08D5D85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E78E2A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采购人向供应商提供的有关现场的资料和数据，是采购人现有的并认为能使供应商可利用的资料。采购人对供应商由此而做出的推论、理解和结论概不负责。</w:t>
      </w:r>
    </w:p>
    <w:p w14:paraId="565EF636">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经采购人允许，供应商可为勘察目的进入采购人的项目现场，但供应商不得因此使采购人承担有关的责任和蒙受损失。供应商应承担勘察现场的责任和风险。</w:t>
      </w:r>
    </w:p>
    <w:p w14:paraId="6B9399C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2E083565">
      <w:pPr>
        <w:autoSpaceDE w:val="0"/>
        <w:autoSpaceDN w:val="0"/>
        <w:adjustRightInd w:val="0"/>
        <w:snapToGrid w:val="0"/>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lang w:val="zh-CN"/>
        </w:rPr>
        <w:t>四、响应文件的编写、密封及标记</w:t>
      </w:r>
    </w:p>
    <w:p w14:paraId="126ADC15">
      <w:pPr>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（一）响应文件的编写</w:t>
      </w:r>
    </w:p>
    <w:p w14:paraId="0164EE9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1.供应商按“第七部分 响应文件组成”要求编写响应文件。但表格可以按同样格式扩展。除另有规定者外，磋商响应人不得修改。</w:t>
      </w:r>
    </w:p>
    <w:p w14:paraId="0B22A3A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2.响应文件规格幅面A4纸（图纸等除外）。</w:t>
      </w:r>
    </w:p>
    <w:p w14:paraId="7069ABD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3.按照磋商文件所规定的内容顺序，统一编制目录，逐页编码，由于编排混乱导致投标</w:t>
      </w:r>
      <w:r>
        <w:rPr>
          <w:rFonts w:hint="eastAsia" w:ascii="宋体" w:hAnsi="宋体" w:cs="宋体"/>
          <w:color w:val="auto"/>
          <w:sz w:val="24"/>
          <w:highlight w:val="none"/>
        </w:rPr>
        <w:t>响应</w:t>
      </w:r>
      <w:r>
        <w:rPr>
          <w:rFonts w:hint="eastAsia" w:ascii="宋体" w:hAnsi="宋体" w:cs="宋体"/>
          <w:color w:val="auto"/>
          <w:sz w:val="24"/>
          <w:highlight w:val="none"/>
          <w:lang w:val="zh-CN"/>
        </w:rPr>
        <w:t>文件被误读或查找不到，其责任应当由供应商承担；牢固装订成册，不允许使用活页夹、拉杆夹、文件夹、塑料方便式书脊（插入式或穿孔式）装订。</w:t>
      </w:r>
    </w:p>
    <w:p w14:paraId="22CF894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4.响应文件不得行间插字、涂改、增删，如修改错漏处，须经响应文件签署人签字并加盖公章。</w:t>
      </w:r>
    </w:p>
    <w:p w14:paraId="458221CE">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（二）响应文件的份数和签署</w:t>
      </w:r>
    </w:p>
    <w:p w14:paraId="1BC92B6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商务技术响应文件、③价格响应文件、④电子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文件共4部分组成（以下由文件序号代称）。</w:t>
      </w:r>
    </w:p>
    <w:p w14:paraId="1480D37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2.纸质响应文件（</w:t>
      </w:r>
      <w:r>
        <w:rPr>
          <w:rFonts w:hint="eastAsia" w:ascii="宋体" w:hAnsi="宋体" w:cs="宋体"/>
          <w:color w:val="auto"/>
          <w:sz w:val="24"/>
          <w:highlight w:val="none"/>
        </w:rPr>
        <w:t>即</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w:t>
      </w:r>
      <w:r>
        <w:rPr>
          <w:rFonts w:hint="eastAsia" w:ascii="宋体" w:hAnsi="宋体" w:cs="宋体"/>
          <w:color w:val="auto"/>
          <w:sz w:val="24"/>
          <w:highlight w:val="none"/>
        </w:rPr>
        <w:t>下同</w:t>
      </w:r>
      <w:r>
        <w:rPr>
          <w:rFonts w:hint="eastAsia" w:ascii="宋体" w:hAnsi="宋体" w:cs="宋体"/>
          <w:color w:val="auto"/>
          <w:sz w:val="24"/>
          <w:highlight w:val="none"/>
          <w:lang w:val="zh-CN"/>
        </w:rPr>
        <w:t>）均为一式叁份，其中“正本”壹份和“副本”贰份。电子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文件1份（具体要求详见第七部分响应文件组成）。</w:t>
      </w:r>
    </w:p>
    <w:p w14:paraId="0CA20AB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3.在每份纸质响应文件上要明确标注项目名称、对应的响应文件名称、供应商的全称、日期、“正本”、“副本”字样。“正本”和“副本”若有差异，概以“正本”为准。</w:t>
      </w:r>
    </w:p>
    <w:p w14:paraId="425CEA5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4.响应文件中的所有“正本”，其正文内容须按磋商文件要求由供应商法定代表人或被授权人签字（或盖章）并加盖单位公章。“副本”可复印，但须加盖单位公章。</w:t>
      </w:r>
    </w:p>
    <w:p w14:paraId="4C8C9A4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5.电子版响应文件</w:t>
      </w:r>
    </w:p>
    <w:p w14:paraId="23B3A1E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电子版响应文件即为上述</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商务技术文件、③价格响应文件签字盖章后纸质版响应文件的扫描件，全部内容均存入一份U盘即可。</w:t>
      </w:r>
    </w:p>
    <w:p w14:paraId="056459C0">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（三）响应文件的密封及标记</w:t>
      </w:r>
    </w:p>
    <w:p w14:paraId="2D13FDB7">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1.供应商须将本项目响应文件：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0F3498F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2.供应商可将响应文件正副本统一密封或分别密封，如正本和副本分别密封的，应在封袋或封箱上标明正、副本字样。</w:t>
      </w:r>
    </w:p>
    <w:p w14:paraId="037605D9">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3.密封后，应在封袋或封箱上明确标注</w:t>
      </w:r>
      <w:r>
        <w:rPr>
          <w:rFonts w:hint="eastAsia" w:ascii="宋体" w:hAnsi="宋体" w:cs="宋体"/>
          <w:b/>
          <w:bCs/>
          <w:color w:val="auto"/>
          <w:sz w:val="24"/>
          <w:highlight w:val="none"/>
          <w:u w:val="double"/>
          <w:lang w:val="zh-CN"/>
        </w:rPr>
        <w:t>磋商项目名称、响应文件各自对应的名称、供应商的全称及日期。</w:t>
      </w:r>
    </w:p>
    <w:p w14:paraId="09CF111D">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4.</w:t>
      </w:r>
      <w:r>
        <w:rPr>
          <w:rFonts w:hint="eastAsia" w:ascii="宋体" w:hAnsi="宋体" w:cs="宋体"/>
          <w:b/>
          <w:bCs/>
          <w:color w:val="auto"/>
          <w:sz w:val="24"/>
          <w:highlight w:val="none"/>
          <w:u w:val="double"/>
          <w:lang w:val="zh-CN"/>
        </w:rPr>
        <w:t>在边缝处加盖供应商公章或骑缝签字。</w:t>
      </w:r>
    </w:p>
    <w:p w14:paraId="200CD555">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5.采购人将拒绝接收未按照磋商文件要求密封的响应文件。</w:t>
      </w:r>
    </w:p>
    <w:p w14:paraId="283C723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【特别提醒】响应文件中</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均不得含有价格响应文件中报价表（报价单）内的任何项目价格，否则作无效响应处理</w:t>
      </w:r>
      <w:r>
        <w:rPr>
          <w:rFonts w:hint="eastAsia" w:ascii="宋体" w:hAnsi="宋体" w:cs="宋体"/>
          <w:color w:val="auto"/>
          <w:sz w:val="24"/>
          <w:highlight w:val="none"/>
          <w:lang w:val="zh-CN"/>
        </w:rPr>
        <w:t>。</w:t>
      </w:r>
    </w:p>
    <w:p w14:paraId="626418C4">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四</w:t>
      </w:r>
      <w:r>
        <w:rPr>
          <w:rFonts w:hint="eastAsia" w:ascii="宋体" w:hAnsi="宋体" w:cs="宋体"/>
          <w:b/>
          <w:bCs/>
          <w:color w:val="auto"/>
          <w:sz w:val="24"/>
          <w:highlight w:val="none"/>
          <w:lang w:val="zh-CN"/>
        </w:rPr>
        <w:t>）磋商响应有效期</w:t>
      </w:r>
    </w:p>
    <w:p w14:paraId="7F46868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磋商响应有效期为采购代理机构规定的响应文件提交截止时间后</w:t>
      </w:r>
      <w:r>
        <w:rPr>
          <w:rFonts w:hint="eastAsia" w:ascii="宋体" w:hAnsi="宋体" w:cs="宋体"/>
          <w:b/>
          <w:color w:val="auto"/>
          <w:sz w:val="24"/>
          <w:highlight w:val="none"/>
          <w:u w:val="single"/>
          <w:lang w:val="zh-CN"/>
        </w:rPr>
        <w:t>四十五（45）天</w:t>
      </w:r>
      <w:r>
        <w:rPr>
          <w:rFonts w:hint="eastAsia" w:ascii="宋体" w:hAnsi="宋体" w:cs="宋体"/>
          <w:color w:val="auto"/>
          <w:sz w:val="24"/>
          <w:highlight w:val="none"/>
          <w:lang w:val="zh-CN"/>
        </w:rPr>
        <w:t>。磋商响应有效期比规定短的将被视为非实质性响应而予以拒绝。</w:t>
      </w:r>
    </w:p>
    <w:p w14:paraId="708947B2">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五、磋商报价</w:t>
      </w:r>
    </w:p>
    <w:p w14:paraId="3D64F22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1.本项目不接受任何有选择的报价。</w:t>
      </w:r>
    </w:p>
    <w:p w14:paraId="66FA41D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2.磋商报价均以人民币为报价的币种。</w:t>
      </w:r>
    </w:p>
    <w:p w14:paraId="3AB720C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3.磋商报价出现前后不一致的，按照下列规定修正：</w:t>
      </w:r>
    </w:p>
    <w:p w14:paraId="590FF69D">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（1）响应文件中开标一览表（报价表）内容与响应文件中相应内容不一致的，以开标一览表（报价表）为准；</w:t>
      </w:r>
    </w:p>
    <w:p w14:paraId="34BCA723">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1C822C5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42C30A6F">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08F795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同时出现两种以上不一致的，按照前款规定的顺序修正。修正后的报价经供应商确认后产生约束力，供应商不确认的，其投标无效。</w:t>
      </w:r>
    </w:p>
    <w:p w14:paraId="13C0D36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4.报价方式及要求：</w:t>
      </w:r>
    </w:p>
    <w:p w14:paraId="2701DB89">
      <w:pPr>
        <w:snapToGrid w:val="0"/>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（1）本合同为固定总价合同。合同价应包括供应商完成本项目的所有工作的技术服务费用、人员费用（包括人员工资（基本工资、加班费、年终奖金）、</w:t>
      </w:r>
      <w:r>
        <w:rPr>
          <w:rFonts w:hint="eastAsia" w:cs="宋体" w:asciiTheme="minorEastAsia" w:hAnsiTheme="minorEastAsia" w:eastAsiaTheme="minorEastAsia"/>
          <w:color w:val="auto"/>
          <w:sz w:val="24"/>
          <w:highlight w:val="none"/>
          <w:lang w:eastAsia="zh-CN"/>
        </w:rPr>
        <w:t>运维所需备件费用、福利、社保费</w:t>
      </w:r>
      <w:r>
        <w:rPr>
          <w:rFonts w:hint="eastAsia" w:cs="宋体" w:asciiTheme="minorEastAsia" w:hAnsiTheme="minorEastAsia" w:eastAsiaTheme="minorEastAsia"/>
          <w:color w:val="auto"/>
          <w:sz w:val="24"/>
          <w:highlight w:val="none"/>
        </w:rPr>
        <w:t>（五项）及公积金、员工培训费等）、车辆使用一切费用、所需设备仪器使用费用、交通费用、食宿费用、附加服务费用及单位取费（利润、税金、保险费、管理费等）等与履行本合同有关的一切费用以及合同明示或暗示的所有一般风险责任和义务费用。</w:t>
      </w:r>
    </w:p>
    <w:p w14:paraId="13AAD47C">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sz w:val="24"/>
          <w:highlight w:val="none"/>
          <w:lang w:val="en-US" w:eastAsia="zh-CN"/>
        </w:rPr>
        <w:t>2</w:t>
      </w:r>
      <w:r>
        <w:rPr>
          <w:rFonts w:hint="eastAsia" w:cs="仿宋_GB2312" w:asciiTheme="minorEastAsia" w:hAnsiTheme="minorEastAsia" w:eastAsiaTheme="minorEastAsia"/>
          <w:color w:val="auto"/>
          <w:sz w:val="24"/>
          <w:highlight w:val="none"/>
          <w:lang w:val="zh-CN"/>
        </w:rPr>
        <w:t>）供应商在投标时应主动查阅本项目的有关文件、技术经济等资料。作为一个有经验的供应商，应充分考虑到采购人提供的相关资料和数据与合同实施过程中存有偏差。供应商应综合考虑到报价中，采购对供应商的投标报价不因此而进行调整。</w:t>
      </w:r>
    </w:p>
    <w:p w14:paraId="343AD225">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lang w:val="zh-CN"/>
        </w:rPr>
        <w:t>）本项目不接受调价函。</w:t>
      </w:r>
    </w:p>
    <w:p w14:paraId="2DF8DF9F">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lang w:val="zh-CN"/>
        </w:rPr>
        <w:t>）竞争性磋商的最终报价为预期成交价。</w:t>
      </w:r>
    </w:p>
    <w:p w14:paraId="1B6A8A1F">
      <w:pPr>
        <w:autoSpaceDE w:val="0"/>
        <w:autoSpaceDN w:val="0"/>
        <w:adjustRightInd w:val="0"/>
        <w:spacing w:line="360" w:lineRule="auto"/>
        <w:ind w:firstLine="480" w:firstLineChars="200"/>
        <w:rPr>
          <w:rFonts w:cs="宋体"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b/>
          <w:bCs/>
          <w:color w:val="auto"/>
          <w:sz w:val="24"/>
          <w:highlight w:val="none"/>
          <w:lang w:val="zh-CN"/>
        </w:rPr>
        <w:t>本项目首轮磋商报价最高投标限价为人民币</w:t>
      </w:r>
      <w:r>
        <w:rPr>
          <w:rFonts w:hint="eastAsia" w:cs="宋体" w:asciiTheme="minorEastAsia" w:hAnsiTheme="minorEastAsia" w:eastAsiaTheme="minorEastAsia"/>
          <w:b/>
          <w:bCs/>
          <w:color w:val="auto"/>
          <w:sz w:val="24"/>
          <w:highlight w:val="none"/>
          <w:lang w:val="en-US" w:eastAsia="zh-CN"/>
        </w:rPr>
        <w:t>肆拾柒万伍仟元整</w:t>
      </w:r>
      <w:r>
        <w:rPr>
          <w:rFonts w:hint="eastAsia" w:cs="宋体" w:asciiTheme="minorEastAsia" w:hAnsiTheme="minorEastAsia" w:eastAsiaTheme="minorEastAsia"/>
          <w:b/>
          <w:bCs/>
          <w:color w:val="auto"/>
          <w:sz w:val="24"/>
          <w:highlight w:val="none"/>
          <w:lang w:val="zh-CN"/>
        </w:rPr>
        <w:t>（¥</w:t>
      </w:r>
      <w:r>
        <w:rPr>
          <w:rFonts w:hint="eastAsia" w:cs="宋体" w:asciiTheme="minorEastAsia" w:hAnsiTheme="minorEastAsia" w:eastAsiaTheme="minorEastAsia"/>
          <w:b/>
          <w:bCs/>
          <w:color w:val="auto"/>
          <w:sz w:val="24"/>
          <w:highlight w:val="none"/>
          <w:lang w:val="en-US" w:eastAsia="zh-CN"/>
        </w:rPr>
        <w:t>475000</w:t>
      </w:r>
      <w:r>
        <w:rPr>
          <w:rFonts w:hint="eastAsia" w:cs="宋体" w:asciiTheme="minorEastAsia" w:hAnsiTheme="minorEastAsia" w:eastAsiaTheme="minorEastAsia"/>
          <w:b/>
          <w:bCs/>
          <w:color w:val="auto"/>
          <w:sz w:val="24"/>
          <w:highlight w:val="none"/>
          <w:lang w:val="zh-CN"/>
        </w:rPr>
        <w:t>）</w:t>
      </w:r>
      <w:r>
        <w:rPr>
          <w:rFonts w:hint="eastAsia" w:cs="宋体" w:asciiTheme="minorEastAsia" w:hAnsiTheme="minorEastAsia" w:eastAsiaTheme="minorEastAsia"/>
          <w:color w:val="auto"/>
          <w:sz w:val="24"/>
          <w:highlight w:val="none"/>
          <w:lang w:val="zh-CN"/>
        </w:rPr>
        <w:t>，投标总价超过最高投标限价的为无效响应文件。</w:t>
      </w:r>
    </w:p>
    <w:p w14:paraId="59754E4A">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六、响应文件及磋商费用</w:t>
      </w:r>
    </w:p>
    <w:p w14:paraId="73001393">
      <w:pPr>
        <w:pStyle w:val="32"/>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磋商程序顺利进行后，除供应商的原件可退回外，其余所有的响应文件都将作为档案保存，不论成交与否，均不退回（未拆封的除外）。</w:t>
      </w:r>
    </w:p>
    <w:p w14:paraId="02E08FD5">
      <w:pPr>
        <w:pStyle w:val="32"/>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供应商承担参与磋商可能发生的全部费用，参加项目磋商的供应商自行承担与本次项目磋商有关的全部费用，采购人在任何情况下均无义务和责任承担这些费用。</w:t>
      </w:r>
    </w:p>
    <w:p w14:paraId="680D7BF4">
      <w:pPr>
        <w:snapToGrid w:val="0"/>
        <w:spacing w:line="360" w:lineRule="auto"/>
        <w:ind w:firstLine="463" w:firstLineChars="192"/>
        <w:rPr>
          <w:rFonts w:ascii="宋体" w:hAnsi="宋体" w:cs="宋体"/>
          <w:b/>
          <w:color w:val="auto"/>
          <w:sz w:val="24"/>
          <w:highlight w:val="none"/>
        </w:rPr>
      </w:pPr>
      <w:r>
        <w:rPr>
          <w:rFonts w:hint="eastAsia" w:ascii="宋体" w:hAnsi="宋体" w:cs="宋体"/>
          <w:b/>
          <w:bCs/>
          <w:color w:val="auto"/>
          <w:sz w:val="24"/>
          <w:highlight w:val="none"/>
        </w:rPr>
        <w:t>七、</w:t>
      </w:r>
      <w:r>
        <w:rPr>
          <w:rFonts w:hint="eastAsia" w:ascii="宋体" w:hAnsi="宋体" w:cs="宋体"/>
          <w:b/>
          <w:color w:val="auto"/>
          <w:sz w:val="24"/>
          <w:highlight w:val="none"/>
        </w:rPr>
        <w:t>保证金</w:t>
      </w:r>
    </w:p>
    <w:p w14:paraId="509BB367">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1.本项目不设磋商保证金。</w:t>
      </w:r>
    </w:p>
    <w:p w14:paraId="53F334E1">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本项目不设履约保证金。</w:t>
      </w:r>
    </w:p>
    <w:p w14:paraId="5165A777">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八、分包</w:t>
      </w:r>
    </w:p>
    <w:p w14:paraId="3E49D980">
      <w:pPr>
        <w:snapToGrid w:val="0"/>
        <w:spacing w:line="360" w:lineRule="auto"/>
        <w:ind w:firstLine="460" w:firstLineChars="19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pacing w:val="7"/>
          <w:kern w:val="0"/>
          <w:sz w:val="24"/>
          <w:highlight w:val="none"/>
          <w:lang w:val="en-US" w:eastAsia="zh-CN"/>
        </w:rPr>
        <w:t>不允许分包</w:t>
      </w:r>
      <w:r>
        <w:rPr>
          <w:rFonts w:hint="eastAsia" w:cs="宋体" w:asciiTheme="minorEastAsia" w:hAnsiTheme="minorEastAsia" w:eastAsiaTheme="minorEastAsia"/>
          <w:color w:val="auto"/>
          <w:spacing w:val="7"/>
          <w:kern w:val="0"/>
          <w:sz w:val="24"/>
          <w:highlight w:val="none"/>
        </w:rPr>
        <w:t>。</w:t>
      </w:r>
    </w:p>
    <w:p w14:paraId="5E219C25">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九、未尽事宜</w:t>
      </w:r>
    </w:p>
    <w:p w14:paraId="6902AE4E">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参照《中华人民共和国政府采购法》、《政府采购竞争性磋商采购方式管理暂行办法》及其他有关法律法规和规范性文件的规定执行。</w:t>
      </w:r>
    </w:p>
    <w:p w14:paraId="69184942">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第三部分 项目需求</w:t>
      </w:r>
    </w:p>
    <w:p w14:paraId="372EAFFE">
      <w:pPr>
        <w:pStyle w:val="32"/>
        <w:adjustRightInd w:val="0"/>
        <w:snapToGrid w:val="0"/>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请供应商在申请获取磋商文件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14:paraId="24567925">
      <w:pPr>
        <w:adjustRightInd w:val="0"/>
        <w:snapToGrid w:val="0"/>
        <w:spacing w:line="360" w:lineRule="auto"/>
        <w:ind w:firstLine="482" w:firstLineChars="200"/>
        <w:rPr>
          <w:rFonts w:hint="eastAsia" w:ascii="宋体" w:hAnsi="宋体" w:eastAsia="宋体" w:cs="宋体"/>
          <w:b/>
          <w:bCs/>
          <w:color w:val="auto"/>
          <w:kern w:val="0"/>
          <w:sz w:val="24"/>
          <w:highlight w:val="none"/>
          <w:lang w:eastAsia="zh-CN"/>
        </w:rPr>
      </w:pPr>
      <w:r>
        <w:rPr>
          <w:rFonts w:hint="eastAsia" w:ascii="宋体" w:hAnsi="宋体" w:cs="宋体"/>
          <w:b/>
          <w:bCs/>
          <w:color w:val="auto"/>
          <w:sz w:val="24"/>
          <w:highlight w:val="none"/>
        </w:rPr>
        <w:t>一、</w:t>
      </w:r>
      <w:r>
        <w:rPr>
          <w:rFonts w:hint="eastAsia" w:ascii="宋体" w:hAnsi="宋体" w:cs="宋体"/>
          <w:b/>
          <w:bCs/>
          <w:color w:val="auto"/>
          <w:kern w:val="0"/>
          <w:sz w:val="24"/>
          <w:highlight w:val="none"/>
        </w:rPr>
        <w:t>采购项目</w:t>
      </w:r>
      <w:r>
        <w:rPr>
          <w:rFonts w:hint="eastAsia" w:ascii="宋体" w:hAnsi="宋体" w:cs="宋体"/>
          <w:b/>
          <w:bCs/>
          <w:color w:val="auto"/>
          <w:kern w:val="0"/>
          <w:sz w:val="24"/>
          <w:highlight w:val="none"/>
          <w:lang w:val="en-US" w:eastAsia="zh-CN"/>
        </w:rPr>
        <w:t>依据</w:t>
      </w:r>
    </w:p>
    <w:p w14:paraId="2B5B9A4E">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《省交通运输厅公路事业发展中心关于印发2025年网络安全工作</w:t>
      </w:r>
      <w:r>
        <w:rPr>
          <w:rFonts w:hint="eastAsia" w:ascii="宋体" w:eastAsia="宋体" w:cs="宋体"/>
          <w:color w:val="auto"/>
          <w:sz w:val="24"/>
          <w:szCs w:val="24"/>
          <w:highlight w:val="none"/>
          <w:lang w:val="en-US" w:eastAsia="zh-CN"/>
        </w:rPr>
        <w:t>检</w:t>
      </w:r>
      <w:r>
        <w:rPr>
          <w:rFonts w:hint="eastAsia" w:ascii="宋体" w:eastAsia="宋体" w:cs="宋体"/>
          <w:color w:val="auto"/>
          <w:sz w:val="24"/>
          <w:szCs w:val="24"/>
          <w:highlight w:val="none"/>
        </w:rPr>
        <w:t>查情况的通知》（苏交公便信[2025]206号）中第三条“针对本次检查中发现的问题，检查组已分别下达了整改通知书，请各单位立即组织整改，将结果书面反馈至厅公路中心，形成工作闭环；要采取有效措施保证网络安全”。</w:t>
      </w:r>
    </w:p>
    <w:p w14:paraId="315617F8">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江苏省交通运输厅关于进一步加强交通运输网络和数据安全管理的通知》（苏交技函[2025]59号）中第一条“各单位须定期召开网络安全专题会，加强人国、财力、物力等支持，确保网络和数据安全工作落地落实”。</w:t>
      </w:r>
    </w:p>
    <w:p w14:paraId="3E8FC6F8">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为确保我中心各项业务系统和网络环境运行安全、稳定、可靠，有效防范和化解安全风险，现计划对基础环境和安全运维服务实施采购。</w:t>
      </w:r>
    </w:p>
    <w:p w14:paraId="78FDCC42">
      <w:pPr>
        <w:widowControl/>
        <w:numPr>
          <w:ilvl w:val="0"/>
          <w:numId w:val="0"/>
        </w:numPr>
        <w:adjustRightInd w:val="0"/>
        <w:snapToGrid w:val="0"/>
        <w:spacing w:line="360" w:lineRule="auto"/>
        <w:ind w:firstLine="482" w:firstLineChars="200"/>
        <w:textAlignment w:val="baseline"/>
        <w:rPr>
          <w:rFonts w:hint="eastAsia" w:ascii="宋体" w:hAnsi="宋体" w:eastAsia="宋体" w:cs="宋体"/>
          <w:b/>
          <w:bCs/>
          <w:color w:val="auto"/>
          <w:kern w:val="0"/>
          <w:sz w:val="24"/>
          <w:highlight w:val="none"/>
        </w:rPr>
      </w:pPr>
      <w:r>
        <w:rPr>
          <w:rFonts w:hint="eastAsia" w:ascii="宋体" w:hAnsi="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采购标的数量、采购项目交付或者实施的时间和地点</w:t>
      </w:r>
    </w:p>
    <w:p w14:paraId="4E0C09D0">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本项目共划分一个包。</w:t>
      </w:r>
    </w:p>
    <w:p w14:paraId="2B999228">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本项目采购内容为</w:t>
      </w:r>
    </w:p>
    <w:p w14:paraId="7A2E1DD6">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①对市中心机房开展基础环境运维服务</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对市中心及下属8个分中心的安全软硬件产品开展</w:t>
      </w:r>
      <w:r>
        <w:rPr>
          <w:rFonts w:hint="eastAsia" w:ascii="宋体" w:eastAsia="宋体" w:cs="宋体"/>
          <w:color w:val="auto"/>
          <w:sz w:val="24"/>
          <w:szCs w:val="24"/>
          <w:highlight w:val="none"/>
          <w:lang w:val="en-US" w:eastAsia="zh-CN"/>
        </w:rPr>
        <w:t>运维</w:t>
      </w:r>
      <w:r>
        <w:rPr>
          <w:rFonts w:hint="eastAsia" w:ascii="宋体" w:eastAsia="宋体" w:cs="宋体"/>
          <w:color w:val="auto"/>
          <w:sz w:val="24"/>
          <w:szCs w:val="24"/>
          <w:highlight w:val="none"/>
        </w:rPr>
        <w:t>服务</w:t>
      </w:r>
      <w:r>
        <w:rPr>
          <w:rFonts w:hint="eastAsia" w:ascii="宋体" w:eastAsia="宋体" w:cs="宋体"/>
          <w:color w:val="auto"/>
          <w:sz w:val="24"/>
          <w:szCs w:val="24"/>
          <w:highlight w:val="none"/>
          <w:lang w:eastAsia="zh-CN"/>
        </w:rPr>
        <w:t>。</w:t>
      </w:r>
    </w:p>
    <w:p w14:paraId="3CAD0AC7">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②</w:t>
      </w:r>
      <w:r>
        <w:rPr>
          <w:rFonts w:hint="eastAsia" w:ascii="宋体" w:eastAsia="宋体" w:cs="宋体"/>
          <w:color w:val="auto"/>
          <w:sz w:val="24"/>
          <w:szCs w:val="24"/>
          <w:highlight w:val="none"/>
        </w:rPr>
        <w:t>对市中心及分中心开展网络安全运维服务。</w:t>
      </w:r>
    </w:p>
    <w:p w14:paraId="7D16394A">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本项目服务</w:t>
      </w:r>
      <w:r>
        <w:rPr>
          <w:rFonts w:hint="eastAsia" w:ascii="宋体" w:eastAsia="宋体" w:cs="宋体"/>
          <w:color w:val="auto"/>
          <w:sz w:val="24"/>
          <w:szCs w:val="24"/>
          <w:highlight w:val="none"/>
          <w:lang w:val="en-US" w:eastAsia="zh-CN"/>
        </w:rPr>
        <w:t>内容</w:t>
      </w:r>
      <w:r>
        <w:rPr>
          <w:rFonts w:hint="eastAsia" w:ascii="宋体" w:eastAsia="宋体" w:cs="宋体"/>
          <w:color w:val="auto"/>
          <w:sz w:val="24"/>
          <w:szCs w:val="24"/>
          <w:highlight w:val="none"/>
        </w:rPr>
        <w:t>、要求具体如下：</w:t>
      </w:r>
    </w:p>
    <w:p w14:paraId="6443CD8E">
      <w:pPr>
        <w:keepNext w:val="0"/>
        <w:keepLines w:val="0"/>
        <w:pageBreakBefore w:val="0"/>
        <w:widowControl w:val="0"/>
        <w:numPr>
          <w:ilvl w:val="0"/>
          <w:numId w:val="1"/>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基础环境运维服务及安全软硬件产品维保服务内容及要求</w:t>
      </w:r>
    </w:p>
    <w:p w14:paraId="54306919">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运维设备及软硬件包括但不限于下表所列内容。</w:t>
      </w:r>
    </w:p>
    <w:p w14:paraId="0EFC1B74">
      <w:pPr>
        <w:keepNext w:val="0"/>
        <w:keepLines w:val="0"/>
        <w:pageBreakBefore w:val="0"/>
        <w:widowControl w:val="0"/>
        <w:numPr>
          <w:ilvl w:val="-1"/>
          <w:numId w:val="0"/>
        </w:numP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表1</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469"/>
        <w:gridCol w:w="545"/>
        <w:gridCol w:w="498"/>
        <w:gridCol w:w="1425"/>
        <w:gridCol w:w="2003"/>
        <w:gridCol w:w="2788"/>
      </w:tblGrid>
      <w:tr w14:paraId="49E6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4498AA82">
            <w:pPr>
              <w:snapToGrid w:val="0"/>
              <w:ind w:left="0" w:leftChars="0" w:right="0" w:rightChars="0" w:firstLine="0" w:firstLineChars="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793" w:type="pct"/>
            <w:vAlign w:val="center"/>
          </w:tcPr>
          <w:p w14:paraId="79A36A4D">
            <w:pPr>
              <w:snapToGrid w:val="0"/>
              <w:ind w:left="0" w:leftChars="0" w:right="0" w:rightChars="0" w:firstLine="0" w:firstLineChars="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设施类型</w:t>
            </w:r>
          </w:p>
        </w:tc>
        <w:tc>
          <w:tcPr>
            <w:tcW w:w="294" w:type="pct"/>
            <w:vAlign w:val="center"/>
          </w:tcPr>
          <w:p w14:paraId="2E510B55">
            <w:pPr>
              <w:snapToGrid w:val="0"/>
              <w:ind w:left="0" w:leftChars="0" w:right="0" w:rightChars="0" w:firstLine="0" w:firstLineChars="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数量</w:t>
            </w:r>
          </w:p>
        </w:tc>
        <w:tc>
          <w:tcPr>
            <w:tcW w:w="269" w:type="pct"/>
            <w:vAlign w:val="center"/>
          </w:tcPr>
          <w:p w14:paraId="794EE430">
            <w:pPr>
              <w:snapToGrid w:val="0"/>
              <w:ind w:left="0" w:leftChars="0" w:right="0" w:rightChars="0" w:firstLine="0" w:firstLineChars="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单位</w:t>
            </w:r>
          </w:p>
        </w:tc>
        <w:tc>
          <w:tcPr>
            <w:tcW w:w="769" w:type="pct"/>
            <w:vAlign w:val="center"/>
          </w:tcPr>
          <w:p w14:paraId="64004D95">
            <w:pPr>
              <w:snapToGrid w:val="0"/>
              <w:ind w:left="0" w:leftChars="0" w:right="0" w:rightChars="0" w:firstLine="0" w:firstLineChars="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服务要求</w:t>
            </w:r>
          </w:p>
        </w:tc>
        <w:tc>
          <w:tcPr>
            <w:tcW w:w="1081" w:type="pct"/>
            <w:vAlign w:val="center"/>
          </w:tcPr>
          <w:p w14:paraId="5DF83D98">
            <w:pPr>
              <w:snapToGrid w:val="0"/>
              <w:ind w:left="0" w:leftChars="0" w:right="0" w:rightChars="0" w:firstLine="0" w:firstLineChars="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维护时间</w:t>
            </w:r>
          </w:p>
        </w:tc>
        <w:tc>
          <w:tcPr>
            <w:tcW w:w="1504" w:type="pct"/>
            <w:vAlign w:val="center"/>
          </w:tcPr>
          <w:p w14:paraId="1A375C40">
            <w:pPr>
              <w:snapToGrid w:val="0"/>
              <w:ind w:left="0" w:leftChars="0" w:right="0" w:rightChars="0" w:firstLine="0" w:firstLineChars="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对应项目</w:t>
            </w:r>
          </w:p>
        </w:tc>
      </w:tr>
      <w:tr w14:paraId="5C2D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0C4FB2E6">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93" w:type="pct"/>
            <w:vAlign w:val="center"/>
          </w:tcPr>
          <w:p w14:paraId="238F664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维谛p2040精密空调</w:t>
            </w:r>
          </w:p>
        </w:tc>
        <w:tc>
          <w:tcPr>
            <w:tcW w:w="294" w:type="pct"/>
            <w:vAlign w:val="center"/>
          </w:tcPr>
          <w:p w14:paraId="16D4DBE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69" w:type="pct"/>
            <w:vAlign w:val="center"/>
          </w:tcPr>
          <w:p w14:paraId="29C6380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vAlign w:val="center"/>
          </w:tcPr>
          <w:p w14:paraId="0E998FE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设备检修、保养服务、每季度巡检一次</w:t>
            </w:r>
          </w:p>
        </w:tc>
        <w:tc>
          <w:tcPr>
            <w:tcW w:w="1081" w:type="pct"/>
            <w:vAlign w:val="center"/>
          </w:tcPr>
          <w:p w14:paraId="66922C1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vMerge w:val="restart"/>
            <w:vAlign w:val="center"/>
          </w:tcPr>
          <w:p w14:paraId="45CA0B4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2018南通市公路管理处数据中心机房升级改造项目采购编号：Z3206011180479（XJ176）、</w:t>
            </w:r>
          </w:p>
          <w:p w14:paraId="71C51DF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 xml:space="preserve">2022年南通市公路事业发展中心UPS机房改造及数据中心维保项目  </w:t>
            </w:r>
          </w:p>
          <w:p w14:paraId="54FAE84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采购编号：Z320601220330（CS145）</w:t>
            </w:r>
          </w:p>
        </w:tc>
      </w:tr>
      <w:tr w14:paraId="5157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7593F95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793" w:type="pct"/>
            <w:vAlign w:val="center"/>
          </w:tcPr>
          <w:p w14:paraId="16EDF44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维谛DME07精密空调</w:t>
            </w:r>
          </w:p>
        </w:tc>
        <w:tc>
          <w:tcPr>
            <w:tcW w:w="294" w:type="pct"/>
            <w:vAlign w:val="center"/>
          </w:tcPr>
          <w:p w14:paraId="644BE76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vAlign w:val="center"/>
          </w:tcPr>
          <w:p w14:paraId="3FA43B7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vAlign w:val="center"/>
          </w:tcPr>
          <w:p w14:paraId="2B9280E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设备检修、保养服务、每季度巡检一次</w:t>
            </w:r>
          </w:p>
        </w:tc>
        <w:tc>
          <w:tcPr>
            <w:tcW w:w="1081" w:type="pct"/>
            <w:shd w:val="clear" w:color="auto" w:fill="auto"/>
            <w:vAlign w:val="center"/>
          </w:tcPr>
          <w:p w14:paraId="0028604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vMerge w:val="continue"/>
            <w:vAlign w:val="center"/>
          </w:tcPr>
          <w:p w14:paraId="344A7AF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p>
        </w:tc>
      </w:tr>
      <w:tr w14:paraId="6A78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48B19BA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793" w:type="pct"/>
            <w:vAlign w:val="center"/>
          </w:tcPr>
          <w:p w14:paraId="61C9453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维谛 ITA2-30型号UPS主机</w:t>
            </w:r>
          </w:p>
        </w:tc>
        <w:tc>
          <w:tcPr>
            <w:tcW w:w="294" w:type="pct"/>
            <w:vAlign w:val="center"/>
          </w:tcPr>
          <w:p w14:paraId="5266532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69" w:type="pct"/>
            <w:vAlign w:val="center"/>
          </w:tcPr>
          <w:p w14:paraId="50E0E4B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vAlign w:val="center"/>
          </w:tcPr>
          <w:p w14:paraId="468C4CC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设备检修、保养服务、每季度巡检一次</w:t>
            </w:r>
          </w:p>
        </w:tc>
        <w:tc>
          <w:tcPr>
            <w:tcW w:w="1081" w:type="pct"/>
            <w:shd w:val="clear" w:color="auto" w:fill="auto"/>
            <w:vAlign w:val="center"/>
          </w:tcPr>
          <w:p w14:paraId="409E84D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vMerge w:val="continue"/>
            <w:vAlign w:val="center"/>
          </w:tcPr>
          <w:p w14:paraId="2C1397A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p>
        </w:tc>
      </w:tr>
      <w:tr w14:paraId="6DCF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7FFEB00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793" w:type="pct"/>
            <w:vAlign w:val="center"/>
          </w:tcPr>
          <w:p w14:paraId="4A7FA5C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机房环境监控、门禁</w:t>
            </w:r>
          </w:p>
        </w:tc>
        <w:tc>
          <w:tcPr>
            <w:tcW w:w="294" w:type="pct"/>
            <w:vAlign w:val="center"/>
          </w:tcPr>
          <w:p w14:paraId="51DB8C0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vAlign w:val="center"/>
          </w:tcPr>
          <w:p w14:paraId="6630A2B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批</w:t>
            </w:r>
          </w:p>
        </w:tc>
        <w:tc>
          <w:tcPr>
            <w:tcW w:w="769" w:type="pct"/>
            <w:vAlign w:val="center"/>
          </w:tcPr>
          <w:p w14:paraId="732ADA2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设备检修、保养服务、每季度巡检一次</w:t>
            </w:r>
          </w:p>
        </w:tc>
        <w:tc>
          <w:tcPr>
            <w:tcW w:w="1081" w:type="pct"/>
            <w:shd w:val="clear" w:color="auto" w:fill="auto"/>
            <w:vAlign w:val="center"/>
          </w:tcPr>
          <w:p w14:paraId="477EDB8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vMerge w:val="continue"/>
            <w:vAlign w:val="center"/>
          </w:tcPr>
          <w:p w14:paraId="3263DC1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p>
        </w:tc>
      </w:tr>
      <w:tr w14:paraId="5D7F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7BEFC48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793" w:type="pct"/>
            <w:vAlign w:val="center"/>
          </w:tcPr>
          <w:p w14:paraId="3D11141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中心外网出口防火墙</w:t>
            </w:r>
          </w:p>
        </w:tc>
        <w:tc>
          <w:tcPr>
            <w:tcW w:w="294" w:type="pct"/>
            <w:vAlign w:val="center"/>
          </w:tcPr>
          <w:p w14:paraId="75B80BD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vAlign w:val="center"/>
          </w:tcPr>
          <w:p w14:paraId="3DDE9CB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vAlign w:val="center"/>
          </w:tcPr>
          <w:p w14:paraId="0C5A916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规则库升级、软件版本升级、每月巡检一次</w:t>
            </w:r>
          </w:p>
        </w:tc>
        <w:tc>
          <w:tcPr>
            <w:tcW w:w="1081" w:type="pct"/>
            <w:shd w:val="clear" w:color="auto" w:fill="auto"/>
            <w:vAlign w:val="center"/>
          </w:tcPr>
          <w:p w14:paraId="756F473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vAlign w:val="center"/>
          </w:tcPr>
          <w:p w14:paraId="22514643">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 xml:space="preserve">2018年南通市公路管理处基层数据中心提升及安全运维升级项目  </w:t>
            </w:r>
          </w:p>
          <w:p w14:paraId="36BACEB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采购编号:Z32060118083（XJ322）</w:t>
            </w:r>
          </w:p>
        </w:tc>
      </w:tr>
      <w:tr w14:paraId="728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86" w:type="pct"/>
            <w:shd w:val="clear" w:color="auto" w:fill="auto"/>
            <w:vAlign w:val="center"/>
          </w:tcPr>
          <w:p w14:paraId="3F8C0713">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793" w:type="pct"/>
            <w:shd w:val="clear" w:color="auto" w:fill="auto"/>
            <w:vAlign w:val="center"/>
          </w:tcPr>
          <w:p w14:paraId="019EF4C6">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XDR</w:t>
            </w:r>
          </w:p>
        </w:tc>
        <w:tc>
          <w:tcPr>
            <w:tcW w:w="294" w:type="pct"/>
            <w:shd w:val="clear" w:color="auto" w:fill="auto"/>
            <w:vAlign w:val="center"/>
          </w:tcPr>
          <w:p w14:paraId="027D739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37ABF0A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套</w:t>
            </w:r>
          </w:p>
        </w:tc>
        <w:tc>
          <w:tcPr>
            <w:tcW w:w="769" w:type="pct"/>
            <w:shd w:val="clear" w:color="auto" w:fill="auto"/>
            <w:vAlign w:val="center"/>
          </w:tcPr>
          <w:p w14:paraId="266DA4A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规则库升级、软件版本升级、每月巡检一次</w:t>
            </w:r>
          </w:p>
        </w:tc>
        <w:tc>
          <w:tcPr>
            <w:tcW w:w="1081" w:type="pct"/>
            <w:shd w:val="clear" w:color="auto" w:fill="auto"/>
            <w:vAlign w:val="center"/>
          </w:tcPr>
          <w:p w14:paraId="6E36AF2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714616A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2021南通市公路事业发展中心数据中心改造及服务项目  采购编号: Z320601210236(ZB064)</w:t>
            </w:r>
          </w:p>
        </w:tc>
      </w:tr>
      <w:tr w14:paraId="5886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E31EC3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793" w:type="pct"/>
            <w:shd w:val="clear" w:color="auto" w:fill="auto"/>
            <w:vAlign w:val="center"/>
          </w:tcPr>
          <w:p w14:paraId="655BE7D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中心无线防火墙</w:t>
            </w:r>
          </w:p>
        </w:tc>
        <w:tc>
          <w:tcPr>
            <w:tcW w:w="294" w:type="pct"/>
            <w:shd w:val="clear" w:color="auto" w:fill="auto"/>
            <w:vAlign w:val="center"/>
          </w:tcPr>
          <w:p w14:paraId="0069666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72F5874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373B195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规则库升级、软件版本升级、每月巡检一次</w:t>
            </w:r>
          </w:p>
        </w:tc>
        <w:tc>
          <w:tcPr>
            <w:tcW w:w="1081" w:type="pct"/>
            <w:shd w:val="clear" w:color="auto" w:fill="auto"/>
            <w:vAlign w:val="center"/>
          </w:tcPr>
          <w:p w14:paraId="615CDA6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1DF274B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  采购编号:Z320601200442(XJ143)</w:t>
            </w:r>
          </w:p>
        </w:tc>
      </w:tr>
      <w:tr w14:paraId="6321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E36F373">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w:t>
            </w:r>
          </w:p>
        </w:tc>
        <w:tc>
          <w:tcPr>
            <w:tcW w:w="793" w:type="pct"/>
            <w:shd w:val="clear" w:color="auto" w:fill="auto"/>
            <w:vAlign w:val="center"/>
          </w:tcPr>
          <w:p w14:paraId="2F776896">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中心探针</w:t>
            </w:r>
          </w:p>
        </w:tc>
        <w:tc>
          <w:tcPr>
            <w:tcW w:w="294" w:type="pct"/>
            <w:shd w:val="clear" w:color="auto" w:fill="auto"/>
            <w:vAlign w:val="center"/>
          </w:tcPr>
          <w:p w14:paraId="5DC761F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69" w:type="pct"/>
            <w:shd w:val="clear" w:color="auto" w:fill="auto"/>
            <w:vAlign w:val="center"/>
          </w:tcPr>
          <w:p w14:paraId="5F34C56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1E2C8CF6">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规则库升级、软件版本升级、每月巡检一次</w:t>
            </w:r>
          </w:p>
        </w:tc>
        <w:tc>
          <w:tcPr>
            <w:tcW w:w="1081" w:type="pct"/>
            <w:shd w:val="clear" w:color="auto" w:fill="auto"/>
            <w:vAlign w:val="center"/>
          </w:tcPr>
          <w:p w14:paraId="46FE907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5A0C1E1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2020年南通市公路事业发展中心专网安全改造项目项目采购编号：Z320601200442(XJ143)</w:t>
            </w:r>
          </w:p>
          <w:p w14:paraId="23AE9C8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2021南通市公路事业发展中心数据中心改造及服务项目  采购编号: Z320601210236(ZB064)</w:t>
            </w:r>
          </w:p>
        </w:tc>
      </w:tr>
      <w:tr w14:paraId="59D0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F332BE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w:t>
            </w:r>
          </w:p>
        </w:tc>
        <w:tc>
          <w:tcPr>
            <w:tcW w:w="793" w:type="pct"/>
            <w:shd w:val="clear" w:color="auto" w:fill="auto"/>
            <w:vAlign w:val="center"/>
          </w:tcPr>
          <w:p w14:paraId="4E1DB2A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中心内外网EDR</w:t>
            </w:r>
          </w:p>
        </w:tc>
        <w:tc>
          <w:tcPr>
            <w:tcW w:w="294" w:type="pct"/>
            <w:shd w:val="clear" w:color="auto" w:fill="auto"/>
            <w:vAlign w:val="center"/>
          </w:tcPr>
          <w:p w14:paraId="08BDCF1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69" w:type="pct"/>
            <w:shd w:val="clear" w:color="auto" w:fill="auto"/>
            <w:vAlign w:val="center"/>
          </w:tcPr>
          <w:p w14:paraId="58CBD61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套</w:t>
            </w:r>
          </w:p>
        </w:tc>
        <w:tc>
          <w:tcPr>
            <w:tcW w:w="769" w:type="pct"/>
            <w:shd w:val="clear" w:color="auto" w:fill="auto"/>
            <w:vAlign w:val="center"/>
          </w:tcPr>
          <w:p w14:paraId="37A142B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规则库升级、软件版本升级、每月巡检一次</w:t>
            </w:r>
          </w:p>
        </w:tc>
        <w:tc>
          <w:tcPr>
            <w:tcW w:w="1081" w:type="pct"/>
            <w:shd w:val="clear" w:color="auto" w:fill="auto"/>
            <w:vAlign w:val="center"/>
          </w:tcPr>
          <w:p w14:paraId="0B0C90C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2A2E789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2020年南通市公路事业发展中心专网安全改造项目项目采购编号:  Z320601200442(XJ143）</w:t>
            </w:r>
          </w:p>
        </w:tc>
      </w:tr>
      <w:tr w14:paraId="5B1B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B8FC0F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w:t>
            </w:r>
          </w:p>
        </w:tc>
        <w:tc>
          <w:tcPr>
            <w:tcW w:w="793" w:type="pct"/>
            <w:shd w:val="clear" w:color="auto" w:fill="auto"/>
            <w:vAlign w:val="center"/>
          </w:tcPr>
          <w:p w14:paraId="5E0DF51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中心内网专线防火墙</w:t>
            </w:r>
          </w:p>
        </w:tc>
        <w:tc>
          <w:tcPr>
            <w:tcW w:w="294" w:type="pct"/>
            <w:shd w:val="clear" w:color="auto" w:fill="auto"/>
            <w:vAlign w:val="center"/>
          </w:tcPr>
          <w:p w14:paraId="1ED1DE46">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3DC1478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7414BB0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规则库升级、软件版本升级、每月巡检一次</w:t>
            </w:r>
          </w:p>
        </w:tc>
        <w:tc>
          <w:tcPr>
            <w:tcW w:w="1081" w:type="pct"/>
            <w:shd w:val="clear" w:color="auto" w:fill="auto"/>
            <w:vAlign w:val="center"/>
          </w:tcPr>
          <w:p w14:paraId="771FB33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7B14CF3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2020年南通市公路事业发展中心专网安全改造项目项目采购编号:   Z320601200442(XJ143)</w:t>
            </w:r>
          </w:p>
        </w:tc>
      </w:tr>
      <w:tr w14:paraId="09F4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4EC8E7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793" w:type="pct"/>
            <w:shd w:val="clear" w:color="auto" w:fill="auto"/>
            <w:vAlign w:val="center"/>
          </w:tcPr>
          <w:p w14:paraId="59E1035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中心服务器区防火墙</w:t>
            </w:r>
          </w:p>
        </w:tc>
        <w:tc>
          <w:tcPr>
            <w:tcW w:w="294" w:type="pct"/>
            <w:shd w:val="clear" w:color="auto" w:fill="auto"/>
            <w:vAlign w:val="center"/>
          </w:tcPr>
          <w:p w14:paraId="2870C2E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495F4D9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08E135F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规则库升级、软件版本升级、每月巡检一次</w:t>
            </w:r>
          </w:p>
        </w:tc>
        <w:tc>
          <w:tcPr>
            <w:tcW w:w="1081" w:type="pct"/>
            <w:shd w:val="clear" w:color="auto" w:fill="auto"/>
            <w:vAlign w:val="center"/>
          </w:tcPr>
          <w:p w14:paraId="6ECADEA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0FB918E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 采购编号：Z320601200442(XJ143）</w:t>
            </w:r>
          </w:p>
        </w:tc>
      </w:tr>
      <w:tr w14:paraId="43F5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0963F0F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w:t>
            </w:r>
          </w:p>
        </w:tc>
        <w:tc>
          <w:tcPr>
            <w:tcW w:w="793" w:type="pct"/>
            <w:shd w:val="clear" w:color="auto" w:fill="auto"/>
            <w:vAlign w:val="center"/>
          </w:tcPr>
          <w:p w14:paraId="214DED23">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分中心汇聚防火墙</w:t>
            </w:r>
          </w:p>
        </w:tc>
        <w:tc>
          <w:tcPr>
            <w:tcW w:w="294" w:type="pct"/>
            <w:shd w:val="clear" w:color="auto" w:fill="auto"/>
            <w:vAlign w:val="center"/>
          </w:tcPr>
          <w:p w14:paraId="2C0FF5A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69" w:type="pct"/>
            <w:shd w:val="clear" w:color="auto" w:fill="auto"/>
            <w:vAlign w:val="center"/>
          </w:tcPr>
          <w:p w14:paraId="739D38B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6908AE4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376A8A8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vAlign w:val="center"/>
          </w:tcPr>
          <w:p w14:paraId="46A61C2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2020年南通市公路事业发展中心专网安全改造项目项目采购编号:  Z320601200442(XJ143）</w:t>
            </w:r>
          </w:p>
        </w:tc>
      </w:tr>
      <w:tr w14:paraId="6912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55152E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13</w:t>
            </w:r>
          </w:p>
        </w:tc>
        <w:tc>
          <w:tcPr>
            <w:tcW w:w="793" w:type="pct"/>
            <w:shd w:val="clear" w:color="auto" w:fill="auto"/>
            <w:vAlign w:val="center"/>
          </w:tcPr>
          <w:p w14:paraId="6F4EFB6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分中心探针</w:t>
            </w:r>
          </w:p>
        </w:tc>
        <w:tc>
          <w:tcPr>
            <w:tcW w:w="294" w:type="pct"/>
            <w:shd w:val="clear" w:color="auto" w:fill="auto"/>
            <w:vAlign w:val="center"/>
          </w:tcPr>
          <w:p w14:paraId="07BC899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w:t>
            </w:r>
          </w:p>
        </w:tc>
        <w:tc>
          <w:tcPr>
            <w:tcW w:w="269" w:type="pct"/>
            <w:shd w:val="clear" w:color="auto" w:fill="auto"/>
            <w:vAlign w:val="center"/>
          </w:tcPr>
          <w:p w14:paraId="21FE47C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4BE5BF1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40ED0D16">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1319335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2020年南通市公路事业发展中心专网安全改造项目项目采购编号:  Z320601200442(XJ143）</w:t>
            </w:r>
          </w:p>
        </w:tc>
      </w:tr>
      <w:tr w14:paraId="4084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AC0E29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14</w:t>
            </w:r>
          </w:p>
        </w:tc>
        <w:tc>
          <w:tcPr>
            <w:tcW w:w="793" w:type="pct"/>
            <w:shd w:val="clear" w:color="auto" w:fill="auto"/>
            <w:vAlign w:val="center"/>
          </w:tcPr>
          <w:p w14:paraId="7361A59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分中心内外网防火墙</w:t>
            </w:r>
          </w:p>
        </w:tc>
        <w:tc>
          <w:tcPr>
            <w:tcW w:w="294" w:type="pct"/>
            <w:shd w:val="clear" w:color="auto" w:fill="auto"/>
            <w:vAlign w:val="center"/>
          </w:tcPr>
          <w:p w14:paraId="0A980BD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w:t>
            </w:r>
          </w:p>
        </w:tc>
        <w:tc>
          <w:tcPr>
            <w:tcW w:w="269" w:type="pct"/>
            <w:shd w:val="clear" w:color="auto" w:fill="auto"/>
            <w:vAlign w:val="center"/>
          </w:tcPr>
          <w:p w14:paraId="6FE8767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5B917A9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008A597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vAlign w:val="center"/>
          </w:tcPr>
          <w:p w14:paraId="4907B2E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2020年南通市公路事业发展中心专网安全改造项目项目采购编号:  Z320601200442(XJ143）</w:t>
            </w:r>
          </w:p>
        </w:tc>
      </w:tr>
      <w:tr w14:paraId="575B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C1BF89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w:t>
            </w:r>
          </w:p>
        </w:tc>
        <w:tc>
          <w:tcPr>
            <w:tcW w:w="793" w:type="pct"/>
            <w:shd w:val="clear" w:color="auto" w:fill="auto"/>
            <w:vAlign w:val="center"/>
          </w:tcPr>
          <w:p w14:paraId="498C05D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外网超融合</w:t>
            </w:r>
          </w:p>
        </w:tc>
        <w:tc>
          <w:tcPr>
            <w:tcW w:w="294" w:type="pct"/>
            <w:shd w:val="clear" w:color="auto" w:fill="auto"/>
            <w:vAlign w:val="center"/>
          </w:tcPr>
          <w:p w14:paraId="7624832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69" w:type="pct"/>
            <w:shd w:val="clear" w:color="auto" w:fill="auto"/>
            <w:vAlign w:val="center"/>
          </w:tcPr>
          <w:p w14:paraId="498A34D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0CFBBC7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413547D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09A68C76">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2021南通市公路事业发展中心数据中心改造及服务项目  采购编号:  Z320601210236(ZB064)</w:t>
            </w:r>
          </w:p>
        </w:tc>
      </w:tr>
      <w:tr w14:paraId="5A3C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EC9763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16</w:t>
            </w:r>
          </w:p>
        </w:tc>
        <w:tc>
          <w:tcPr>
            <w:tcW w:w="793" w:type="pct"/>
            <w:shd w:val="clear" w:color="auto" w:fill="auto"/>
            <w:vAlign w:val="center"/>
          </w:tcPr>
          <w:p w14:paraId="2012550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外网数据备份</w:t>
            </w:r>
          </w:p>
        </w:tc>
        <w:tc>
          <w:tcPr>
            <w:tcW w:w="294" w:type="pct"/>
            <w:shd w:val="clear" w:color="auto" w:fill="auto"/>
            <w:vAlign w:val="center"/>
          </w:tcPr>
          <w:p w14:paraId="7808EE0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362EF1C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7FEFFE3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5268920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6FC8731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  采购编号：Z320601200442(XJ143)</w:t>
            </w:r>
          </w:p>
        </w:tc>
      </w:tr>
      <w:tr w14:paraId="14D1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E6CC8B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17</w:t>
            </w:r>
          </w:p>
        </w:tc>
        <w:tc>
          <w:tcPr>
            <w:tcW w:w="793" w:type="pct"/>
            <w:shd w:val="clear" w:color="auto" w:fill="auto"/>
            <w:vAlign w:val="center"/>
          </w:tcPr>
          <w:p w14:paraId="0FF429B3">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瑞数WAF</w:t>
            </w:r>
          </w:p>
        </w:tc>
        <w:tc>
          <w:tcPr>
            <w:tcW w:w="294" w:type="pct"/>
            <w:shd w:val="clear" w:color="auto" w:fill="auto"/>
            <w:vAlign w:val="center"/>
          </w:tcPr>
          <w:p w14:paraId="1E27038C">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3C6AF24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套</w:t>
            </w:r>
          </w:p>
        </w:tc>
        <w:tc>
          <w:tcPr>
            <w:tcW w:w="769" w:type="pct"/>
            <w:shd w:val="clear" w:color="auto" w:fill="auto"/>
            <w:vAlign w:val="center"/>
          </w:tcPr>
          <w:p w14:paraId="0AAB9BB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6049B0D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62FD391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2021南通市公路事业发展中心数据中心改造及服务项目  采购编号: Z320601210236(ZB064)</w:t>
            </w:r>
          </w:p>
        </w:tc>
      </w:tr>
      <w:tr w14:paraId="26DE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956710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18</w:t>
            </w:r>
          </w:p>
        </w:tc>
        <w:tc>
          <w:tcPr>
            <w:tcW w:w="793" w:type="pct"/>
            <w:shd w:val="clear" w:color="auto" w:fill="auto"/>
            <w:vAlign w:val="center"/>
          </w:tcPr>
          <w:p w14:paraId="3699B12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信锐无线网络控制中心</w:t>
            </w:r>
          </w:p>
        </w:tc>
        <w:tc>
          <w:tcPr>
            <w:tcW w:w="294" w:type="pct"/>
            <w:shd w:val="clear" w:color="auto" w:fill="auto"/>
            <w:vAlign w:val="center"/>
          </w:tcPr>
          <w:p w14:paraId="5F8833D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33C56B4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1D7CA58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688CD5F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5170DA5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2021年南通市公路事业发展中心视频会议室无纸化会议系统及谈话音视频建设项目</w:t>
            </w:r>
          </w:p>
        </w:tc>
      </w:tr>
      <w:tr w14:paraId="37E5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A5241F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19</w:t>
            </w:r>
          </w:p>
        </w:tc>
        <w:tc>
          <w:tcPr>
            <w:tcW w:w="793" w:type="pct"/>
            <w:shd w:val="clear" w:color="auto" w:fill="auto"/>
            <w:vAlign w:val="center"/>
          </w:tcPr>
          <w:p w14:paraId="356144A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内网日志审计</w:t>
            </w:r>
          </w:p>
        </w:tc>
        <w:tc>
          <w:tcPr>
            <w:tcW w:w="294" w:type="pct"/>
            <w:shd w:val="clear" w:color="auto" w:fill="auto"/>
            <w:vAlign w:val="center"/>
          </w:tcPr>
          <w:p w14:paraId="267160F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697A1E6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5C986A7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567E5863">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1BFB6F6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 xml:space="preserve">2018年南通市公路管理处基层数据中心提升及安全运维升级项目  </w:t>
            </w:r>
          </w:p>
          <w:p w14:paraId="4FEC4D9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采购编号:Z320601180838（XJ322）</w:t>
            </w:r>
          </w:p>
        </w:tc>
      </w:tr>
      <w:tr w14:paraId="1583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5DB823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w:t>
            </w:r>
          </w:p>
        </w:tc>
        <w:tc>
          <w:tcPr>
            <w:tcW w:w="793" w:type="pct"/>
            <w:shd w:val="clear" w:color="auto" w:fill="auto"/>
            <w:vAlign w:val="center"/>
          </w:tcPr>
          <w:p w14:paraId="6AAFC2D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内网数据库审计</w:t>
            </w:r>
          </w:p>
        </w:tc>
        <w:tc>
          <w:tcPr>
            <w:tcW w:w="294" w:type="pct"/>
            <w:shd w:val="clear" w:color="auto" w:fill="auto"/>
            <w:vAlign w:val="center"/>
          </w:tcPr>
          <w:p w14:paraId="5928A3F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51624AC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5F9BCEC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4E23320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1F32FEA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 xml:space="preserve">2019年南通市公路管理处网络安全采购项目  </w:t>
            </w:r>
          </w:p>
          <w:p w14:paraId="7ABA36A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项目编号：Z320601190507(XJ188）</w:t>
            </w:r>
          </w:p>
        </w:tc>
      </w:tr>
      <w:tr w14:paraId="662D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D6A7C6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21</w:t>
            </w:r>
          </w:p>
        </w:tc>
        <w:tc>
          <w:tcPr>
            <w:tcW w:w="793" w:type="pct"/>
            <w:shd w:val="clear" w:color="auto" w:fill="auto"/>
            <w:vAlign w:val="center"/>
          </w:tcPr>
          <w:p w14:paraId="3573032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全景灾备系统</w:t>
            </w:r>
          </w:p>
        </w:tc>
        <w:tc>
          <w:tcPr>
            <w:tcW w:w="294" w:type="pct"/>
            <w:shd w:val="clear" w:color="auto" w:fill="auto"/>
            <w:vAlign w:val="center"/>
          </w:tcPr>
          <w:p w14:paraId="06ABB2C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102035D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248E44F4">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668955F3">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0EF26E6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2021南通市公路事业发展中心数据中心改造及服务项目 采购编号:  Z320601210236(ZB064)</w:t>
            </w:r>
          </w:p>
        </w:tc>
      </w:tr>
      <w:tr w14:paraId="47F8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0611D38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22</w:t>
            </w:r>
          </w:p>
        </w:tc>
        <w:tc>
          <w:tcPr>
            <w:tcW w:w="793" w:type="pct"/>
            <w:shd w:val="clear" w:color="auto" w:fill="auto"/>
            <w:vAlign w:val="center"/>
          </w:tcPr>
          <w:p w14:paraId="06AFA73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内网虚拟化</w:t>
            </w:r>
          </w:p>
        </w:tc>
        <w:tc>
          <w:tcPr>
            <w:tcW w:w="294" w:type="pct"/>
            <w:shd w:val="clear" w:color="auto" w:fill="auto"/>
            <w:vAlign w:val="center"/>
          </w:tcPr>
          <w:p w14:paraId="55A1AB0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69" w:type="pct"/>
            <w:shd w:val="clear" w:color="auto" w:fill="auto"/>
            <w:vAlign w:val="center"/>
          </w:tcPr>
          <w:p w14:paraId="3AED1B2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252A1F8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7B2EC9C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1889323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 xml:space="preserve">2017年南通市公路管理处虚拟化改造升级项目 </w:t>
            </w:r>
          </w:p>
          <w:p w14:paraId="1C27EE06">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项目编号：2017XJ4022</w:t>
            </w:r>
          </w:p>
        </w:tc>
      </w:tr>
      <w:tr w14:paraId="71C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6" w:type="pct"/>
            <w:shd w:val="clear" w:color="auto" w:fill="auto"/>
            <w:vAlign w:val="center"/>
          </w:tcPr>
          <w:p w14:paraId="75C0CD0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23</w:t>
            </w:r>
          </w:p>
        </w:tc>
        <w:tc>
          <w:tcPr>
            <w:tcW w:w="793" w:type="pct"/>
            <w:shd w:val="clear" w:color="auto" w:fill="auto"/>
            <w:vAlign w:val="center"/>
          </w:tcPr>
          <w:p w14:paraId="7FD3286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外网日志审计</w:t>
            </w:r>
          </w:p>
        </w:tc>
        <w:tc>
          <w:tcPr>
            <w:tcW w:w="294" w:type="pct"/>
            <w:shd w:val="clear" w:color="auto" w:fill="auto"/>
            <w:vAlign w:val="center"/>
          </w:tcPr>
          <w:p w14:paraId="6A0A442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300D25A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0BEEECD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03D8BA5D">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26F7A5D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 xml:space="preserve">2019年南通市公路管理处网络安全采购项目  </w:t>
            </w:r>
          </w:p>
        </w:tc>
      </w:tr>
      <w:tr w14:paraId="3D02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049A7B9E">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24</w:t>
            </w:r>
          </w:p>
        </w:tc>
        <w:tc>
          <w:tcPr>
            <w:tcW w:w="793" w:type="pct"/>
            <w:shd w:val="clear" w:color="auto" w:fill="auto"/>
            <w:vAlign w:val="center"/>
          </w:tcPr>
          <w:p w14:paraId="19BACF48">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零信任</w:t>
            </w:r>
          </w:p>
        </w:tc>
        <w:tc>
          <w:tcPr>
            <w:tcW w:w="294" w:type="pct"/>
            <w:shd w:val="clear" w:color="auto" w:fill="auto"/>
            <w:vAlign w:val="center"/>
          </w:tcPr>
          <w:p w14:paraId="2B90FDB0">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69" w:type="pct"/>
            <w:shd w:val="clear" w:color="auto" w:fill="auto"/>
            <w:vAlign w:val="center"/>
          </w:tcPr>
          <w:p w14:paraId="6827FAC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4D2914D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1D134D6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1C08FCBA">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2021年南通公路零信任安全架构体系应用研究</w:t>
            </w:r>
          </w:p>
        </w:tc>
      </w:tr>
      <w:tr w14:paraId="1BB1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6687348B">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25</w:t>
            </w:r>
          </w:p>
        </w:tc>
        <w:tc>
          <w:tcPr>
            <w:tcW w:w="793" w:type="pct"/>
            <w:shd w:val="clear" w:color="auto" w:fill="auto"/>
            <w:vAlign w:val="center"/>
          </w:tcPr>
          <w:p w14:paraId="63CF3861">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态势感知平台</w:t>
            </w:r>
          </w:p>
        </w:tc>
        <w:tc>
          <w:tcPr>
            <w:tcW w:w="294" w:type="pct"/>
            <w:shd w:val="clear" w:color="auto" w:fill="auto"/>
            <w:vAlign w:val="center"/>
          </w:tcPr>
          <w:p w14:paraId="212081DF">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9" w:type="pct"/>
            <w:shd w:val="clear" w:color="auto" w:fill="auto"/>
            <w:vAlign w:val="center"/>
          </w:tcPr>
          <w:p w14:paraId="3D9FA4D7">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769" w:type="pct"/>
            <w:shd w:val="clear" w:color="auto" w:fill="auto"/>
            <w:vAlign w:val="center"/>
          </w:tcPr>
          <w:p w14:paraId="77CCF072">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每月巡检一次</w:t>
            </w:r>
          </w:p>
        </w:tc>
        <w:tc>
          <w:tcPr>
            <w:tcW w:w="1081" w:type="pct"/>
            <w:shd w:val="clear" w:color="auto" w:fill="auto"/>
            <w:vAlign w:val="center"/>
          </w:tcPr>
          <w:p w14:paraId="2905C515">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2026年1月1日至2026年12月31日</w:t>
            </w:r>
          </w:p>
        </w:tc>
        <w:tc>
          <w:tcPr>
            <w:tcW w:w="1504" w:type="pct"/>
            <w:shd w:val="clear" w:color="auto" w:fill="auto"/>
            <w:vAlign w:val="center"/>
          </w:tcPr>
          <w:p w14:paraId="05B219C9">
            <w:pPr>
              <w:snapToGrid w:val="0"/>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2020年南通市公路事业发展中心专网安全改造项目项目采购编号:  Z320601200442(XJ143)</w:t>
            </w:r>
          </w:p>
        </w:tc>
      </w:tr>
    </w:tbl>
    <w:p w14:paraId="2F0B9F1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（二）网络安全运维服务内容及要求</w:t>
      </w:r>
    </w:p>
    <w:p w14:paraId="23506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网络安全</w:t>
      </w:r>
      <w:r>
        <w:rPr>
          <w:rFonts w:hint="eastAsia" w:ascii="宋体" w:hAnsi="宋体" w:eastAsia="宋体" w:cs="宋体"/>
          <w:sz w:val="24"/>
          <w:szCs w:val="24"/>
          <w:highlight w:val="none"/>
          <w:lang w:val="en-US" w:eastAsia="zh-CN"/>
        </w:rPr>
        <w:t>运维</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内容，详见表2。</w:t>
      </w:r>
    </w:p>
    <w:p w14:paraId="413BE9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w:t>
      </w:r>
    </w:p>
    <w:tbl>
      <w:tblPr>
        <w:tblStyle w:val="20"/>
        <w:tblW w:w="89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7"/>
        <w:gridCol w:w="1542"/>
        <w:gridCol w:w="5965"/>
        <w:gridCol w:w="1001"/>
      </w:tblGrid>
      <w:tr w14:paraId="5236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4521F992">
            <w:pPr>
              <w:jc w:val="center"/>
              <w:rPr>
                <w:rFonts w:hint="eastAsia" w:ascii="宋体" w:hAnsi="宋体" w:eastAsia="宋体" w:cs="宋体"/>
                <w:b/>
                <w:bCs/>
                <w:szCs w:val="21"/>
                <w:highlight w:val="none"/>
                <w:u w:val="none"/>
              </w:rPr>
            </w:pPr>
            <w:r>
              <w:rPr>
                <w:rFonts w:hint="eastAsia" w:ascii="宋体" w:hAnsi="宋体" w:eastAsia="宋体" w:cs="宋体"/>
                <w:b/>
                <w:bCs/>
                <w:szCs w:val="21"/>
                <w:highlight w:val="none"/>
                <w:u w:val="none"/>
              </w:rPr>
              <w:t>序号</w:t>
            </w:r>
          </w:p>
        </w:tc>
        <w:tc>
          <w:tcPr>
            <w:tcW w:w="1542" w:type="dxa"/>
            <w:vAlign w:val="center"/>
          </w:tcPr>
          <w:p w14:paraId="60FBAF35">
            <w:pPr>
              <w:jc w:val="center"/>
              <w:rPr>
                <w:rFonts w:hint="eastAsia" w:ascii="宋体" w:hAnsi="宋体" w:eastAsia="宋体" w:cs="宋体"/>
                <w:b/>
                <w:bCs/>
                <w:szCs w:val="21"/>
                <w:highlight w:val="none"/>
                <w:u w:val="none"/>
              </w:rPr>
            </w:pPr>
            <w:r>
              <w:rPr>
                <w:rFonts w:hint="eastAsia" w:ascii="宋体" w:hAnsi="宋体" w:eastAsia="宋体" w:cs="宋体"/>
                <w:b/>
                <w:bCs/>
                <w:szCs w:val="21"/>
                <w:highlight w:val="none"/>
                <w:u w:val="none"/>
              </w:rPr>
              <w:t>服务名称</w:t>
            </w:r>
          </w:p>
        </w:tc>
        <w:tc>
          <w:tcPr>
            <w:tcW w:w="5965" w:type="dxa"/>
            <w:vAlign w:val="center"/>
          </w:tcPr>
          <w:p w14:paraId="6E011071">
            <w:pPr>
              <w:jc w:val="center"/>
              <w:rPr>
                <w:rFonts w:hint="eastAsia" w:ascii="宋体" w:hAnsi="宋体" w:eastAsia="宋体" w:cs="宋体"/>
                <w:b/>
                <w:bCs/>
                <w:szCs w:val="21"/>
                <w:highlight w:val="none"/>
                <w:u w:val="none"/>
              </w:rPr>
            </w:pPr>
            <w:r>
              <w:rPr>
                <w:rFonts w:hint="eastAsia" w:ascii="宋体" w:hAnsi="宋体" w:eastAsia="宋体" w:cs="宋体"/>
                <w:b/>
                <w:bCs/>
                <w:szCs w:val="21"/>
                <w:highlight w:val="none"/>
                <w:u w:val="none"/>
              </w:rPr>
              <w:t>服务内容</w:t>
            </w:r>
          </w:p>
        </w:tc>
        <w:tc>
          <w:tcPr>
            <w:tcW w:w="1001" w:type="dxa"/>
            <w:vAlign w:val="center"/>
          </w:tcPr>
          <w:p w14:paraId="666D4896">
            <w:pPr>
              <w:jc w:val="center"/>
              <w:rPr>
                <w:rFonts w:hint="eastAsia" w:ascii="宋体" w:hAnsi="宋体" w:eastAsia="宋体" w:cs="宋体"/>
                <w:b/>
                <w:bCs/>
                <w:szCs w:val="21"/>
                <w:highlight w:val="none"/>
                <w:u w:val="none"/>
              </w:rPr>
            </w:pPr>
            <w:r>
              <w:rPr>
                <w:rFonts w:hint="eastAsia" w:ascii="宋体" w:hAnsi="宋体" w:eastAsia="宋体" w:cs="宋体"/>
                <w:b/>
                <w:bCs/>
                <w:szCs w:val="21"/>
                <w:highlight w:val="none"/>
                <w:u w:val="none"/>
              </w:rPr>
              <w:t>服务频率</w:t>
            </w:r>
          </w:p>
        </w:tc>
      </w:tr>
      <w:tr w14:paraId="0422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trPr>
        <w:tc>
          <w:tcPr>
            <w:tcW w:w="397" w:type="dxa"/>
            <w:tcBorders>
              <w:top w:val="single" w:color="auto" w:sz="4" w:space="0"/>
              <w:left w:val="single" w:color="auto" w:sz="4" w:space="0"/>
              <w:bottom w:val="single" w:color="auto" w:sz="4" w:space="0"/>
              <w:right w:val="single" w:color="auto" w:sz="4" w:space="0"/>
            </w:tcBorders>
            <w:vAlign w:val="center"/>
          </w:tcPr>
          <w:p w14:paraId="29F09AE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w:t>
            </w:r>
          </w:p>
        </w:tc>
        <w:tc>
          <w:tcPr>
            <w:tcW w:w="1542" w:type="dxa"/>
            <w:vAlign w:val="center"/>
          </w:tcPr>
          <w:p w14:paraId="0F8A37C8">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主机漏洞/弱口令扫描服务</w:t>
            </w:r>
          </w:p>
        </w:tc>
        <w:tc>
          <w:tcPr>
            <w:tcW w:w="5965" w:type="dxa"/>
            <w:vAlign w:val="center"/>
          </w:tcPr>
          <w:p w14:paraId="0F5E08EC">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对所有主机、网络设备、操作系统、数据库、中间件等进行常态化的漏洞与弱口令扫描，提供漏洞、弱口令扫描结果与整改建议</w:t>
            </w:r>
          </w:p>
        </w:tc>
        <w:tc>
          <w:tcPr>
            <w:tcW w:w="1001" w:type="dxa"/>
            <w:vAlign w:val="center"/>
          </w:tcPr>
          <w:p w14:paraId="52D056FC">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每季度按需</w:t>
            </w:r>
          </w:p>
        </w:tc>
      </w:tr>
      <w:tr w14:paraId="44D4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28E69DD0">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2</w:t>
            </w:r>
          </w:p>
        </w:tc>
        <w:tc>
          <w:tcPr>
            <w:tcW w:w="1542" w:type="dxa"/>
            <w:vAlign w:val="center"/>
          </w:tcPr>
          <w:p w14:paraId="68ABCD86">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应急演练</w:t>
            </w:r>
          </w:p>
        </w:tc>
        <w:tc>
          <w:tcPr>
            <w:tcW w:w="5965" w:type="dxa"/>
            <w:vAlign w:val="center"/>
          </w:tcPr>
          <w:p w14:paraId="6D502286">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每年按需提供网络安全应急演练服务，可选“网页挂马、网页篡改、勒索病毒、邮件钓鱼”等多类安全事件的应急演练</w:t>
            </w:r>
          </w:p>
        </w:tc>
        <w:tc>
          <w:tcPr>
            <w:tcW w:w="1001" w:type="dxa"/>
            <w:vAlign w:val="center"/>
          </w:tcPr>
          <w:p w14:paraId="2F766A7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1次/年(按需)</w:t>
            </w:r>
          </w:p>
        </w:tc>
      </w:tr>
      <w:tr w14:paraId="40CD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397" w:type="dxa"/>
            <w:tcBorders>
              <w:top w:val="single" w:color="auto" w:sz="4" w:space="0"/>
              <w:left w:val="single" w:color="auto" w:sz="4" w:space="0"/>
              <w:bottom w:val="single" w:color="auto" w:sz="4" w:space="0"/>
              <w:right w:val="single" w:color="auto" w:sz="4" w:space="0"/>
            </w:tcBorders>
            <w:vAlign w:val="center"/>
          </w:tcPr>
          <w:p w14:paraId="658CBA73">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3</w:t>
            </w:r>
          </w:p>
        </w:tc>
        <w:tc>
          <w:tcPr>
            <w:tcW w:w="1542" w:type="dxa"/>
            <w:vAlign w:val="center"/>
          </w:tcPr>
          <w:p w14:paraId="47ED9449">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内网主机资产测绘与梳理服务</w:t>
            </w:r>
          </w:p>
        </w:tc>
        <w:tc>
          <w:tcPr>
            <w:tcW w:w="5965" w:type="dxa"/>
            <w:vAlign w:val="center"/>
          </w:tcPr>
          <w:p w14:paraId="37B82444">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探测存活的内网资产，包括服务器、终端、网络设备、摄像头等，跟踪资产变更趋势，形成可动态维护的资产台账</w:t>
            </w:r>
          </w:p>
        </w:tc>
        <w:tc>
          <w:tcPr>
            <w:tcW w:w="1001" w:type="dxa"/>
            <w:vAlign w:val="center"/>
          </w:tcPr>
          <w:p w14:paraId="47387884">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1次/年(按需)</w:t>
            </w:r>
          </w:p>
        </w:tc>
      </w:tr>
      <w:tr w14:paraId="701F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397" w:type="dxa"/>
            <w:tcBorders>
              <w:top w:val="single" w:color="auto" w:sz="4" w:space="0"/>
              <w:left w:val="single" w:color="auto" w:sz="4" w:space="0"/>
              <w:bottom w:val="single" w:color="auto" w:sz="4" w:space="0"/>
              <w:right w:val="single" w:color="auto" w:sz="4" w:space="0"/>
            </w:tcBorders>
            <w:vAlign w:val="center"/>
          </w:tcPr>
          <w:p w14:paraId="60890A86">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4</w:t>
            </w:r>
          </w:p>
        </w:tc>
        <w:tc>
          <w:tcPr>
            <w:tcW w:w="1542" w:type="dxa"/>
            <w:vAlign w:val="center"/>
          </w:tcPr>
          <w:p w14:paraId="3E1E4A07">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安全培训</w:t>
            </w:r>
          </w:p>
        </w:tc>
        <w:tc>
          <w:tcPr>
            <w:tcW w:w="5965" w:type="dxa"/>
            <w:vAlign w:val="center"/>
          </w:tcPr>
          <w:p w14:paraId="7AC1CD99">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对技术人员、一般员工、管理人员进行周期性的安全意识、安全技术、安全管理等内容进行选择性培训，加强整体的安全水平</w:t>
            </w:r>
          </w:p>
        </w:tc>
        <w:tc>
          <w:tcPr>
            <w:tcW w:w="1001" w:type="dxa"/>
            <w:vAlign w:val="center"/>
          </w:tcPr>
          <w:p w14:paraId="4C323DAD">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1次/年(按需)</w:t>
            </w:r>
          </w:p>
        </w:tc>
      </w:tr>
      <w:tr w14:paraId="13C2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56136923">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5</w:t>
            </w:r>
          </w:p>
        </w:tc>
        <w:tc>
          <w:tcPr>
            <w:tcW w:w="1542" w:type="dxa"/>
            <w:vAlign w:val="center"/>
          </w:tcPr>
          <w:p w14:paraId="48CD32A4">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漏洞加固指导服务</w:t>
            </w:r>
          </w:p>
        </w:tc>
        <w:tc>
          <w:tcPr>
            <w:tcW w:w="5965" w:type="dxa"/>
            <w:vAlign w:val="center"/>
          </w:tcPr>
          <w:p w14:paraId="5D909816">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基于攻防视角评估资产漏洞风险，识别可实际产生风险的漏洞，提供漏洞修复的优先级建议，减少漏洞整改工作量</w:t>
            </w:r>
          </w:p>
        </w:tc>
        <w:tc>
          <w:tcPr>
            <w:tcW w:w="1001" w:type="dxa"/>
            <w:vAlign w:val="center"/>
          </w:tcPr>
          <w:p w14:paraId="38DB4F33">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每年按需</w:t>
            </w:r>
          </w:p>
        </w:tc>
      </w:tr>
      <w:tr w14:paraId="4B1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3" w:hRule="atLeast"/>
        </w:trPr>
        <w:tc>
          <w:tcPr>
            <w:tcW w:w="397" w:type="dxa"/>
            <w:tcBorders>
              <w:top w:val="single" w:color="auto" w:sz="4" w:space="0"/>
              <w:left w:val="single" w:color="auto" w:sz="4" w:space="0"/>
              <w:bottom w:val="single" w:color="auto" w:sz="4" w:space="0"/>
              <w:right w:val="single" w:color="auto" w:sz="4" w:space="0"/>
            </w:tcBorders>
            <w:vAlign w:val="center"/>
          </w:tcPr>
          <w:p w14:paraId="18C4A567">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6</w:t>
            </w:r>
          </w:p>
        </w:tc>
        <w:tc>
          <w:tcPr>
            <w:tcW w:w="1542" w:type="dxa"/>
            <w:vAlign w:val="center"/>
          </w:tcPr>
          <w:p w14:paraId="6FD9058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整体安全咨询服务</w:t>
            </w:r>
          </w:p>
        </w:tc>
        <w:tc>
          <w:tcPr>
            <w:tcW w:w="5965" w:type="dxa"/>
            <w:vAlign w:val="center"/>
          </w:tcPr>
          <w:p w14:paraId="088B73F2">
            <w:pPr>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rPr>
              <w:t>依据国家/国际信息安全标准、信息安全策略及行业发展动态，在对用户信息安全现状进行风险评估、差距分析的基础上，从安全技术、安全管理、安全运营三个角度构建短期、中期与长期的信息安全规划，将信息安全的单点风险控制转变为全面的安全规划，进而推动有效的信息安全建设并建立完整的信息安全保障体系</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u w:val="none"/>
              </w:rPr>
              <w:t>协助梳理</w:t>
            </w:r>
            <w:r>
              <w:rPr>
                <w:rFonts w:hint="eastAsia" w:ascii="宋体" w:hAnsi="宋体" w:eastAsia="宋体" w:cs="宋体"/>
                <w:szCs w:val="21"/>
                <w:highlight w:val="none"/>
                <w:u w:val="none"/>
                <w:lang w:val="en-US" w:eastAsia="zh-CN"/>
              </w:rPr>
              <w:t>完善</w:t>
            </w:r>
            <w:r>
              <w:rPr>
                <w:rFonts w:hint="eastAsia" w:ascii="宋体" w:hAnsi="宋体" w:eastAsia="宋体" w:cs="宋体"/>
                <w:szCs w:val="21"/>
                <w:highlight w:val="none"/>
                <w:u w:val="none"/>
              </w:rPr>
              <w:t>现有信息安全管理制度</w:t>
            </w:r>
            <w:r>
              <w:rPr>
                <w:rFonts w:hint="eastAsia" w:ascii="宋体" w:hAnsi="宋体" w:eastAsia="宋体" w:cs="宋体"/>
                <w:szCs w:val="21"/>
                <w:highlight w:val="none"/>
                <w:u w:val="none"/>
                <w:lang w:eastAsia="zh-CN"/>
              </w:rPr>
              <w:t>。</w:t>
            </w:r>
          </w:p>
        </w:tc>
        <w:tc>
          <w:tcPr>
            <w:tcW w:w="1001" w:type="dxa"/>
            <w:vAlign w:val="center"/>
          </w:tcPr>
          <w:p w14:paraId="2959F259">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每年按需</w:t>
            </w:r>
          </w:p>
        </w:tc>
      </w:tr>
      <w:tr w14:paraId="4D8E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04565165">
            <w:pPr>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7</w:t>
            </w:r>
          </w:p>
        </w:tc>
        <w:tc>
          <w:tcPr>
            <w:tcW w:w="1542" w:type="dxa"/>
            <w:vAlign w:val="center"/>
          </w:tcPr>
          <w:p w14:paraId="1EB8225C">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重保值守服务</w:t>
            </w:r>
          </w:p>
        </w:tc>
        <w:tc>
          <w:tcPr>
            <w:tcW w:w="5965" w:type="dxa"/>
            <w:vAlign w:val="center"/>
          </w:tcPr>
          <w:p w14:paraId="1A240C60">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重点时期、节日提供专业团队技术、设备的保障</w:t>
            </w:r>
          </w:p>
        </w:tc>
        <w:tc>
          <w:tcPr>
            <w:tcW w:w="1001" w:type="dxa"/>
            <w:vAlign w:val="center"/>
          </w:tcPr>
          <w:p w14:paraId="1FF7DAD2">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每年按需</w:t>
            </w:r>
          </w:p>
        </w:tc>
      </w:tr>
      <w:tr w14:paraId="5209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4321C1DA">
            <w:pPr>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8</w:t>
            </w:r>
          </w:p>
        </w:tc>
        <w:tc>
          <w:tcPr>
            <w:tcW w:w="1542" w:type="dxa"/>
            <w:vAlign w:val="center"/>
          </w:tcPr>
          <w:p w14:paraId="14D0F09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设备安全巡检</w:t>
            </w:r>
          </w:p>
        </w:tc>
        <w:tc>
          <w:tcPr>
            <w:tcW w:w="5965" w:type="dxa"/>
            <w:vAlign w:val="center"/>
          </w:tcPr>
          <w:p w14:paraId="1887D828">
            <w:pPr>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rPr>
              <w:t>建设信息安全巡检机制，同时对巡检情况出具专业的巡检报告</w:t>
            </w:r>
          </w:p>
        </w:tc>
        <w:tc>
          <w:tcPr>
            <w:tcW w:w="1001" w:type="dxa"/>
            <w:vAlign w:val="center"/>
          </w:tcPr>
          <w:p w14:paraId="63C0E8F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1次/月</w:t>
            </w:r>
          </w:p>
        </w:tc>
      </w:tr>
    </w:tbl>
    <w:p w14:paraId="77A0153E">
      <w:pPr>
        <w:keepNext w:val="0"/>
        <w:keepLines w:val="0"/>
        <w:pageBreakBefore w:val="0"/>
        <w:widowControl w:val="0"/>
        <w:numPr>
          <w:ilvl w:val="255"/>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2、网络安全运维服务要求</w:t>
      </w:r>
    </w:p>
    <w:p w14:paraId="6E67110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提供项目咨询、新增互联网暴露面管理、WEB站点安全监测、漏洞加固辅助、事件告警通告、数据安全咨询、管理体系建设服务等。</w:t>
      </w:r>
    </w:p>
    <w:p w14:paraId="7E5C2D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提供安全上网dns防护和上网管控服务，防止用户中毒后私联僵尸主机。</w:t>
      </w:r>
    </w:p>
    <w:tbl>
      <w:tblPr>
        <w:tblStyle w:val="20"/>
        <w:tblpPr w:leftFromText="180" w:rightFromText="180" w:vertAnchor="text" w:tblpX="14395" w:tblpY="1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tblGrid>
      <w:tr w14:paraId="233F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511" w:type="dxa"/>
          </w:tcPr>
          <w:p w14:paraId="39F7A245">
            <w:pPr>
              <w:keepNext w:val="0"/>
              <w:keepLines w:val="0"/>
              <w:pageBreakBefore w:val="0"/>
              <w:widowControl w:val="0"/>
              <w:numPr>
                <w:ilvl w:val="255"/>
                <w:numId w:val="0"/>
              </w:numPr>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tc>
      </w:tr>
    </w:tbl>
    <w:p w14:paraId="0D69F76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巡检要求：对市中心防火墙、探针、内外网应用服务器等设备做好月度安全扫描巡检并出具《巡检报告》。巡检清单详见</w:t>
      </w:r>
      <w:r>
        <w:rPr>
          <w:rFonts w:hint="eastAsia" w:ascii="宋体" w:hAnsi="宋体" w:eastAsia="宋体" w:cs="宋体"/>
          <w:sz w:val="24"/>
          <w:szCs w:val="24"/>
          <w:highlight w:val="none"/>
          <w:lang w:val="en-US" w:eastAsia="zh-CN"/>
        </w:rPr>
        <w:t>表1</w:t>
      </w:r>
      <w:r>
        <w:rPr>
          <w:rFonts w:hint="eastAsia" w:ascii="宋体" w:hAnsi="宋体" w:eastAsia="宋体" w:cs="宋体"/>
          <w:sz w:val="24"/>
          <w:szCs w:val="24"/>
          <w:highlight w:val="none"/>
        </w:rPr>
        <w:t>。</w:t>
      </w:r>
    </w:p>
    <w:p w14:paraId="2822512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提供市中心及8个分中心7×24小时应急响应服务；每年不少于1次网络安全方面的应急演练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每年不少于1次市中心及8个分中心硬件方面的资产梳理；每年不少于1次网络安全技术培训服务。</w:t>
      </w:r>
    </w:p>
    <w:p w14:paraId="3A37E09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hAnsi="宋体" w:eastAsia="宋体" w:cs="宋体"/>
          <w:sz w:val="24"/>
          <w:szCs w:val="24"/>
          <w:highlight w:val="none"/>
          <w:lang w:val="en-US" w:eastAsia="zh-CN"/>
        </w:rPr>
        <w:t>（5）2026年</w:t>
      </w:r>
      <w:r>
        <w:rPr>
          <w:rFonts w:hint="eastAsia" w:ascii="宋体" w:hAnsi="宋体" w:eastAsia="宋体" w:cs="宋体"/>
          <w:sz w:val="24"/>
          <w:szCs w:val="24"/>
          <w:highlight w:val="none"/>
        </w:rPr>
        <w:t>12月31 日前，完成当年度服务报告，报告内容包括全年安全运维服务内容和基础环境运维服务内容的汇总和改进优化建议。</w:t>
      </w:r>
    </w:p>
    <w:p w14:paraId="18A37F97">
      <w:pPr>
        <w:widowControl/>
        <w:adjustRightInd w:val="0"/>
        <w:snapToGrid w:val="0"/>
        <w:spacing w:line="360" w:lineRule="auto"/>
        <w:ind w:firstLine="482" w:firstLineChars="200"/>
        <w:textAlignment w:val="baseline"/>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三、采购标的需满足的服务标准、期限、效率等要求</w:t>
      </w:r>
    </w:p>
    <w:p w14:paraId="133D598D">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（一）服务期要求</w:t>
      </w:r>
    </w:p>
    <w:p w14:paraId="76AF613D">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服务期为12个月。2026年1月底前，对市公路中心(包含下属8个分中心)的外网出口防火墙、内网防火墙、服务器区防火墙、中心无线防火墙XDR、探针、中心终端 EDR 完成软硬件维保服务授权，安全接入服务授权工作。</w:t>
      </w:r>
    </w:p>
    <w:p w14:paraId="41F289F2">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服务期满，完成当年度基础环境及安全运维服务工作，并提交当年度服务报告。</w:t>
      </w:r>
    </w:p>
    <w:p w14:paraId="750F6DE6">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（二）响应时间要求</w:t>
      </w:r>
    </w:p>
    <w:p w14:paraId="6157D33B">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服务期内，供应商对采购人反应的问题应10分钟内予以响应，非工作时间30分钟内予以响应，一般问题应在60分钟内排除。提供全天候无间断的远程技术服务，若远程无法解决，应在4小时内到达现场进行解决。</w:t>
      </w:r>
    </w:p>
    <w:p w14:paraId="2476D8DE">
      <w:pPr>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四</w:t>
      </w:r>
      <w:r>
        <w:rPr>
          <w:rFonts w:hint="eastAsia" w:ascii="宋体" w:hAnsi="宋体" w:cs="宋体"/>
          <w:b/>
          <w:bCs/>
          <w:color w:val="auto"/>
          <w:kern w:val="0"/>
          <w:sz w:val="24"/>
          <w:highlight w:val="none"/>
        </w:rPr>
        <w:t>、采购标的验收标准</w:t>
      </w:r>
    </w:p>
    <w:p w14:paraId="7621F8D2">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验收实施主体：科技信息科</w:t>
      </w:r>
    </w:p>
    <w:p w14:paraId="778B67FB">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验收时间：按采购人约定时间</w:t>
      </w:r>
    </w:p>
    <w:p w14:paraId="3FBE0DE4">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验收方式：科技信息科组织验收，采用书面审核的方式。</w:t>
      </w:r>
    </w:p>
    <w:p w14:paraId="0251F7D1">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验收内容：由验收小组对中标人服务情况按验收标准执行。 </w:t>
      </w:r>
    </w:p>
    <w:p w14:paraId="2F82955F">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验收标准：完成全部服务内容且及时响应采购人需求的则视为通过验收。</w:t>
      </w:r>
    </w:p>
    <w:p w14:paraId="37B47049">
      <w:pPr>
        <w:widowControl/>
        <w:numPr>
          <w:ilvl w:val="0"/>
          <w:numId w:val="2"/>
        </w:numPr>
        <w:adjustRightInd w:val="0"/>
        <w:snapToGrid w:val="0"/>
        <w:spacing w:line="360" w:lineRule="auto"/>
        <w:ind w:firstLine="482" w:firstLineChars="200"/>
        <w:textAlignment w:val="baseline"/>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其他要求</w:t>
      </w:r>
    </w:p>
    <w:p w14:paraId="1987EF18">
      <w:pPr>
        <w:widowControl/>
        <w:adjustRightInd w:val="0"/>
        <w:snapToGrid w:val="0"/>
        <w:spacing w:line="360" w:lineRule="auto"/>
        <w:ind w:firstLine="480" w:firstLineChars="200"/>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须提交《服务承诺书》，承诺在签订合同前提供外网出口防火墙、XDR、中心无线防火墙、中心探针、内网EDR、外网EDR、内网防火墙、服务器区防火墙等安全设备厂商及安全特征库厂商出具的项目授权函及质保函原件且注册信息为采购人。</w:t>
      </w:r>
    </w:p>
    <w:p w14:paraId="1DA81BB8">
      <w:pPr>
        <w:widowControl/>
        <w:adjustRightInd w:val="0"/>
        <w:snapToGrid w:val="0"/>
        <w:spacing w:line="360" w:lineRule="auto"/>
        <w:ind w:firstLine="482" w:firstLineChars="200"/>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六</w:t>
      </w:r>
      <w:r>
        <w:rPr>
          <w:rFonts w:hint="eastAsia" w:ascii="宋体" w:hAnsi="宋体" w:cs="宋体"/>
          <w:b/>
          <w:bCs/>
          <w:color w:val="auto"/>
          <w:kern w:val="0"/>
          <w:sz w:val="24"/>
          <w:highlight w:val="none"/>
        </w:rPr>
        <w:t>、付款方式</w:t>
      </w:r>
    </w:p>
    <w:p w14:paraId="20C0FA41">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本项目为总价合同。签订合同15日内支付预付款为签约合同价的30%。2026年6月底前支付签约合同价的30%。服务期满且完成全部服务并通过验收后付清尾款。</w:t>
      </w:r>
    </w:p>
    <w:p w14:paraId="0874FB91">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4F2D076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）每次付款须按合同扣减违约金和赔偿款；</w:t>
      </w:r>
    </w:p>
    <w:p w14:paraId="4477036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付款前供应商须提供等额合规发票及相关申请资料，否则采购人可以拒付；</w:t>
      </w:r>
    </w:p>
    <w:p w14:paraId="52702377">
      <w:pPr>
        <w:snapToGrid w:val="0"/>
        <w:spacing w:line="360" w:lineRule="auto"/>
        <w:ind w:firstLine="508"/>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所有付款均不计利息。</w:t>
      </w:r>
    </w:p>
    <w:p w14:paraId="2787C60A">
      <w:pPr>
        <w:pStyle w:val="32"/>
        <w:adjustRightInd w:val="0"/>
        <w:snapToGrid w:val="0"/>
        <w:spacing w:line="360" w:lineRule="auto"/>
        <w:ind w:firstLine="480" w:firstLineChars="200"/>
        <w:rPr>
          <w:rFonts w:ascii="宋体" w:eastAsia="宋体" w:cs="宋体"/>
          <w:color w:val="auto"/>
          <w:kern w:val="0"/>
          <w:sz w:val="24"/>
          <w:szCs w:val="24"/>
          <w:highlight w:val="none"/>
        </w:rPr>
      </w:pPr>
    </w:p>
    <w:p w14:paraId="44FEBC02">
      <w:pP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1EC156F1">
      <w:pPr>
        <w:pStyle w:val="32"/>
        <w:snapToGrid w:val="0"/>
        <w:spacing w:line="360" w:lineRule="auto"/>
        <w:ind w:firstLine="0" w:firstLineChars="0"/>
        <w:contextualSpacing/>
        <w:rPr>
          <w:rFonts w:ascii="宋体" w:eastAsia="宋体" w:cs="宋体"/>
          <w:b/>
          <w:bCs/>
          <w:color w:val="auto"/>
          <w:sz w:val="24"/>
          <w:szCs w:val="24"/>
          <w:highlight w:val="none"/>
        </w:rPr>
        <w:sectPr>
          <w:footerReference r:id="rId3" w:type="default"/>
          <w:pgSz w:w="11907" w:h="16839"/>
          <w:pgMar w:top="1429" w:right="1429" w:bottom="1429" w:left="1429" w:header="720" w:footer="720" w:gutter="0"/>
          <w:cols w:space="720" w:num="1"/>
          <w:docGrid w:linePitch="286" w:charSpace="0"/>
        </w:sectPr>
      </w:pPr>
    </w:p>
    <w:p w14:paraId="595F50C4">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第四部分  评审程序和内容</w:t>
      </w:r>
    </w:p>
    <w:p w14:paraId="46D025F6">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一、采购人组织磋商活动</w:t>
      </w:r>
    </w:p>
    <w:p w14:paraId="1A4E11B4">
      <w:pPr>
        <w:pStyle w:val="32"/>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1.成立竞争性磋商小组。</w:t>
      </w:r>
    </w:p>
    <w:p w14:paraId="69A6C0C9">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rPr>
        <w:t>磋商小组由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rPr>
        <w:t>共3人或以上单数组成。采购代理机构人员不得参加本机构代理的采购项目的评审。</w:t>
      </w:r>
    </w:p>
    <w:p w14:paraId="5E9AD6CF">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2.竞争性磋商小组的职责：</w:t>
      </w:r>
    </w:p>
    <w:p w14:paraId="2178EBCF">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评审专家应当遵守评审工作纪律，不得泄露评审情况和评审中获悉的商业秘密。</w:t>
      </w:r>
    </w:p>
    <w:p w14:paraId="5E09CC07">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磋商小组在评审过程中发现供应商有行贿、提供虚假材料或者串通等违法行为的，应当及时向主管部门报告。</w:t>
      </w:r>
    </w:p>
    <w:p w14:paraId="698417D5">
      <w:pPr>
        <w:pStyle w:val="32"/>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评审专家在评审过程中受到非法干涉的，应当及时向相关主管部门举报。</w:t>
      </w:r>
    </w:p>
    <w:p w14:paraId="0F200BF6">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7E957A">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磋商文件内容违反国家有关强制性规定的，磋商小组应当停止评审并向采购人或者采购代理机构说明情况。</w:t>
      </w:r>
    </w:p>
    <w:p w14:paraId="47F568FE">
      <w:pPr>
        <w:pStyle w:val="32"/>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3.竞争性磋商小组成员的义务：</w:t>
      </w:r>
    </w:p>
    <w:p w14:paraId="4B494198">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2B75E5A6">
      <w:pPr>
        <w:pStyle w:val="32"/>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二、供应商参加磋商活动</w:t>
      </w:r>
    </w:p>
    <w:p w14:paraId="1EE8B9A8">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供应商的法定代表人或被授权人须持身份证准时参加磋商。</w:t>
      </w:r>
    </w:p>
    <w:p w14:paraId="7956F210">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三、磋商的原则及方法</w:t>
      </w:r>
    </w:p>
    <w:p w14:paraId="6529F2BE">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r>
        <w:rPr>
          <w:rFonts w:hint="eastAsia" w:ascii="宋体" w:eastAsia="宋体" w:cs="宋体"/>
          <w:bCs/>
          <w:color w:val="auto"/>
          <w:kern w:val="0"/>
          <w:sz w:val="24"/>
          <w:szCs w:val="24"/>
          <w:highlight w:val="none"/>
          <w:lang w:val="zh-CN"/>
        </w:rPr>
        <w:t>.</w:t>
      </w: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color w:val="auto"/>
          <w:kern w:val="0"/>
          <w:sz w:val="24"/>
          <w:szCs w:val="24"/>
          <w:highlight w:val="none"/>
        </w:rPr>
        <w:t>商文件的响应文件按无效响应处理，磋商小组应当告知提交响应文件的供应商。</w:t>
      </w:r>
    </w:p>
    <w:p w14:paraId="35AEB083">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30FCC5">
      <w:pPr>
        <w:pStyle w:val="32"/>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3A9F80B">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3ADBDCD4">
      <w:pPr>
        <w:pStyle w:val="32"/>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3.</w:t>
      </w:r>
      <w:r>
        <w:rPr>
          <w:rStyle w:val="37"/>
          <w:rFonts w:hint="default" w:cs="宋体"/>
          <w:color w:val="auto"/>
          <w:highlight w:val="none"/>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4D01F2FB">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bCs/>
          <w:color w:val="auto"/>
          <w:kern w:val="0"/>
          <w:sz w:val="24"/>
          <w:szCs w:val="24"/>
          <w:highlight w:val="none"/>
          <w:lang w:val="zh-CN"/>
        </w:rPr>
        <w:t>4.</w:t>
      </w:r>
      <w:r>
        <w:rPr>
          <w:rFonts w:hint="eastAsia" w:ascii="宋体" w:eastAsia="宋体" w:cs="宋体"/>
          <w:color w:val="auto"/>
          <w:kern w:val="0"/>
          <w:sz w:val="24"/>
          <w:szCs w:val="24"/>
          <w:highlight w:val="none"/>
          <w:lang w:val="zh-CN"/>
        </w:rPr>
        <w:t>磋商小组</w:t>
      </w:r>
      <w:r>
        <w:rPr>
          <w:rStyle w:val="37"/>
          <w:rFonts w:hint="default" w:cs="宋体"/>
          <w:color w:val="auto"/>
          <w:highlight w:val="none"/>
          <w:lang w:val="zh-CN"/>
        </w:rPr>
        <w:t>所有</w:t>
      </w:r>
      <w:r>
        <w:rPr>
          <w:rFonts w:hint="eastAsia" w:ascii="宋体" w:eastAsia="宋体" w:cs="宋体"/>
          <w:color w:val="auto"/>
          <w:kern w:val="0"/>
          <w:sz w:val="24"/>
          <w:szCs w:val="24"/>
          <w:highlight w:val="none"/>
          <w:lang w:val="zh-CN"/>
        </w:rPr>
        <w:t>成员应当集中与单一供应商分别进行磋商，并给予所有参加磋商的供应商平等的磋商机会。</w:t>
      </w:r>
    </w:p>
    <w:p w14:paraId="22572492">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5</w:t>
      </w:r>
      <w:r>
        <w:rPr>
          <w:rFonts w:hint="eastAsia"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6735E7D6">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对磋商文件作出的实质性变动是磋商文件的有效组成部分，磋商小组应当及时以书面形式同时通知所有参加磋商的供应商。</w:t>
      </w:r>
    </w:p>
    <w:p w14:paraId="246263BF">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76DE080">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6.磋商文件能够详细列明采购标的的技术、服务要求的，磋商结束后，磋商小组应当要求所有实质性响应的供应商在规定时间内提交最后报价，提交最后报价的供应商不得少于3家。</w:t>
      </w:r>
    </w:p>
    <w:p w14:paraId="7849DE2E">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19EABA09">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市场竞争不充分的科研项目，以及需要扶持的科技成果转化项目，提交最后报价的供应商可以是2家。</w:t>
      </w:r>
    </w:p>
    <w:p w14:paraId="61022027">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7.最后报价是供应商响应文件的有效组成部分。</w:t>
      </w:r>
    </w:p>
    <w:p w14:paraId="28E4D0F3">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8.对于在磋商顺利开始后至最终报价前，根据磋商情况退出磋商的供应商，须以书面形式说明退出磋商的原因，经磋商小组同意可以退出磋商。</w:t>
      </w:r>
    </w:p>
    <w:p w14:paraId="4D158E07">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9.磋商时间由磋商小组掌握。</w:t>
      </w:r>
    </w:p>
    <w:p w14:paraId="2CE8BC23">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四、评审步骤</w:t>
      </w:r>
    </w:p>
    <w:p w14:paraId="093C6084">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1.评审步骤规定：</w:t>
      </w:r>
    </w:p>
    <w:p w14:paraId="0A7E526F">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本次资格审查采用资格后审，各供应商资格审查通过后方能进入商务技术响应文件和报价响应文件评审。</w:t>
      </w:r>
    </w:p>
    <w:p w14:paraId="5D02B9F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第一阶段：</w:t>
      </w:r>
      <w:r>
        <w:rPr>
          <w:rFonts w:hint="eastAsia" w:ascii="宋体" w:hAnsi="宋体" w:cs="宋体"/>
          <w:color w:val="auto"/>
          <w:sz w:val="24"/>
          <w:highlight w:val="none"/>
        </w:rPr>
        <w:t>磋商小组一并</w:t>
      </w:r>
      <w:r>
        <w:rPr>
          <w:rFonts w:hint="eastAsia" w:ascii="宋体" w:hAnsi="宋体" w:cs="宋体"/>
          <w:color w:val="auto"/>
          <w:sz w:val="24"/>
          <w:highlight w:val="none"/>
          <w:lang w:val="zh-CN"/>
        </w:rPr>
        <w:t>对每个供应商的资格进行审查。</w:t>
      </w:r>
    </w:p>
    <w:p w14:paraId="63481DE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第二阶段：磋商小组对每个符合资格要求的供应商的商务技术标进行评审。</w:t>
      </w:r>
    </w:p>
    <w:p w14:paraId="6490501E">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第三阶段：以供应商提交的报价响应文件（即首次报价）为基础，磋商小组与供应商单一分别进行磋商：内容主要是对竞争性磋商响应文件中的项目方案的澄清、修正、补充、确认以及价格调整等。</w:t>
      </w:r>
      <w:r>
        <w:rPr>
          <w:rFonts w:hint="eastAsia" w:ascii="宋体" w:hAnsi="宋体" w:cs="宋体"/>
          <w:color w:val="auto"/>
          <w:sz w:val="24"/>
          <w:highlight w:val="none"/>
        </w:rPr>
        <w:t>磋商</w:t>
      </w:r>
      <w:r>
        <w:rPr>
          <w:rFonts w:hint="eastAsia" w:ascii="宋体" w:hAnsi="宋体" w:cs="宋体"/>
          <w:color w:val="auto"/>
          <w:sz w:val="24"/>
          <w:highlight w:val="none"/>
          <w:lang w:val="zh-CN"/>
        </w:rPr>
        <w:t>明确各供应商符合并满足</w:t>
      </w:r>
      <w:r>
        <w:rPr>
          <w:rFonts w:hint="eastAsia" w:ascii="宋体" w:hAnsi="宋体" w:cs="宋体"/>
          <w:color w:val="auto"/>
          <w:sz w:val="24"/>
          <w:highlight w:val="none"/>
        </w:rPr>
        <w:t>磋商</w:t>
      </w:r>
      <w:r>
        <w:rPr>
          <w:rFonts w:hint="eastAsia" w:ascii="宋体" w:hAnsi="宋体" w:cs="宋体"/>
          <w:color w:val="auto"/>
          <w:sz w:val="24"/>
          <w:highlight w:val="none"/>
          <w:lang w:val="zh-CN"/>
        </w:rPr>
        <w:t>文件要求，并能完全响应</w:t>
      </w:r>
      <w:r>
        <w:rPr>
          <w:rFonts w:hint="eastAsia" w:ascii="宋体" w:hAnsi="宋体" w:cs="宋体"/>
          <w:color w:val="auto"/>
          <w:sz w:val="24"/>
          <w:highlight w:val="none"/>
        </w:rPr>
        <w:t>磋商</w:t>
      </w:r>
      <w:r>
        <w:rPr>
          <w:rFonts w:hint="eastAsia" w:ascii="宋体" w:hAnsi="宋体" w:cs="宋体"/>
          <w:color w:val="auto"/>
          <w:sz w:val="24"/>
          <w:highlight w:val="none"/>
          <w:lang w:val="zh-CN"/>
        </w:rPr>
        <w:t>内容后，要求所有作出实质性响应的有效供应商在规定的时间内，在</w:t>
      </w:r>
      <w:r>
        <w:rPr>
          <w:rFonts w:hint="eastAsia" w:ascii="宋体" w:hAnsi="宋体" w:cs="宋体"/>
          <w:color w:val="auto"/>
          <w:sz w:val="24"/>
          <w:highlight w:val="none"/>
        </w:rPr>
        <w:t>磋商</w:t>
      </w:r>
      <w:r>
        <w:rPr>
          <w:rFonts w:hint="eastAsia" w:ascii="宋体" w:hAnsi="宋体" w:cs="宋体"/>
          <w:color w:val="auto"/>
          <w:sz w:val="24"/>
          <w:highlight w:val="none"/>
          <w:lang w:val="zh-CN"/>
        </w:rPr>
        <w:t>现场给出二次报价（即</w:t>
      </w:r>
      <w:r>
        <w:rPr>
          <w:rFonts w:hint="eastAsia" w:ascii="宋体" w:hAnsi="宋体" w:cs="宋体"/>
          <w:color w:val="auto"/>
          <w:sz w:val="24"/>
          <w:highlight w:val="none"/>
        </w:rPr>
        <w:t>最终报价）</w:t>
      </w:r>
      <w:r>
        <w:rPr>
          <w:rFonts w:hint="eastAsia" w:ascii="宋体" w:hAnsi="宋体" w:cs="宋体"/>
          <w:color w:val="auto"/>
          <w:sz w:val="24"/>
          <w:highlight w:val="none"/>
          <w:lang w:val="zh-CN"/>
        </w:rPr>
        <w:t>。同时最终报价中可包括但不限于如最终澄清方案、有关优惠承诺等。如</w:t>
      </w:r>
      <w:r>
        <w:rPr>
          <w:rFonts w:hint="eastAsia" w:ascii="宋体" w:hAnsi="宋体" w:cs="宋体"/>
          <w:color w:val="auto"/>
          <w:sz w:val="24"/>
          <w:highlight w:val="none"/>
        </w:rPr>
        <w:t>磋商</w:t>
      </w:r>
      <w:r>
        <w:rPr>
          <w:rFonts w:hint="eastAsia" w:ascii="宋体" w:hAnsi="宋体" w:cs="宋体"/>
          <w:color w:val="auto"/>
          <w:sz w:val="24"/>
          <w:highlight w:val="none"/>
          <w:lang w:val="zh-CN"/>
        </w:rPr>
        <w:t>内容导致</w:t>
      </w:r>
      <w:r>
        <w:rPr>
          <w:rFonts w:hint="eastAsia" w:ascii="宋体" w:hAnsi="宋体" w:cs="宋体"/>
          <w:color w:val="auto"/>
          <w:sz w:val="24"/>
          <w:highlight w:val="none"/>
        </w:rPr>
        <w:t>竞争性磋商</w:t>
      </w:r>
      <w:r>
        <w:rPr>
          <w:rFonts w:hint="eastAsia" w:ascii="宋体" w:hAnsi="宋体" w:cs="宋体"/>
          <w:color w:val="auto"/>
          <w:sz w:val="24"/>
          <w:highlight w:val="none"/>
          <w:lang w:val="zh-CN"/>
        </w:rPr>
        <w:t>文件有实质性变动的，</w:t>
      </w:r>
      <w:r>
        <w:rPr>
          <w:rFonts w:hint="eastAsia" w:ascii="宋体" w:hAnsi="宋体" w:cs="宋体"/>
          <w:color w:val="auto"/>
          <w:sz w:val="24"/>
          <w:highlight w:val="none"/>
        </w:rPr>
        <w:t>磋商小组</w:t>
      </w:r>
      <w:r>
        <w:rPr>
          <w:rFonts w:hint="eastAsia" w:ascii="宋体" w:hAnsi="宋体" w:cs="宋体"/>
          <w:color w:val="auto"/>
          <w:sz w:val="24"/>
          <w:highlight w:val="none"/>
          <w:lang w:val="zh-CN"/>
        </w:rPr>
        <w:t xml:space="preserve">应当以书面形式通知所有供应商。 </w:t>
      </w:r>
    </w:p>
    <w:p w14:paraId="5634C0E7">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若无须对项目方案进行澄清、修正、补充等，则磋商小组将要求所有作出实质性响应的有效供应商在规定的时间内，在磋商现场集体给出二次报价（即</w:t>
      </w:r>
      <w:r>
        <w:rPr>
          <w:rFonts w:hint="eastAsia" w:ascii="宋体" w:hAnsi="宋体" w:cs="宋体"/>
          <w:color w:val="auto"/>
          <w:sz w:val="24"/>
          <w:highlight w:val="none"/>
        </w:rPr>
        <w:t>最终报价）。</w:t>
      </w:r>
    </w:p>
    <w:p w14:paraId="63AAF867">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除非在磋商中磋商小组对采购人需求内容作了调整增加，或对采购内容作了实质性变更，否则采购人不接受供应商高于自己前一轮的磋商报价。</w:t>
      </w:r>
    </w:p>
    <w:p w14:paraId="01882F60">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第二轮报价只需报总价，除暂列金额、暂估价（其具体金额或比例）外各子目按第二轮报价较首轮报价下浮率同比例下浮。</w:t>
      </w:r>
    </w:p>
    <w:p w14:paraId="0CAB48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第四阶段：磋商小组对供应商的最终报价进行评议和比较（</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认为投标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的报价明显低于其他通过符合性审查投标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w:t>
      </w:r>
      <w:r>
        <w:rPr>
          <w:rFonts w:hint="eastAsia" w:ascii="宋体" w:hAnsi="宋体"/>
          <w:bCs/>
          <w:color w:val="auto"/>
          <w:sz w:val="24"/>
          <w:highlight w:val="none"/>
          <w:lang w:val="en-US" w:eastAsia="zh-CN"/>
        </w:rPr>
        <w:t>有可能影响产品质量或者不能诚信履约的其他情形</w:t>
      </w:r>
      <w:r>
        <w:rPr>
          <w:rFonts w:hint="eastAsia" w:ascii="宋体" w:hAnsi="宋体" w:cs="宋体"/>
          <w:color w:val="auto"/>
          <w:kern w:val="0"/>
          <w:sz w:val="24"/>
          <w:highlight w:val="none"/>
          <w:lang w:eastAsia="zh-CN"/>
        </w:rPr>
        <w:t>，</w:t>
      </w:r>
      <w:r>
        <w:rPr>
          <w:rFonts w:hint="eastAsia" w:ascii="宋体" w:hAnsi="宋体"/>
          <w:bCs/>
          <w:color w:val="auto"/>
          <w:sz w:val="24"/>
          <w:highlight w:val="none"/>
          <w:lang w:val="en-US" w:eastAsia="zh-CN"/>
        </w:rPr>
        <w:t>磋商小组已启动异常低价投标（响应）审查程序，</w:t>
      </w:r>
      <w:r>
        <w:rPr>
          <w:rFonts w:hint="eastAsia" w:ascii="宋体" w:hAnsi="宋体"/>
          <w:bCs/>
          <w:color w:val="auto"/>
          <w:sz w:val="24"/>
          <w:highlight w:val="none"/>
        </w:rPr>
        <w:t>供应商不提供书面说明、证明材料，或者提供的书面说明、证明材料不能证明其报价合理性的</w:t>
      </w:r>
      <w:r>
        <w:rPr>
          <w:rFonts w:hint="eastAsia" w:ascii="宋体" w:hAnsi="宋体" w:cs="宋体"/>
          <w:color w:val="auto"/>
          <w:kern w:val="0"/>
          <w:sz w:val="24"/>
          <w:highlight w:val="none"/>
        </w:rPr>
        <w:t>报价除外）。磋商小组按照综合得分推荐预成交供应商并出具评审磋商报告。</w:t>
      </w:r>
    </w:p>
    <w:p w14:paraId="085B99B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2.在磋商过程中，供应商提交的澄清文件和最终报价响应文件，由供应商法定代表人或被授权人签字后生效，供应商受其约束。</w:t>
      </w:r>
    </w:p>
    <w:p w14:paraId="55B4049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五、评审方法-综合评分法</w:t>
      </w:r>
    </w:p>
    <w:p w14:paraId="7B506AAF">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经磋商确定最终采购需求和提交最后报价的供应商后，由磋商小组采用综合评分法对提交最后报价的供应商的响应文件和最后报价进行综合评分。</w:t>
      </w:r>
    </w:p>
    <w:p w14:paraId="430EF3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512B4F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评审时，磋商小组各成员应当独立对每个有效响应的文件进行评价、打分，然后汇总每个供应商每项评分因素的得分（计算结果均四舍五入保留两位小数）。</w:t>
      </w:r>
    </w:p>
    <w:p w14:paraId="3517531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（一）审查响应文件的有效性、完整性、响应程度</w:t>
      </w:r>
    </w:p>
    <w:p w14:paraId="1F363F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要求的保证金是否已提供；</w:t>
      </w:r>
    </w:p>
    <w:p w14:paraId="6B75F4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响应文件是否按磋商文件要求装订、密封、签署、盖章的；</w:t>
      </w:r>
    </w:p>
    <w:p w14:paraId="773C27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供应商资格是否符合；</w:t>
      </w:r>
    </w:p>
    <w:p w14:paraId="780C4E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响应文件是否完整；</w:t>
      </w:r>
    </w:p>
    <w:p w14:paraId="73EBE5AE">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是否作出实质性响应（</w:t>
      </w:r>
      <w:r>
        <w:rPr>
          <w:rFonts w:hint="eastAsia" w:ascii="宋体" w:hAnsi="宋体" w:cs="宋体"/>
          <w:b/>
          <w:color w:val="auto"/>
          <w:sz w:val="24"/>
          <w:highlight w:val="none"/>
        </w:rPr>
        <w:t>是否有实质性响应，只根据响应文件本身，而不寻求外部证据）；</w:t>
      </w:r>
    </w:p>
    <w:p w14:paraId="0C4D19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kern w:val="0"/>
          <w:sz w:val="24"/>
          <w:highlight w:val="none"/>
          <w:lang w:val="zh-CN"/>
        </w:rPr>
        <w:t>.</w:t>
      </w:r>
      <w:r>
        <w:rPr>
          <w:rFonts w:hint="eastAsia" w:ascii="宋体" w:hAnsi="宋体" w:cs="宋体"/>
          <w:color w:val="auto"/>
          <w:sz w:val="24"/>
          <w:highlight w:val="none"/>
        </w:rPr>
        <w:t>是否有计算错误。</w:t>
      </w:r>
    </w:p>
    <w:p w14:paraId="1B36D9AB">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rPr>
      </w:pPr>
      <w:r>
        <w:rPr>
          <w:rFonts w:hint="eastAsia" w:ascii="宋体" w:hAnsi="宋体" w:cs="宋体"/>
          <w:b/>
          <w:bCs/>
          <w:color w:val="auto"/>
          <w:sz w:val="24"/>
          <w:highlight w:val="none"/>
        </w:rPr>
        <w:t>（二）误差纠正</w:t>
      </w:r>
    </w:p>
    <w:p w14:paraId="3ACF2C3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lang w:val="zh-CN"/>
        </w:rPr>
        <w:t>报价表中的大写金额与小写金额、总价金额与按单价汇总金额，若有差异，按照下列规定修正：</w:t>
      </w:r>
    </w:p>
    <w:p w14:paraId="2BF2184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文件中开标一览表（报价表）内容与</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文件中相应内容不一致的，以开标一览表（报价表）为准；</w:t>
      </w:r>
    </w:p>
    <w:p w14:paraId="6117738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5B2D5D1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2AF9E2C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8EA77E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w:t>
      </w:r>
      <w:r>
        <w:rPr>
          <w:rFonts w:hint="eastAsia" w:ascii="宋体" w:hAnsi="宋体" w:cs="宋体"/>
          <w:color w:val="auto"/>
          <w:sz w:val="24"/>
          <w:highlight w:val="none"/>
        </w:rPr>
        <w:t>供应商</w:t>
      </w:r>
      <w:r>
        <w:rPr>
          <w:rFonts w:hint="eastAsia" w:ascii="宋体" w:hAnsi="宋体" w:cs="宋体"/>
          <w:color w:val="auto"/>
          <w:sz w:val="24"/>
          <w:highlight w:val="none"/>
          <w:lang w:val="zh-CN"/>
        </w:rPr>
        <w:t>确认后产生约束力，</w:t>
      </w:r>
      <w:r>
        <w:rPr>
          <w:rFonts w:hint="eastAsia" w:ascii="宋体" w:hAnsi="宋体" w:cs="宋体"/>
          <w:color w:val="auto"/>
          <w:sz w:val="24"/>
          <w:highlight w:val="none"/>
        </w:rPr>
        <w:t>供应商</w:t>
      </w:r>
      <w:r>
        <w:rPr>
          <w:rFonts w:hint="eastAsia" w:ascii="宋体" w:hAnsi="宋体" w:cs="宋体"/>
          <w:color w:val="auto"/>
          <w:sz w:val="24"/>
          <w:highlight w:val="none"/>
          <w:lang w:val="zh-CN"/>
        </w:rPr>
        <w:t>不确认的，其投标无效。</w:t>
      </w:r>
    </w:p>
    <w:p w14:paraId="5BE81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正本与副本有矛盾的，以正本为准；</w:t>
      </w:r>
    </w:p>
    <w:p w14:paraId="57DDAA14">
      <w:pPr>
        <w:tabs>
          <w:tab w:val="left" w:pos="6555"/>
          <w:tab w:val="right" w:pos="8306"/>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（三）出现下列情形之一的，作无效响应处理</w:t>
      </w:r>
      <w:r>
        <w:rPr>
          <w:rFonts w:hint="eastAsia" w:ascii="宋体" w:hAnsi="宋体" w:cs="宋体"/>
          <w:b/>
          <w:color w:val="auto"/>
          <w:sz w:val="24"/>
          <w:highlight w:val="none"/>
        </w:rPr>
        <w:tab/>
      </w:r>
      <w:r>
        <w:rPr>
          <w:rFonts w:hint="eastAsia" w:ascii="宋体" w:hAnsi="宋体" w:cs="宋体"/>
          <w:b/>
          <w:color w:val="auto"/>
          <w:sz w:val="24"/>
          <w:highlight w:val="none"/>
        </w:rPr>
        <w:tab/>
      </w:r>
    </w:p>
    <w:p w14:paraId="675B12F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响应文件未按照磋商文件规定要求装订、密封、签署、盖章的；</w:t>
      </w:r>
    </w:p>
    <w:p w14:paraId="29D959D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响应文件不完整的；</w:t>
      </w:r>
    </w:p>
    <w:p w14:paraId="66B3A8A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不具备磋商文件中规定的资格要求的；</w:t>
      </w:r>
    </w:p>
    <w:p w14:paraId="7860FF7C">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响应报价超出预算（最高投标限价）的；</w:t>
      </w:r>
    </w:p>
    <w:p w14:paraId="11F79B3B">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不符合法律、法规和磋商文件中规定的其他实质性要求的；</w:t>
      </w:r>
    </w:p>
    <w:p w14:paraId="0658DA7F">
      <w:pPr>
        <w:snapToGrid w:val="0"/>
        <w:spacing w:line="360" w:lineRule="auto"/>
        <w:ind w:firstLine="570"/>
        <w:rPr>
          <w:rFonts w:hint="eastAsia" w:ascii="宋体" w:hAnsi="宋体" w:cs="宋体"/>
          <w:color w:val="auto"/>
          <w:sz w:val="24"/>
          <w:highlight w:val="none"/>
          <w:lang w:eastAsia="zh-CN"/>
        </w:rPr>
      </w:pPr>
      <w:r>
        <w:rPr>
          <w:rFonts w:hint="eastAsia" w:ascii="宋体" w:hAnsi="宋体" w:cs="宋体"/>
          <w:color w:val="auto"/>
          <w:sz w:val="24"/>
          <w:highlight w:val="none"/>
        </w:rPr>
        <w:t>6.投标</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r>
        <w:rPr>
          <w:rFonts w:hint="eastAsia" w:ascii="宋体" w:hAnsi="宋体" w:cs="宋体"/>
          <w:color w:val="auto"/>
          <w:sz w:val="24"/>
          <w:highlight w:val="none"/>
          <w:lang w:eastAsia="zh-CN"/>
        </w:rPr>
        <w:t>；</w:t>
      </w:r>
    </w:p>
    <w:p w14:paraId="24C31515">
      <w:pPr>
        <w:snapToGrid w:val="0"/>
        <w:spacing w:line="360" w:lineRule="auto"/>
        <w:ind w:firstLine="570"/>
        <w:rPr>
          <w:rFonts w:hint="eastAsia" w:ascii="宋体" w:hAnsi="宋体"/>
          <w:bCs/>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认为投标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的报价明显低于其他通过符合性审查投标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w:t>
      </w:r>
      <w:r>
        <w:rPr>
          <w:rFonts w:hint="eastAsia" w:ascii="宋体" w:hAnsi="宋体"/>
          <w:bCs/>
          <w:color w:val="auto"/>
          <w:sz w:val="24"/>
          <w:highlight w:val="none"/>
          <w:lang w:val="en-US" w:eastAsia="zh-CN"/>
        </w:rPr>
        <w:t>有可能影响产品质量或者不能诚信履约的其他情形。磋商小组将启动异常低价投标（响应）审查程序。磋商小组要求相关供应商在评标现场合理的时间内，提供项目具体成本测算等与报价合理性相关的书面说明及相关证明材料，对投标（响应）价格作出解释，由磋商小组结合同类产品在主要电商平台的价格、该</w:t>
      </w:r>
      <w:r>
        <w:rPr>
          <w:rFonts w:hint="eastAsia" w:ascii="宋体" w:hAnsi="宋体"/>
          <w:bCs/>
          <w:color w:val="auto"/>
          <w:sz w:val="24"/>
          <w:highlight w:val="none"/>
        </w:rPr>
        <w:t>行业当地薪资水平等情况，依据专业经验对供应商报价合理性进行判断。投标（响应）供应商不提供书面说明、证明材料，或者提供的书面说明、证明材料不能证明其报价合理性的，</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应当将其作为无效投标（响应）处理。</w:t>
      </w:r>
    </w:p>
    <w:p w14:paraId="0C1082D4">
      <w:pPr>
        <w:snapToGrid w:val="0"/>
        <w:spacing w:line="360" w:lineRule="auto"/>
        <w:ind w:firstLine="570"/>
        <w:rPr>
          <w:rFonts w:ascii="宋体" w:hAnsi="宋体" w:cs="宋体"/>
          <w:b/>
          <w:color w:val="auto"/>
          <w:sz w:val="24"/>
          <w:highlight w:val="none"/>
        </w:rPr>
      </w:pPr>
      <w:r>
        <w:rPr>
          <w:rFonts w:hint="eastAsia" w:ascii="宋体" w:hAnsi="宋体" w:cs="宋体"/>
          <w:b/>
          <w:color w:val="auto"/>
          <w:sz w:val="24"/>
          <w:highlight w:val="none"/>
        </w:rPr>
        <w:t>（四）出现下列情形之一的，磋商失败</w:t>
      </w:r>
    </w:p>
    <w:p w14:paraId="086838B9">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1.符合条件的供应商或者对磋商文件作实质响应的供应商不足3家的（市场竞争不充分的科研项目，以及需要扶持的科技成果转化项目可以是2家）；</w:t>
      </w:r>
    </w:p>
    <w:p w14:paraId="2354DBC4">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4CDFD32D">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3.供应商的最后报价均超过了采购预算，采购人不能支付的；</w:t>
      </w:r>
    </w:p>
    <w:p w14:paraId="46009BC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79D0D95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1B705092">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rPr>
        <w:t xml:space="preserve">（五）本次项目磋商的商务技术响应文件和报价响应文件评审总分值为100分。两部分评审因素比重如下： </w:t>
      </w:r>
    </w:p>
    <w:p w14:paraId="4B00AE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商务技术</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lang w:val="en-US" w:eastAsia="zh-CN"/>
        </w:rPr>
        <w:t>70</w:t>
      </w:r>
      <w:r>
        <w:rPr>
          <w:rFonts w:hint="eastAsia" w:ascii="宋体" w:hAnsi="宋体" w:cs="宋体"/>
          <w:b/>
          <w:color w:val="auto"/>
          <w:sz w:val="24"/>
          <w:highlight w:val="none"/>
          <w:u w:val="single"/>
        </w:rPr>
        <w:t>%（权重）</w:t>
      </w:r>
      <w:r>
        <w:rPr>
          <w:rFonts w:hint="eastAsia" w:ascii="宋体" w:hAnsi="宋体" w:cs="宋体"/>
          <w:color w:val="auto"/>
          <w:sz w:val="24"/>
          <w:highlight w:val="none"/>
        </w:rPr>
        <w:t>（四舍五入保留两位小数）；</w:t>
      </w:r>
    </w:p>
    <w:p w14:paraId="697DEB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0%（权重）</w:t>
      </w:r>
      <w:r>
        <w:rPr>
          <w:rFonts w:hint="eastAsia" w:ascii="宋体" w:hAnsi="宋体" w:cs="宋体"/>
          <w:color w:val="auto"/>
          <w:sz w:val="24"/>
          <w:highlight w:val="none"/>
        </w:rPr>
        <w:t>（四舍五入保留两位小数）。</w:t>
      </w:r>
    </w:p>
    <w:p w14:paraId="519E15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商务技术响应文件分值为所有磋商小组成员打分的算术平均值，计算结果均四舍五入保留两位小数。 </w:t>
      </w:r>
    </w:p>
    <w:p w14:paraId="5DF8679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报价响应文件分值统一采用低价优先法计算直接取得，与商务技术响应文件分值相加为供应商的综合得分（四舍五入保留两位小数）。</w:t>
      </w:r>
    </w:p>
    <w:p w14:paraId="41D1393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（六）磋商小组推荐综合得分最高的供应商为项目预成交供应商，并出具评审磋商报告。</w:t>
      </w:r>
    </w:p>
    <w:p w14:paraId="190FEA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如成交供应商拒绝与采购人签订合同的，采购人可以按照评审报告推荐的成交候选人名单排序，确定下一候选人为成交供应商，也可以重新开展采购活动。</w:t>
      </w:r>
    </w:p>
    <w:p w14:paraId="73394C6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（七）确定成交候选人的特殊情况处理：</w:t>
      </w:r>
    </w:p>
    <w:p w14:paraId="0E56D0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1.若总分相同，则按最终报价得分高者优先。</w:t>
      </w:r>
    </w:p>
    <w:p w14:paraId="63EB01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2.若总分且最终报价得分均相同的，则采取评委票决的方式确定。</w:t>
      </w:r>
    </w:p>
    <w:p w14:paraId="369EE5AA">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八）磋商评审时，磋商小组成员对评审的细则若有争议，由磋商小组集体讨论确定，并对未尽情况有最终解释权。</w:t>
      </w:r>
    </w:p>
    <w:p w14:paraId="321DBF4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（九）对落标的供应商不做落标原因的解释。</w:t>
      </w:r>
    </w:p>
    <w:p w14:paraId="131EC3C5">
      <w:pPr>
        <w:snapToGrid w:val="0"/>
        <w:spacing w:line="360" w:lineRule="auto"/>
        <w:ind w:left="568"/>
        <w:rPr>
          <w:rFonts w:ascii="宋体" w:hAnsi="宋体" w:cs="宋体"/>
          <w:b/>
          <w:color w:val="auto"/>
          <w:sz w:val="24"/>
          <w:highlight w:val="none"/>
          <w:lang w:val="zh-CN"/>
        </w:rPr>
      </w:pPr>
      <w:r>
        <w:rPr>
          <w:rFonts w:hint="eastAsia" w:ascii="宋体" w:hAnsi="宋体" w:cs="宋体"/>
          <w:b/>
          <w:color w:val="auto"/>
          <w:sz w:val="24"/>
          <w:highlight w:val="none"/>
          <w:lang w:val="zh-CN"/>
        </w:rPr>
        <w:t>六、评审标准</w:t>
      </w:r>
    </w:p>
    <w:p w14:paraId="46A9637F">
      <w:pPr>
        <w:snapToGrid w:val="0"/>
        <w:spacing w:line="360" w:lineRule="auto"/>
        <w:ind w:left="568"/>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zh-CN"/>
        </w:rPr>
        <w:t>商务技术分（</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lang w:val="zh-CN"/>
        </w:rPr>
        <w:t>0分）</w:t>
      </w:r>
    </w:p>
    <w:p w14:paraId="066016E5">
      <w:pPr>
        <w:snapToGrid w:val="0"/>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供应商得分为磋商小组成员评分的算术平均分</w:t>
      </w:r>
      <w:r>
        <w:rPr>
          <w:rFonts w:hint="eastAsia" w:ascii="宋体" w:hAnsi="宋体" w:cs="宋体"/>
          <w:color w:val="auto"/>
          <w:sz w:val="24"/>
          <w:highlight w:val="none"/>
          <w:lang w:eastAsia="zh-CN"/>
        </w:rPr>
        <w:t>，</w:t>
      </w:r>
      <w:r>
        <w:rPr>
          <w:rFonts w:hint="eastAsia" w:ascii="宋体" w:hAnsi="宋体" w:cs="宋体"/>
          <w:color w:val="auto"/>
          <w:sz w:val="24"/>
          <w:highlight w:val="none"/>
        </w:rPr>
        <w:t>分值四舍五入保留小数点后两位。</w:t>
      </w:r>
    </w:p>
    <w:tbl>
      <w:tblPr>
        <w:tblStyle w:val="19"/>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0"/>
        <w:gridCol w:w="1630"/>
        <w:gridCol w:w="5163"/>
        <w:gridCol w:w="540"/>
        <w:gridCol w:w="540"/>
        <w:gridCol w:w="720"/>
      </w:tblGrid>
      <w:tr w14:paraId="235E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670" w:type="dxa"/>
            <w:tcBorders>
              <w:top w:val="single" w:color="auto" w:sz="8" w:space="0"/>
              <w:left w:val="single" w:color="auto" w:sz="8" w:space="0"/>
              <w:bottom w:val="single" w:color="auto" w:sz="4" w:space="0"/>
              <w:right w:val="single" w:color="auto" w:sz="8" w:space="0"/>
            </w:tcBorders>
            <w:vAlign w:val="center"/>
          </w:tcPr>
          <w:p w14:paraId="16B968DF">
            <w:pPr>
              <w:snapToGrid w:val="0"/>
              <w:spacing w:line="240" w:lineRule="auto"/>
              <w:ind w:left="0" w:leftChars="0" w:right="0" w:rightChars="0" w:firstLine="0" w:firstLineChars="0"/>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序号</w:t>
            </w:r>
          </w:p>
        </w:tc>
        <w:tc>
          <w:tcPr>
            <w:tcW w:w="1630" w:type="dxa"/>
            <w:tcBorders>
              <w:top w:val="single" w:color="auto" w:sz="8" w:space="0"/>
              <w:left w:val="nil"/>
              <w:bottom w:val="single" w:color="auto" w:sz="8" w:space="0"/>
              <w:right w:val="single" w:color="auto" w:sz="8" w:space="0"/>
            </w:tcBorders>
            <w:vAlign w:val="center"/>
          </w:tcPr>
          <w:p w14:paraId="5B964328">
            <w:pPr>
              <w:snapToGrid w:val="0"/>
              <w:spacing w:line="240" w:lineRule="auto"/>
              <w:ind w:left="0" w:leftChars="0" w:right="0" w:rightChars="0" w:firstLine="0" w:firstLineChars="0"/>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评分内容</w:t>
            </w:r>
          </w:p>
        </w:tc>
        <w:tc>
          <w:tcPr>
            <w:tcW w:w="5163" w:type="dxa"/>
            <w:tcBorders>
              <w:top w:val="single" w:color="auto" w:sz="8" w:space="0"/>
              <w:left w:val="nil"/>
              <w:bottom w:val="single" w:color="auto" w:sz="8" w:space="0"/>
              <w:right w:val="single" w:color="auto" w:sz="8" w:space="0"/>
            </w:tcBorders>
            <w:vAlign w:val="center"/>
          </w:tcPr>
          <w:p w14:paraId="66A69F63">
            <w:pPr>
              <w:snapToGrid w:val="0"/>
              <w:spacing w:line="240" w:lineRule="auto"/>
              <w:ind w:left="0" w:leftChars="0" w:right="0" w:rightChars="0" w:firstLine="0" w:firstLineChars="0"/>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评分标准</w:t>
            </w:r>
          </w:p>
        </w:tc>
        <w:tc>
          <w:tcPr>
            <w:tcW w:w="540" w:type="dxa"/>
            <w:tcBorders>
              <w:top w:val="single" w:color="auto" w:sz="8" w:space="0"/>
              <w:left w:val="nil"/>
              <w:bottom w:val="single" w:color="auto" w:sz="4" w:space="0"/>
              <w:right w:val="single" w:color="auto" w:sz="8" w:space="0"/>
            </w:tcBorders>
            <w:vAlign w:val="center"/>
          </w:tcPr>
          <w:p w14:paraId="16EF5DF9">
            <w:pPr>
              <w:snapToGrid w:val="0"/>
              <w:spacing w:line="240" w:lineRule="auto"/>
              <w:ind w:left="0" w:leftChars="0" w:right="0" w:rightChars="0" w:firstLine="0" w:firstLineChars="0"/>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最高分</w:t>
            </w:r>
          </w:p>
        </w:tc>
        <w:tc>
          <w:tcPr>
            <w:tcW w:w="540" w:type="dxa"/>
            <w:tcBorders>
              <w:top w:val="single" w:color="auto" w:sz="8" w:space="0"/>
              <w:left w:val="nil"/>
              <w:bottom w:val="single" w:color="auto" w:sz="4" w:space="0"/>
              <w:right w:val="single" w:color="auto" w:sz="8" w:space="0"/>
            </w:tcBorders>
            <w:vAlign w:val="center"/>
          </w:tcPr>
          <w:p w14:paraId="44FB4F0C">
            <w:pPr>
              <w:snapToGrid w:val="0"/>
              <w:spacing w:line="240" w:lineRule="auto"/>
              <w:ind w:left="0" w:leftChars="0" w:right="0" w:rightChars="0" w:firstLine="0" w:firstLineChars="0"/>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最低分</w:t>
            </w:r>
          </w:p>
        </w:tc>
        <w:tc>
          <w:tcPr>
            <w:tcW w:w="720" w:type="dxa"/>
            <w:tcBorders>
              <w:top w:val="single" w:color="auto" w:sz="8" w:space="0"/>
              <w:left w:val="nil"/>
              <w:bottom w:val="single" w:color="auto" w:sz="4" w:space="0"/>
              <w:right w:val="single" w:color="auto" w:sz="8" w:space="0"/>
            </w:tcBorders>
            <w:vAlign w:val="center"/>
          </w:tcPr>
          <w:p w14:paraId="19F2033E">
            <w:pPr>
              <w:snapToGrid w:val="0"/>
              <w:spacing w:line="240" w:lineRule="auto"/>
              <w:ind w:left="0" w:leftChars="0" w:right="0" w:rightChars="0" w:firstLine="0" w:firstLineChars="0"/>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主/客观</w:t>
            </w:r>
          </w:p>
        </w:tc>
      </w:tr>
      <w:tr w14:paraId="0919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794FD70E">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1630" w:type="dxa"/>
            <w:tcBorders>
              <w:top w:val="single" w:color="auto" w:sz="8" w:space="0"/>
              <w:left w:val="nil"/>
              <w:bottom w:val="single" w:color="auto" w:sz="8" w:space="0"/>
              <w:right w:val="single" w:color="auto" w:sz="8" w:space="0"/>
            </w:tcBorders>
            <w:vAlign w:val="center"/>
          </w:tcPr>
          <w:p w14:paraId="1D7EB523">
            <w:pPr>
              <w:snapToGrid w:val="0"/>
              <w:spacing w:line="240" w:lineRule="auto"/>
              <w:ind w:left="0" w:leftChars="0" w:right="0" w:rightChars="0" w:firstLine="0" w:firstLineChars="0"/>
              <w:jc w:val="left"/>
              <w:rPr>
                <w:rFonts w:hint="eastAsia" w:ascii="宋体" w:hAnsi="宋体" w:eastAsia="宋体" w:cs="宋体"/>
                <w:kern w:val="0"/>
                <w:sz w:val="24"/>
                <w:szCs w:val="24"/>
                <w:highlight w:val="none"/>
              </w:rPr>
            </w:pPr>
            <w:r>
              <w:rPr>
                <w:rFonts w:hint="eastAsia" w:ascii="宋体" w:hAnsi="宋体" w:eastAsia="宋体" w:cs="宋体"/>
                <w:spacing w:val="-4"/>
                <w:kern w:val="0"/>
                <w:sz w:val="24"/>
                <w:szCs w:val="24"/>
                <w:highlight w:val="none"/>
              </w:rPr>
              <w:t>运维方案</w:t>
            </w:r>
          </w:p>
        </w:tc>
        <w:tc>
          <w:tcPr>
            <w:tcW w:w="5163" w:type="dxa"/>
            <w:tcBorders>
              <w:top w:val="single" w:color="auto" w:sz="4" w:space="0"/>
              <w:left w:val="nil"/>
              <w:bottom w:val="single" w:color="auto" w:sz="4" w:space="0"/>
              <w:right w:val="single" w:color="auto" w:sz="8" w:space="0"/>
            </w:tcBorders>
            <w:vAlign w:val="center"/>
          </w:tcPr>
          <w:p w14:paraId="18AB65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根据供应商提供的运维方案评分，方案应包含以下内容：</w:t>
            </w:r>
          </w:p>
          <w:p w14:paraId="1F48CE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①整体运维规划及人员安排；</w:t>
            </w:r>
          </w:p>
          <w:p w14:paraId="070AAC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②服务质量保证措施；</w:t>
            </w:r>
          </w:p>
          <w:p w14:paraId="599D83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③针对关键设备的运维方案。</w:t>
            </w:r>
          </w:p>
          <w:p w14:paraId="5D8D596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未提供或未完整提供①②③项方案的不得分；</w:t>
            </w:r>
          </w:p>
          <w:p w14:paraId="6DA97B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按上述①②③项要求提供方案且阐述一般的，得4分；</w:t>
            </w:r>
          </w:p>
          <w:p w14:paraId="38BDA2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按上述①②③项要求提供方案且比较全面、清晰、合理的，得8分；</w:t>
            </w:r>
          </w:p>
          <w:p w14:paraId="13DE7A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按上述①②③项要求提供方案且全面、清晰、合理的，得12分。</w:t>
            </w:r>
          </w:p>
        </w:tc>
        <w:tc>
          <w:tcPr>
            <w:tcW w:w="540" w:type="dxa"/>
            <w:tcBorders>
              <w:top w:val="single" w:color="auto" w:sz="4" w:space="0"/>
              <w:left w:val="nil"/>
              <w:bottom w:val="single" w:color="auto" w:sz="4" w:space="0"/>
              <w:right w:val="single" w:color="auto" w:sz="8" w:space="0"/>
            </w:tcBorders>
            <w:vAlign w:val="center"/>
          </w:tcPr>
          <w:p w14:paraId="7605F721">
            <w:pPr>
              <w:snapToGrid w:val="0"/>
              <w:spacing w:line="240" w:lineRule="auto"/>
              <w:ind w:left="0" w:leftChars="0" w:right="0" w:rightChars="0" w:firstLine="0" w:firstLineChars="0"/>
              <w:jc w:val="center"/>
              <w:rPr>
                <w:rFonts w:hint="eastAsia" w:ascii="宋体" w:hAnsi="宋体" w:eastAsia="宋体" w:cs="宋体"/>
                <w:spacing w:val="-3"/>
                <w:kern w:val="0"/>
                <w:sz w:val="24"/>
                <w:szCs w:val="24"/>
                <w:highlight w:val="none"/>
              </w:rPr>
            </w:pPr>
            <w:r>
              <w:rPr>
                <w:rFonts w:hint="eastAsia" w:ascii="宋体" w:hAnsi="宋体" w:eastAsia="宋体" w:cs="宋体"/>
                <w:spacing w:val="-3"/>
                <w:kern w:val="0"/>
                <w:sz w:val="24"/>
                <w:szCs w:val="24"/>
                <w:highlight w:val="none"/>
              </w:rPr>
              <w:t>12</w:t>
            </w:r>
          </w:p>
        </w:tc>
        <w:tc>
          <w:tcPr>
            <w:tcW w:w="540" w:type="dxa"/>
            <w:tcBorders>
              <w:top w:val="single" w:color="auto" w:sz="4" w:space="0"/>
              <w:left w:val="nil"/>
              <w:bottom w:val="single" w:color="auto" w:sz="4" w:space="0"/>
              <w:right w:val="single" w:color="auto" w:sz="8" w:space="0"/>
            </w:tcBorders>
            <w:vAlign w:val="center"/>
          </w:tcPr>
          <w:p w14:paraId="0C828A2A">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7727A525">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主观</w:t>
            </w:r>
          </w:p>
        </w:tc>
      </w:tr>
      <w:tr w14:paraId="041F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36176BA9">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1630" w:type="dxa"/>
            <w:tcBorders>
              <w:top w:val="single" w:color="auto" w:sz="8" w:space="0"/>
              <w:left w:val="nil"/>
              <w:bottom w:val="single" w:color="auto" w:sz="8" w:space="0"/>
              <w:right w:val="single" w:color="auto" w:sz="8" w:space="0"/>
            </w:tcBorders>
            <w:vAlign w:val="center"/>
          </w:tcPr>
          <w:p w14:paraId="67BCF39E">
            <w:pPr>
              <w:snapToGrid w:val="0"/>
              <w:spacing w:line="240" w:lineRule="auto"/>
              <w:ind w:left="0" w:leftChars="0" w:right="0" w:rightChars="0" w:firstLine="0" w:firstLineChars="0"/>
              <w:jc w:val="left"/>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应急服务水平</w:t>
            </w:r>
          </w:p>
        </w:tc>
        <w:tc>
          <w:tcPr>
            <w:tcW w:w="5163" w:type="dxa"/>
            <w:tcBorders>
              <w:top w:val="single" w:color="auto" w:sz="4" w:space="0"/>
              <w:left w:val="nil"/>
              <w:bottom w:val="single" w:color="auto" w:sz="4" w:space="0"/>
              <w:right w:val="single" w:color="auto" w:sz="8" w:space="0"/>
            </w:tcBorders>
            <w:vAlign w:val="center"/>
          </w:tcPr>
          <w:p w14:paraId="7CACB3F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根据供应商应急服务方案进行打分，</w:t>
            </w:r>
            <w:r>
              <w:rPr>
                <w:rFonts w:hint="eastAsia" w:ascii="宋体" w:hAnsi="宋体" w:eastAsia="宋体" w:cs="宋体"/>
                <w:kern w:val="0"/>
                <w:sz w:val="24"/>
                <w:szCs w:val="24"/>
                <w:highlight w:val="none"/>
              </w:rPr>
              <w:t>方案应包含以下内容</w:t>
            </w:r>
            <w:r>
              <w:rPr>
                <w:rFonts w:hint="eastAsia" w:ascii="宋体" w:hAnsi="宋体" w:eastAsia="宋体" w:cs="宋体"/>
                <w:bCs/>
                <w:sz w:val="24"/>
                <w:szCs w:val="24"/>
                <w:highlight w:val="none"/>
                <w:lang w:val="zh-CN"/>
              </w:rPr>
              <w:t>：</w:t>
            </w:r>
          </w:p>
          <w:p w14:paraId="685326F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w:t>
            </w:r>
            <w:r>
              <w:rPr>
                <w:rFonts w:hint="eastAsia" w:ascii="宋体" w:hAnsi="宋体" w:eastAsia="宋体" w:cs="宋体"/>
                <w:kern w:val="0"/>
                <w:sz w:val="24"/>
                <w:szCs w:val="24"/>
                <w:highlight w:val="none"/>
                <w:lang w:val="en-US" w:eastAsia="zh-CN"/>
              </w:rPr>
              <w:t>应急</w:t>
            </w:r>
            <w:r>
              <w:rPr>
                <w:rFonts w:hint="eastAsia" w:ascii="宋体" w:hAnsi="宋体" w:eastAsia="宋体" w:cs="宋体"/>
                <w:bCs/>
                <w:sz w:val="24"/>
                <w:szCs w:val="24"/>
                <w:highlight w:val="none"/>
                <w:lang w:val="zh-CN"/>
              </w:rPr>
              <w:t>服务</w:t>
            </w:r>
            <w:r>
              <w:rPr>
                <w:rFonts w:hint="eastAsia" w:ascii="宋体" w:hAnsi="宋体" w:eastAsia="宋体" w:cs="宋体"/>
                <w:kern w:val="0"/>
                <w:sz w:val="24"/>
                <w:szCs w:val="24"/>
                <w:highlight w:val="none"/>
                <w:lang w:val="en-US" w:eastAsia="zh-CN"/>
              </w:rPr>
              <w:t>方案</w:t>
            </w:r>
            <w:r>
              <w:rPr>
                <w:rFonts w:hint="eastAsia" w:ascii="宋体" w:hAnsi="宋体" w:eastAsia="宋体" w:cs="宋体"/>
                <w:bCs/>
                <w:sz w:val="24"/>
                <w:szCs w:val="24"/>
                <w:highlight w:val="none"/>
                <w:lang w:val="zh-CN"/>
              </w:rPr>
              <w:t>；</w:t>
            </w:r>
          </w:p>
          <w:p w14:paraId="31E5BD0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w:t>
            </w:r>
            <w:r>
              <w:rPr>
                <w:rFonts w:hint="eastAsia" w:ascii="宋体" w:hAnsi="宋体" w:eastAsia="宋体" w:cs="宋体"/>
                <w:bCs/>
                <w:sz w:val="24"/>
                <w:szCs w:val="24"/>
                <w:highlight w:val="none"/>
                <w:lang w:val="zh-CN"/>
              </w:rPr>
              <w:t>响应时间保障措施</w:t>
            </w:r>
            <w:r>
              <w:rPr>
                <w:rFonts w:hint="eastAsia" w:ascii="宋体" w:hAnsi="宋体" w:eastAsia="宋体" w:cs="宋体"/>
                <w:kern w:val="0"/>
                <w:sz w:val="24"/>
                <w:szCs w:val="24"/>
                <w:highlight w:val="none"/>
              </w:rPr>
              <w:t>；</w:t>
            </w:r>
          </w:p>
          <w:p w14:paraId="05722FA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bCs/>
                <w:sz w:val="24"/>
                <w:szCs w:val="24"/>
                <w:highlight w:val="none"/>
                <w:lang w:val="en-US" w:eastAsia="zh-CN"/>
              </w:rPr>
              <w:t>③</w:t>
            </w:r>
            <w:r>
              <w:rPr>
                <w:rFonts w:hint="eastAsia" w:ascii="宋体" w:hAnsi="宋体" w:eastAsia="宋体" w:cs="宋体"/>
                <w:bCs/>
                <w:sz w:val="24"/>
                <w:szCs w:val="24"/>
                <w:highlight w:val="none"/>
                <w:lang w:val="zh-CN"/>
              </w:rPr>
              <w:t>备品备件管理方案。</w:t>
            </w:r>
          </w:p>
          <w:p w14:paraId="1AEB5F4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未提供或未完整提供①②③项方案的不得分；</w:t>
            </w:r>
          </w:p>
          <w:p w14:paraId="2FA02AA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按上述①②③项要求提供方案且阐述一般的，得3分；</w:t>
            </w:r>
          </w:p>
          <w:p w14:paraId="66667C8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按上述①②③项要求提供方案且比较全面、清晰、合理的，得6分；</w:t>
            </w:r>
          </w:p>
          <w:p w14:paraId="3F93954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Cs/>
                <w:sz w:val="24"/>
                <w:szCs w:val="24"/>
                <w:highlight w:val="none"/>
                <w:lang w:val="zh-CN"/>
              </w:rPr>
            </w:pPr>
            <w:r>
              <w:rPr>
                <w:rFonts w:hint="eastAsia" w:ascii="宋体" w:hAnsi="宋体" w:eastAsia="宋体" w:cs="宋体"/>
                <w:kern w:val="0"/>
                <w:sz w:val="24"/>
                <w:szCs w:val="24"/>
                <w:highlight w:val="none"/>
              </w:rPr>
              <w:t>按上述①②③项要求提供方案且全面、清晰、合理的，得10分。</w:t>
            </w:r>
          </w:p>
        </w:tc>
        <w:tc>
          <w:tcPr>
            <w:tcW w:w="540" w:type="dxa"/>
            <w:tcBorders>
              <w:top w:val="single" w:color="auto" w:sz="4" w:space="0"/>
              <w:left w:val="nil"/>
              <w:bottom w:val="single" w:color="auto" w:sz="4" w:space="0"/>
              <w:right w:val="single" w:color="auto" w:sz="8" w:space="0"/>
            </w:tcBorders>
            <w:vAlign w:val="center"/>
          </w:tcPr>
          <w:p w14:paraId="770FA3A1">
            <w:pPr>
              <w:snapToGrid w:val="0"/>
              <w:spacing w:line="240" w:lineRule="auto"/>
              <w:ind w:left="0" w:leftChars="0" w:right="0" w:rightChars="0" w:firstLine="0" w:firstLineChars="0"/>
              <w:jc w:val="center"/>
              <w:rPr>
                <w:rFonts w:hint="eastAsia" w:ascii="宋体" w:hAnsi="宋体" w:eastAsia="宋体" w:cs="宋体"/>
                <w:spacing w:val="-3"/>
                <w:kern w:val="0"/>
                <w:sz w:val="24"/>
                <w:szCs w:val="24"/>
                <w:highlight w:val="none"/>
              </w:rPr>
            </w:pPr>
            <w:r>
              <w:rPr>
                <w:rFonts w:hint="eastAsia" w:ascii="宋体" w:hAnsi="宋体" w:eastAsia="宋体" w:cs="宋体"/>
                <w:spacing w:val="-3"/>
                <w:kern w:val="0"/>
                <w:sz w:val="24"/>
                <w:szCs w:val="24"/>
                <w:highlight w:val="none"/>
              </w:rPr>
              <w:t>10</w:t>
            </w:r>
          </w:p>
        </w:tc>
        <w:tc>
          <w:tcPr>
            <w:tcW w:w="540" w:type="dxa"/>
            <w:tcBorders>
              <w:top w:val="single" w:color="auto" w:sz="4" w:space="0"/>
              <w:left w:val="nil"/>
              <w:bottom w:val="single" w:color="auto" w:sz="4" w:space="0"/>
              <w:right w:val="single" w:color="auto" w:sz="8" w:space="0"/>
            </w:tcBorders>
            <w:vAlign w:val="center"/>
          </w:tcPr>
          <w:p w14:paraId="3A8059D2">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4C08BA8A">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主观</w:t>
            </w:r>
          </w:p>
        </w:tc>
      </w:tr>
      <w:tr w14:paraId="63E7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3CA47D30">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w:t>
            </w:r>
          </w:p>
        </w:tc>
        <w:tc>
          <w:tcPr>
            <w:tcW w:w="1630" w:type="dxa"/>
            <w:tcBorders>
              <w:top w:val="single" w:color="auto" w:sz="8" w:space="0"/>
              <w:left w:val="nil"/>
              <w:bottom w:val="single" w:color="auto" w:sz="8" w:space="0"/>
              <w:right w:val="single" w:color="auto" w:sz="8" w:space="0"/>
            </w:tcBorders>
            <w:vAlign w:val="center"/>
          </w:tcPr>
          <w:p w14:paraId="0E296EAD">
            <w:pPr>
              <w:widowControl/>
              <w:snapToGrid w:val="0"/>
              <w:spacing w:line="240" w:lineRule="auto"/>
              <w:ind w:left="0" w:leftChars="0" w:right="0" w:rightChars="0" w:firstLine="0" w:firstLineChars="0"/>
              <w:jc w:val="left"/>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val="zh-CN"/>
              </w:rPr>
              <w:t>公司</w:t>
            </w:r>
            <w:r>
              <w:rPr>
                <w:rFonts w:hint="eastAsia" w:ascii="宋体" w:hAnsi="宋体" w:eastAsia="宋体" w:cs="宋体"/>
                <w:bCs/>
                <w:kern w:val="0"/>
                <w:sz w:val="24"/>
                <w:szCs w:val="24"/>
                <w:highlight w:val="none"/>
              </w:rPr>
              <w:t>综合实力</w:t>
            </w:r>
          </w:p>
        </w:tc>
        <w:tc>
          <w:tcPr>
            <w:tcW w:w="5163" w:type="dxa"/>
            <w:tcBorders>
              <w:top w:val="single" w:color="auto" w:sz="4" w:space="0"/>
              <w:left w:val="nil"/>
              <w:bottom w:val="single" w:color="auto" w:sz="4" w:space="0"/>
              <w:right w:val="single" w:color="auto" w:sz="8" w:space="0"/>
            </w:tcBorders>
            <w:vAlign w:val="center"/>
          </w:tcPr>
          <w:p w14:paraId="29C911F0">
            <w:pPr>
              <w:snapToGrid w:val="0"/>
              <w:ind w:left="0" w:leftChars="0" w:right="0" w:rightChars="0" w:firstLine="0" w:firstLineChars="0"/>
              <w:jc w:val="left"/>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zh-CN" w:eastAsia="zh-CN"/>
              </w:rPr>
              <w:t>1、具有中国网络安全审查技术与认证中心（或中国网络安全审查认证和市场监管大数据中心）颁发的有效的信息安全风险评估服务资质得3分。</w:t>
            </w:r>
          </w:p>
          <w:p w14:paraId="3A8BC874">
            <w:pPr>
              <w:snapToGrid w:val="0"/>
              <w:ind w:left="0" w:leftChars="0" w:right="0" w:rightChars="0" w:firstLine="0" w:firstLineChars="0"/>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2、具备具有中国网络安全审查技术与认证中心（或中国网络安全审查认证和市场监管大数据中心）颁发的</w:t>
            </w:r>
            <w:r>
              <w:rPr>
                <w:rFonts w:hint="eastAsia" w:ascii="宋体" w:hAnsi="宋体" w:eastAsia="宋体" w:cs="宋体"/>
                <w:bCs/>
                <w:sz w:val="24"/>
                <w:szCs w:val="24"/>
                <w:highlight w:val="none"/>
              </w:rPr>
              <w:t>有效的</w:t>
            </w:r>
            <w:r>
              <w:rPr>
                <w:rFonts w:hint="eastAsia" w:ascii="宋体" w:hAnsi="宋体" w:eastAsia="宋体" w:cs="宋体"/>
                <w:bCs/>
                <w:sz w:val="24"/>
                <w:szCs w:val="24"/>
                <w:highlight w:val="none"/>
                <w:lang w:val="zh-CN"/>
              </w:rPr>
              <w:t>信息系统安全运维服务资质得3分。</w:t>
            </w:r>
          </w:p>
          <w:p w14:paraId="6814C367">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zh-CN" w:eastAsia="zh-CN" w:bidi="ar-SA"/>
              </w:rPr>
            </w:pPr>
            <w:r>
              <w:rPr>
                <w:rFonts w:hint="eastAsia" w:ascii="宋体" w:hAnsi="宋体" w:eastAsia="宋体" w:cs="宋体"/>
                <w:bCs/>
                <w:kern w:val="0"/>
                <w:sz w:val="24"/>
                <w:szCs w:val="24"/>
                <w:highlight w:val="none"/>
                <w:lang w:val="zh-CN" w:eastAsia="zh-CN" w:bidi="ar-SA"/>
              </w:rPr>
              <w:t>3、具备具有中国网络安全审查技术与认证中心（或中国网络安全审查认证和市场监管大数据中心）颁发的</w:t>
            </w:r>
            <w:r>
              <w:rPr>
                <w:rFonts w:hint="eastAsia" w:ascii="宋体" w:hAnsi="宋体" w:eastAsia="宋体" w:cs="宋体"/>
                <w:bCs/>
                <w:kern w:val="0"/>
                <w:sz w:val="24"/>
                <w:szCs w:val="24"/>
                <w:highlight w:val="none"/>
                <w:lang w:val="en-US" w:eastAsia="zh-CN" w:bidi="ar-SA"/>
              </w:rPr>
              <w:t>有效的</w:t>
            </w:r>
            <w:r>
              <w:rPr>
                <w:rFonts w:hint="eastAsia" w:ascii="宋体" w:hAnsi="宋体" w:eastAsia="宋体" w:cs="宋体"/>
                <w:bCs/>
                <w:kern w:val="0"/>
                <w:sz w:val="24"/>
                <w:szCs w:val="24"/>
                <w:highlight w:val="none"/>
                <w:lang w:val="zh-CN" w:eastAsia="zh-CN" w:bidi="ar-SA"/>
              </w:rPr>
              <w:t>信息系统安全集成资质得3分。</w:t>
            </w:r>
          </w:p>
          <w:p w14:paraId="70373908">
            <w:pPr>
              <w:widowControl w:val="0"/>
              <w:snapToGrid w:val="0"/>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证明材料：</w:t>
            </w:r>
            <w:r>
              <w:rPr>
                <w:rFonts w:hint="eastAsia" w:ascii="宋体" w:hAnsi="宋体" w:eastAsia="宋体" w:cs="宋体"/>
                <w:bCs/>
                <w:kern w:val="0"/>
                <w:sz w:val="24"/>
                <w:szCs w:val="24"/>
                <w:highlight w:val="none"/>
                <w:lang w:val="zh-CN" w:eastAsia="zh-CN" w:bidi="ar-SA"/>
              </w:rPr>
              <w:t>以上</w:t>
            </w:r>
            <w:r>
              <w:rPr>
                <w:rFonts w:hint="eastAsia" w:ascii="宋体" w:hAnsi="宋体" w:eastAsia="宋体" w:cs="宋体"/>
                <w:bCs/>
                <w:kern w:val="0"/>
                <w:sz w:val="24"/>
                <w:szCs w:val="24"/>
                <w:highlight w:val="none"/>
                <w:lang w:val="en-US" w:eastAsia="zh-CN" w:bidi="ar-SA"/>
              </w:rPr>
              <w:t>1</w:t>
            </w:r>
            <w:r>
              <w:rPr>
                <w:rFonts w:hint="eastAsia" w:ascii="宋体" w:hAnsi="宋体" w:eastAsia="宋体" w:cs="宋体"/>
                <w:bCs/>
                <w:kern w:val="0"/>
                <w:sz w:val="24"/>
                <w:szCs w:val="24"/>
                <w:highlight w:val="none"/>
                <w:lang w:val="zh-CN" w:eastAsia="zh-CN" w:bidi="ar-SA"/>
              </w:rPr>
              <w:t>-</w:t>
            </w:r>
            <w:r>
              <w:rPr>
                <w:rFonts w:hint="eastAsia" w:ascii="宋体" w:hAnsi="宋体" w:eastAsia="宋体" w:cs="宋体"/>
                <w:bCs/>
                <w:kern w:val="0"/>
                <w:sz w:val="24"/>
                <w:szCs w:val="24"/>
                <w:highlight w:val="none"/>
                <w:lang w:val="en-US" w:eastAsia="zh-CN" w:bidi="ar-SA"/>
              </w:rPr>
              <w:t>3</w:t>
            </w:r>
            <w:r>
              <w:rPr>
                <w:rFonts w:hint="eastAsia" w:ascii="宋体" w:hAnsi="宋体" w:eastAsia="宋体" w:cs="宋体"/>
                <w:bCs/>
                <w:kern w:val="0"/>
                <w:sz w:val="24"/>
                <w:szCs w:val="24"/>
                <w:highlight w:val="none"/>
                <w:lang w:val="zh-CN" w:eastAsia="zh-CN" w:bidi="ar-SA"/>
              </w:rPr>
              <w:t>项需提供相关证书的复印件（或扫描件）加盖供应商公章，否则不得分。</w:t>
            </w:r>
          </w:p>
        </w:tc>
        <w:tc>
          <w:tcPr>
            <w:tcW w:w="540" w:type="dxa"/>
            <w:tcBorders>
              <w:top w:val="single" w:color="auto" w:sz="4" w:space="0"/>
              <w:left w:val="nil"/>
              <w:bottom w:val="single" w:color="auto" w:sz="4" w:space="0"/>
              <w:right w:val="single" w:color="auto" w:sz="8" w:space="0"/>
            </w:tcBorders>
            <w:vAlign w:val="center"/>
          </w:tcPr>
          <w:p w14:paraId="44ACC5C2">
            <w:pPr>
              <w:widowControl/>
              <w:snapToGrid w:val="0"/>
              <w:spacing w:line="24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540" w:type="dxa"/>
            <w:tcBorders>
              <w:top w:val="single" w:color="auto" w:sz="4" w:space="0"/>
              <w:left w:val="nil"/>
              <w:bottom w:val="single" w:color="auto" w:sz="4" w:space="0"/>
              <w:right w:val="single" w:color="auto" w:sz="8" w:space="0"/>
            </w:tcBorders>
            <w:vAlign w:val="center"/>
          </w:tcPr>
          <w:p w14:paraId="0BEE8273">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4939E269">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客观</w:t>
            </w:r>
          </w:p>
        </w:tc>
      </w:tr>
      <w:tr w14:paraId="3AC3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0C167CEB">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4</w:t>
            </w:r>
          </w:p>
        </w:tc>
        <w:tc>
          <w:tcPr>
            <w:tcW w:w="1630" w:type="dxa"/>
            <w:tcBorders>
              <w:top w:val="single" w:color="auto" w:sz="8" w:space="0"/>
              <w:left w:val="nil"/>
              <w:bottom w:val="single" w:color="auto" w:sz="8" w:space="0"/>
              <w:right w:val="single" w:color="auto" w:sz="8" w:space="0"/>
            </w:tcBorders>
            <w:vAlign w:val="center"/>
          </w:tcPr>
          <w:p w14:paraId="5A066F30">
            <w:pPr>
              <w:widowControl/>
              <w:snapToGrid w:val="0"/>
              <w:spacing w:line="240" w:lineRule="auto"/>
              <w:ind w:left="0" w:leftChars="0" w:right="0" w:rightChars="0" w:firstLine="0" w:firstLineChars="0"/>
              <w:jc w:val="lef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业绩</w:t>
            </w:r>
          </w:p>
        </w:tc>
        <w:tc>
          <w:tcPr>
            <w:tcW w:w="5163" w:type="dxa"/>
            <w:tcBorders>
              <w:top w:val="single" w:color="auto" w:sz="4" w:space="0"/>
              <w:left w:val="nil"/>
              <w:bottom w:val="single" w:color="auto" w:sz="4" w:space="0"/>
              <w:right w:val="single" w:color="auto" w:sz="8" w:space="0"/>
            </w:tcBorders>
            <w:vAlign w:val="center"/>
          </w:tcPr>
          <w:p w14:paraId="6BAC6E1C">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en-US" w:eastAsia="zh-CN" w:bidi="en-US"/>
              </w:rPr>
            </w:pPr>
            <w:r>
              <w:rPr>
                <w:rFonts w:hint="eastAsia" w:ascii="宋体" w:hAnsi="宋体" w:eastAsia="宋体" w:cs="宋体"/>
                <w:bCs/>
                <w:kern w:val="0"/>
                <w:sz w:val="24"/>
                <w:szCs w:val="24"/>
                <w:highlight w:val="none"/>
                <w:lang w:val="en-US" w:eastAsia="zh-CN" w:bidi="en-US"/>
              </w:rPr>
              <w:t>供应商自2022年1月1日以来（以合同签订时间为准）完成过项目内容包含网络或信息安全运维的项目，每提供一项得2分，最高10分。</w:t>
            </w:r>
          </w:p>
          <w:p w14:paraId="55C4A6C2">
            <w:pPr>
              <w:widowControl w:val="0"/>
              <w:snapToGrid w:val="0"/>
              <w:ind w:left="0" w:leftChars="0" w:right="0" w:rightChars="0" w:firstLine="0" w:firstLineChars="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bCs/>
                <w:kern w:val="0"/>
                <w:sz w:val="24"/>
                <w:szCs w:val="24"/>
                <w:highlight w:val="none"/>
                <w:lang w:val="en-US" w:eastAsia="zh-CN" w:bidi="en-US"/>
              </w:rPr>
              <w:t>证明材料：提供合同的复印件（或扫描件）加盖供应商公章，否则不得分。</w:t>
            </w:r>
          </w:p>
        </w:tc>
        <w:tc>
          <w:tcPr>
            <w:tcW w:w="540" w:type="dxa"/>
            <w:tcBorders>
              <w:top w:val="single" w:color="auto" w:sz="4" w:space="0"/>
              <w:left w:val="nil"/>
              <w:bottom w:val="single" w:color="auto" w:sz="4" w:space="0"/>
              <w:right w:val="single" w:color="auto" w:sz="8" w:space="0"/>
            </w:tcBorders>
            <w:vAlign w:val="center"/>
          </w:tcPr>
          <w:p w14:paraId="7D00C4F0">
            <w:pPr>
              <w:widowControl/>
              <w:snapToGrid w:val="0"/>
              <w:spacing w:line="240" w:lineRule="auto"/>
              <w:ind w:left="0" w:leftChars="0" w:right="0" w:rightChars="0" w:firstLine="0" w:firstLineChars="0"/>
              <w:jc w:val="center"/>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10</w:t>
            </w:r>
          </w:p>
        </w:tc>
        <w:tc>
          <w:tcPr>
            <w:tcW w:w="540" w:type="dxa"/>
            <w:tcBorders>
              <w:top w:val="single" w:color="auto" w:sz="4" w:space="0"/>
              <w:left w:val="nil"/>
              <w:bottom w:val="single" w:color="auto" w:sz="4" w:space="0"/>
              <w:right w:val="single" w:color="auto" w:sz="8" w:space="0"/>
            </w:tcBorders>
            <w:vAlign w:val="center"/>
          </w:tcPr>
          <w:p w14:paraId="3C1258C1">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71251BB1">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客观</w:t>
            </w:r>
          </w:p>
        </w:tc>
      </w:tr>
      <w:tr w14:paraId="3B60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4F9842D2">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5</w:t>
            </w:r>
          </w:p>
        </w:tc>
        <w:tc>
          <w:tcPr>
            <w:tcW w:w="1630" w:type="dxa"/>
            <w:tcBorders>
              <w:top w:val="single" w:color="auto" w:sz="8" w:space="0"/>
              <w:left w:val="nil"/>
              <w:bottom w:val="single" w:color="auto" w:sz="8" w:space="0"/>
              <w:right w:val="single" w:color="auto" w:sz="8" w:space="0"/>
            </w:tcBorders>
            <w:vAlign w:val="center"/>
          </w:tcPr>
          <w:p w14:paraId="3BCAE91D">
            <w:pPr>
              <w:widowControl/>
              <w:snapToGrid w:val="0"/>
              <w:spacing w:line="240" w:lineRule="auto"/>
              <w:ind w:left="0" w:leftChars="0" w:right="0" w:rightChars="0" w:firstLine="0" w:firstLineChars="0"/>
              <w:jc w:val="lef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项目负责人</w:t>
            </w:r>
          </w:p>
        </w:tc>
        <w:tc>
          <w:tcPr>
            <w:tcW w:w="5163" w:type="dxa"/>
            <w:tcBorders>
              <w:top w:val="single" w:color="auto" w:sz="4" w:space="0"/>
              <w:left w:val="nil"/>
              <w:bottom w:val="single" w:color="auto" w:sz="4" w:space="0"/>
              <w:right w:val="single" w:color="auto" w:sz="8" w:space="0"/>
            </w:tcBorders>
            <w:vAlign w:val="center"/>
          </w:tcPr>
          <w:p w14:paraId="4FC4FCAD">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en-US" w:eastAsia="zh-CN" w:bidi="en-US"/>
              </w:rPr>
            </w:pPr>
            <w:r>
              <w:rPr>
                <w:rFonts w:hint="eastAsia" w:ascii="宋体" w:hAnsi="宋体" w:eastAsia="宋体" w:cs="宋体"/>
                <w:bCs/>
                <w:kern w:val="0"/>
                <w:sz w:val="24"/>
                <w:szCs w:val="24"/>
                <w:highlight w:val="none"/>
                <w:lang w:val="en-US" w:eastAsia="zh-CN" w:bidi="en-US"/>
              </w:rPr>
              <w:t>项目负责人具有人社部</w:t>
            </w:r>
            <w:r>
              <w:rPr>
                <w:rFonts w:hint="eastAsia" w:ascii="宋体" w:hAnsi="宋体" w:cs="宋体"/>
                <w:bCs/>
                <w:kern w:val="0"/>
                <w:sz w:val="24"/>
                <w:szCs w:val="24"/>
                <w:highlight w:val="none"/>
                <w:lang w:val="en-US" w:eastAsia="zh-CN" w:bidi="en-US"/>
              </w:rPr>
              <w:t>及</w:t>
            </w:r>
            <w:r>
              <w:rPr>
                <w:rFonts w:hint="eastAsia" w:ascii="宋体" w:hAnsi="宋体" w:eastAsia="宋体" w:cs="宋体"/>
                <w:bCs/>
                <w:kern w:val="0"/>
                <w:sz w:val="24"/>
                <w:szCs w:val="24"/>
                <w:highlight w:val="none"/>
                <w:lang w:val="en-US" w:eastAsia="zh-CN" w:bidi="en-US"/>
              </w:rPr>
              <w:t>工信部联合颁发的信息系统项目管理师证书的得4分</w:t>
            </w:r>
            <w:r>
              <w:rPr>
                <w:rFonts w:hint="eastAsia" w:ascii="宋体" w:hAnsi="宋体" w:cs="宋体"/>
                <w:bCs/>
                <w:kern w:val="0"/>
                <w:sz w:val="24"/>
                <w:szCs w:val="24"/>
                <w:highlight w:val="none"/>
                <w:lang w:val="en-US" w:eastAsia="zh-CN" w:bidi="en-US"/>
              </w:rPr>
              <w:t>、</w:t>
            </w:r>
            <w:r>
              <w:rPr>
                <w:rFonts w:hint="eastAsia" w:ascii="宋体" w:hAnsi="宋体" w:eastAsia="宋体" w:cs="宋体"/>
                <w:bCs/>
                <w:kern w:val="0"/>
                <w:sz w:val="24"/>
                <w:szCs w:val="24"/>
                <w:highlight w:val="none"/>
                <w:lang w:val="en-US" w:eastAsia="zh-CN" w:bidi="en-US"/>
              </w:rPr>
              <w:t>系统集成项目管理工程师证书的得2分</w:t>
            </w:r>
            <w:r>
              <w:rPr>
                <w:rFonts w:hint="eastAsia" w:ascii="宋体" w:hAnsi="宋体" w:cs="宋体"/>
                <w:bCs/>
                <w:kern w:val="0"/>
                <w:sz w:val="24"/>
                <w:szCs w:val="24"/>
                <w:highlight w:val="none"/>
                <w:lang w:val="en-US" w:eastAsia="zh-CN" w:bidi="en-US"/>
              </w:rPr>
              <w:t>；</w:t>
            </w:r>
            <w:r>
              <w:rPr>
                <w:rFonts w:hint="eastAsia" w:ascii="宋体" w:hAnsi="宋体" w:eastAsia="宋体" w:cs="宋体"/>
                <w:bCs/>
                <w:kern w:val="0"/>
                <w:sz w:val="24"/>
                <w:szCs w:val="24"/>
                <w:highlight w:val="none"/>
                <w:lang w:val="en-US" w:eastAsia="zh-CN" w:bidi="en-US"/>
              </w:rPr>
              <w:t>具有中国信息安全测评中心</w:t>
            </w:r>
            <w:r>
              <w:rPr>
                <w:rFonts w:hint="eastAsia" w:ascii="宋体" w:hAnsi="宋体" w:cs="宋体"/>
                <w:bCs/>
                <w:kern w:val="0"/>
                <w:sz w:val="24"/>
                <w:szCs w:val="24"/>
                <w:highlight w:val="none"/>
                <w:lang w:val="en-US" w:eastAsia="zh-CN" w:bidi="en-US"/>
              </w:rPr>
              <w:t>颁发的</w:t>
            </w:r>
            <w:r>
              <w:rPr>
                <w:rFonts w:hint="eastAsia" w:ascii="宋体" w:hAnsi="宋体" w:eastAsia="宋体" w:cs="宋体"/>
                <w:bCs/>
                <w:kern w:val="0"/>
                <w:sz w:val="24"/>
                <w:szCs w:val="24"/>
                <w:highlight w:val="none"/>
                <w:lang w:val="en-US" w:eastAsia="zh-CN" w:bidi="en-US"/>
              </w:rPr>
              <w:t>注册信息安全专业人员CISP或具有人社部、工信部联合颁发的信息安全工程师证书得2分。本项最多6分。</w:t>
            </w:r>
          </w:p>
          <w:p w14:paraId="0FB5B04E">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zh-CN" w:eastAsia="zh-CN" w:bidi="en-US"/>
              </w:rPr>
            </w:pPr>
            <w:r>
              <w:rPr>
                <w:rFonts w:hint="eastAsia" w:ascii="宋体" w:hAnsi="宋体" w:eastAsia="宋体" w:cs="宋体"/>
                <w:bCs/>
                <w:kern w:val="0"/>
                <w:sz w:val="24"/>
                <w:szCs w:val="24"/>
                <w:highlight w:val="none"/>
                <w:lang w:val="en-US" w:eastAsia="zh-CN" w:bidi="en-US"/>
              </w:rPr>
              <w:t>证明材料：提供合同的复印件（或扫描件）加盖供应商公章，否则不得分。</w:t>
            </w:r>
          </w:p>
        </w:tc>
        <w:tc>
          <w:tcPr>
            <w:tcW w:w="540" w:type="dxa"/>
            <w:tcBorders>
              <w:top w:val="single" w:color="auto" w:sz="4" w:space="0"/>
              <w:left w:val="nil"/>
              <w:bottom w:val="single" w:color="auto" w:sz="4" w:space="0"/>
              <w:right w:val="single" w:color="auto" w:sz="8" w:space="0"/>
            </w:tcBorders>
            <w:vAlign w:val="center"/>
          </w:tcPr>
          <w:p w14:paraId="4FEB6182">
            <w:pPr>
              <w:snapToGrid w:val="0"/>
              <w:spacing w:line="24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w:t>
            </w:r>
          </w:p>
        </w:tc>
        <w:tc>
          <w:tcPr>
            <w:tcW w:w="540" w:type="dxa"/>
            <w:tcBorders>
              <w:top w:val="single" w:color="auto" w:sz="4" w:space="0"/>
              <w:left w:val="nil"/>
              <w:bottom w:val="single" w:color="auto" w:sz="4" w:space="0"/>
              <w:right w:val="single" w:color="auto" w:sz="8" w:space="0"/>
            </w:tcBorders>
            <w:vAlign w:val="center"/>
          </w:tcPr>
          <w:p w14:paraId="42DB5FBD">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4D214FCA">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客观</w:t>
            </w:r>
          </w:p>
        </w:tc>
      </w:tr>
      <w:tr w14:paraId="3CBD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0F98384F">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6</w:t>
            </w:r>
          </w:p>
        </w:tc>
        <w:tc>
          <w:tcPr>
            <w:tcW w:w="1630" w:type="dxa"/>
            <w:tcBorders>
              <w:top w:val="single" w:color="auto" w:sz="8" w:space="0"/>
              <w:left w:val="nil"/>
              <w:right w:val="single" w:color="auto" w:sz="8" w:space="0"/>
            </w:tcBorders>
            <w:vAlign w:val="center"/>
          </w:tcPr>
          <w:p w14:paraId="17499358">
            <w:pPr>
              <w:widowControl/>
              <w:snapToGrid w:val="0"/>
              <w:spacing w:line="240" w:lineRule="auto"/>
              <w:ind w:left="0" w:leftChars="0" w:right="0" w:rightChars="0"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项目团队其他成员实力</w:t>
            </w:r>
          </w:p>
        </w:tc>
        <w:tc>
          <w:tcPr>
            <w:tcW w:w="5163" w:type="dxa"/>
            <w:tcBorders>
              <w:top w:val="single" w:color="auto" w:sz="4" w:space="0"/>
              <w:left w:val="nil"/>
              <w:bottom w:val="single" w:color="auto" w:sz="4" w:space="0"/>
              <w:right w:val="single" w:color="auto" w:sz="8" w:space="0"/>
            </w:tcBorders>
            <w:vAlign w:val="center"/>
          </w:tcPr>
          <w:p w14:paraId="4506758F">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en-US" w:eastAsia="zh-CN" w:bidi="en-US"/>
              </w:rPr>
            </w:pPr>
            <w:r>
              <w:rPr>
                <w:rFonts w:hint="eastAsia" w:ascii="宋体" w:hAnsi="宋体" w:eastAsia="宋体" w:cs="宋体"/>
                <w:bCs/>
                <w:kern w:val="0"/>
                <w:sz w:val="24"/>
                <w:szCs w:val="24"/>
                <w:highlight w:val="none"/>
                <w:lang w:val="en-US" w:eastAsia="zh-CN" w:bidi="en-US"/>
              </w:rPr>
              <w:t>除项目负责人外的其他拟投入本项目的团队成员符合如下要求的：</w:t>
            </w:r>
          </w:p>
          <w:p w14:paraId="77DA72FC">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zh-CN" w:eastAsia="zh-CN" w:bidi="en-US"/>
              </w:rPr>
            </w:pPr>
            <w:r>
              <w:rPr>
                <w:rFonts w:hint="eastAsia" w:ascii="宋体" w:hAnsi="宋体" w:eastAsia="宋体" w:cs="宋体"/>
                <w:bCs/>
                <w:kern w:val="0"/>
                <w:sz w:val="24"/>
                <w:szCs w:val="24"/>
                <w:highlight w:val="none"/>
                <w:lang w:val="zh-CN" w:eastAsia="zh-CN" w:bidi="en-US"/>
              </w:rPr>
              <w:t>1、具有CISAW信息安全保障人员认证资格（安全运维（专业级），</w:t>
            </w:r>
            <w:r>
              <w:rPr>
                <w:rFonts w:hint="eastAsia" w:ascii="宋体" w:hAnsi="宋体" w:eastAsia="宋体" w:cs="宋体"/>
                <w:bCs/>
                <w:kern w:val="0"/>
                <w:sz w:val="24"/>
                <w:szCs w:val="24"/>
                <w:highlight w:val="none"/>
                <w:lang w:val="en-US" w:eastAsia="zh-CN" w:bidi="en-US"/>
              </w:rPr>
              <w:t>每</w:t>
            </w:r>
            <w:r>
              <w:rPr>
                <w:rFonts w:hint="eastAsia" w:ascii="宋体" w:hAnsi="宋体" w:eastAsia="宋体" w:cs="宋体"/>
                <w:bCs/>
                <w:kern w:val="0"/>
                <w:sz w:val="24"/>
                <w:szCs w:val="24"/>
                <w:highlight w:val="none"/>
                <w:lang w:val="zh-CN" w:eastAsia="zh-CN" w:bidi="en-US"/>
              </w:rPr>
              <w:t>提供一份证书得</w:t>
            </w:r>
            <w:r>
              <w:rPr>
                <w:rFonts w:hint="eastAsia" w:ascii="宋体" w:hAnsi="宋体" w:eastAsia="宋体" w:cs="宋体"/>
                <w:bCs/>
                <w:kern w:val="0"/>
                <w:sz w:val="24"/>
                <w:szCs w:val="24"/>
                <w:highlight w:val="none"/>
                <w:lang w:val="en-US" w:eastAsia="zh-CN" w:bidi="en-US"/>
              </w:rPr>
              <w:t>1</w:t>
            </w:r>
            <w:r>
              <w:rPr>
                <w:rFonts w:hint="eastAsia" w:ascii="宋体" w:hAnsi="宋体" w:eastAsia="宋体" w:cs="宋体"/>
                <w:bCs/>
                <w:kern w:val="0"/>
                <w:sz w:val="24"/>
                <w:szCs w:val="24"/>
                <w:highlight w:val="none"/>
                <w:lang w:val="zh-CN" w:eastAsia="zh-CN" w:bidi="en-US"/>
              </w:rPr>
              <w:t>分，本项最</w:t>
            </w:r>
            <w:r>
              <w:rPr>
                <w:rFonts w:hint="eastAsia" w:ascii="宋体" w:hAnsi="宋体" w:eastAsia="宋体" w:cs="宋体"/>
                <w:bCs/>
                <w:kern w:val="0"/>
                <w:sz w:val="24"/>
                <w:szCs w:val="24"/>
                <w:highlight w:val="none"/>
                <w:lang w:val="en-US" w:eastAsia="zh-CN" w:bidi="en-US"/>
              </w:rPr>
              <w:t>高</w:t>
            </w:r>
            <w:r>
              <w:rPr>
                <w:rFonts w:hint="eastAsia" w:ascii="宋体" w:hAnsi="宋体" w:eastAsia="宋体" w:cs="宋体"/>
                <w:bCs/>
                <w:kern w:val="0"/>
                <w:sz w:val="24"/>
                <w:szCs w:val="24"/>
                <w:highlight w:val="none"/>
                <w:lang w:val="zh-CN" w:eastAsia="zh-CN" w:bidi="en-US"/>
              </w:rPr>
              <w:t>得</w:t>
            </w:r>
            <w:r>
              <w:rPr>
                <w:rFonts w:hint="eastAsia" w:ascii="宋体" w:hAnsi="宋体" w:eastAsia="宋体" w:cs="宋体"/>
                <w:bCs/>
                <w:kern w:val="0"/>
                <w:sz w:val="24"/>
                <w:szCs w:val="24"/>
                <w:highlight w:val="none"/>
                <w:lang w:val="en-US" w:eastAsia="zh-CN" w:bidi="en-US"/>
              </w:rPr>
              <w:t>3</w:t>
            </w:r>
            <w:r>
              <w:rPr>
                <w:rFonts w:hint="eastAsia" w:ascii="宋体" w:hAnsi="宋体" w:eastAsia="宋体" w:cs="宋体"/>
                <w:bCs/>
                <w:kern w:val="0"/>
                <w:sz w:val="24"/>
                <w:szCs w:val="24"/>
                <w:highlight w:val="none"/>
                <w:lang w:val="zh-CN" w:eastAsia="zh-CN" w:bidi="en-US"/>
              </w:rPr>
              <w:t>分；</w:t>
            </w:r>
          </w:p>
          <w:p w14:paraId="56C4D4C8">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zh-CN" w:eastAsia="zh-CN" w:bidi="en-US"/>
              </w:rPr>
            </w:pPr>
            <w:r>
              <w:rPr>
                <w:rFonts w:hint="eastAsia" w:ascii="宋体" w:hAnsi="宋体" w:eastAsia="宋体" w:cs="宋体"/>
                <w:bCs/>
                <w:kern w:val="0"/>
                <w:sz w:val="24"/>
                <w:szCs w:val="24"/>
                <w:highlight w:val="none"/>
                <w:lang w:val="zh-CN" w:eastAsia="zh-CN" w:bidi="en-US"/>
              </w:rPr>
              <w:t>2、具有CISAW信息安全保障人员认证资格（风险管理（专业级），</w:t>
            </w:r>
            <w:r>
              <w:rPr>
                <w:rFonts w:hint="eastAsia" w:ascii="宋体" w:hAnsi="宋体" w:eastAsia="宋体" w:cs="宋体"/>
                <w:bCs/>
                <w:kern w:val="0"/>
                <w:sz w:val="24"/>
                <w:szCs w:val="24"/>
                <w:highlight w:val="none"/>
                <w:lang w:val="en-US" w:eastAsia="zh-CN" w:bidi="en-US"/>
              </w:rPr>
              <w:t>每</w:t>
            </w:r>
            <w:r>
              <w:rPr>
                <w:rFonts w:hint="eastAsia" w:ascii="宋体" w:hAnsi="宋体" w:eastAsia="宋体" w:cs="宋体"/>
                <w:bCs/>
                <w:kern w:val="0"/>
                <w:sz w:val="24"/>
                <w:szCs w:val="24"/>
                <w:highlight w:val="none"/>
                <w:lang w:val="zh-CN" w:eastAsia="zh-CN" w:bidi="en-US"/>
              </w:rPr>
              <w:t>提供一份证书得</w:t>
            </w:r>
            <w:r>
              <w:rPr>
                <w:rFonts w:hint="eastAsia" w:ascii="宋体" w:hAnsi="宋体" w:eastAsia="宋体" w:cs="宋体"/>
                <w:bCs/>
                <w:kern w:val="0"/>
                <w:sz w:val="24"/>
                <w:szCs w:val="24"/>
                <w:highlight w:val="none"/>
                <w:lang w:val="en-US" w:eastAsia="zh-CN" w:bidi="en-US"/>
              </w:rPr>
              <w:t>1</w:t>
            </w:r>
            <w:r>
              <w:rPr>
                <w:rFonts w:hint="eastAsia" w:ascii="宋体" w:hAnsi="宋体" w:eastAsia="宋体" w:cs="宋体"/>
                <w:bCs/>
                <w:kern w:val="0"/>
                <w:sz w:val="24"/>
                <w:szCs w:val="24"/>
                <w:highlight w:val="none"/>
                <w:lang w:val="zh-CN" w:eastAsia="zh-CN" w:bidi="en-US"/>
              </w:rPr>
              <w:t>分，本项最</w:t>
            </w:r>
            <w:r>
              <w:rPr>
                <w:rFonts w:hint="eastAsia" w:ascii="宋体" w:hAnsi="宋体" w:eastAsia="宋体" w:cs="宋体"/>
                <w:bCs/>
                <w:kern w:val="0"/>
                <w:sz w:val="24"/>
                <w:szCs w:val="24"/>
                <w:highlight w:val="none"/>
                <w:lang w:val="en-US" w:eastAsia="zh-CN" w:bidi="en-US"/>
              </w:rPr>
              <w:t>高</w:t>
            </w:r>
            <w:r>
              <w:rPr>
                <w:rFonts w:hint="eastAsia" w:ascii="宋体" w:hAnsi="宋体" w:eastAsia="宋体" w:cs="宋体"/>
                <w:bCs/>
                <w:kern w:val="0"/>
                <w:sz w:val="24"/>
                <w:szCs w:val="24"/>
                <w:highlight w:val="none"/>
                <w:lang w:val="zh-CN" w:eastAsia="zh-CN" w:bidi="en-US"/>
              </w:rPr>
              <w:t>得</w:t>
            </w:r>
            <w:r>
              <w:rPr>
                <w:rFonts w:hint="eastAsia" w:ascii="宋体" w:hAnsi="宋体" w:eastAsia="宋体" w:cs="宋体"/>
                <w:bCs/>
                <w:kern w:val="0"/>
                <w:sz w:val="24"/>
                <w:szCs w:val="24"/>
                <w:highlight w:val="none"/>
                <w:lang w:val="en-US" w:eastAsia="zh-CN" w:bidi="en-US"/>
              </w:rPr>
              <w:t>3</w:t>
            </w:r>
            <w:r>
              <w:rPr>
                <w:rFonts w:hint="eastAsia" w:ascii="宋体" w:hAnsi="宋体" w:eastAsia="宋体" w:cs="宋体"/>
                <w:bCs/>
                <w:kern w:val="0"/>
                <w:sz w:val="24"/>
                <w:szCs w:val="24"/>
                <w:highlight w:val="none"/>
                <w:lang w:val="zh-CN" w:eastAsia="zh-CN" w:bidi="en-US"/>
              </w:rPr>
              <w:t>分；</w:t>
            </w:r>
          </w:p>
          <w:p w14:paraId="667A243C">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zh-CN" w:eastAsia="zh-CN" w:bidi="en-US"/>
              </w:rPr>
            </w:pPr>
            <w:r>
              <w:rPr>
                <w:rFonts w:hint="eastAsia" w:ascii="宋体" w:hAnsi="宋体" w:eastAsia="宋体" w:cs="宋体"/>
                <w:bCs/>
                <w:kern w:val="0"/>
                <w:sz w:val="24"/>
                <w:szCs w:val="24"/>
                <w:highlight w:val="none"/>
                <w:lang w:val="zh-CN" w:eastAsia="zh-CN" w:bidi="en-US"/>
              </w:rPr>
              <w:t>3、具有CISAW信息安全保障人员认证资格（安全集成（专业级），</w:t>
            </w:r>
            <w:r>
              <w:rPr>
                <w:rFonts w:hint="eastAsia" w:ascii="宋体" w:hAnsi="宋体" w:eastAsia="宋体" w:cs="宋体"/>
                <w:bCs/>
                <w:kern w:val="0"/>
                <w:sz w:val="24"/>
                <w:szCs w:val="24"/>
                <w:highlight w:val="none"/>
                <w:lang w:val="en-US" w:eastAsia="zh-CN" w:bidi="en-US"/>
              </w:rPr>
              <w:t>每</w:t>
            </w:r>
            <w:r>
              <w:rPr>
                <w:rFonts w:hint="eastAsia" w:ascii="宋体" w:hAnsi="宋体" w:eastAsia="宋体" w:cs="宋体"/>
                <w:bCs/>
                <w:kern w:val="0"/>
                <w:sz w:val="24"/>
                <w:szCs w:val="24"/>
                <w:highlight w:val="none"/>
                <w:lang w:val="zh-CN" w:eastAsia="zh-CN" w:bidi="en-US"/>
              </w:rPr>
              <w:t>提供一份证书得</w:t>
            </w:r>
            <w:r>
              <w:rPr>
                <w:rFonts w:hint="eastAsia" w:ascii="宋体" w:hAnsi="宋体" w:eastAsia="宋体" w:cs="宋体"/>
                <w:bCs/>
                <w:kern w:val="0"/>
                <w:sz w:val="24"/>
                <w:szCs w:val="24"/>
                <w:highlight w:val="none"/>
                <w:lang w:val="en-US" w:eastAsia="zh-CN" w:bidi="en-US"/>
              </w:rPr>
              <w:t>1</w:t>
            </w:r>
            <w:r>
              <w:rPr>
                <w:rFonts w:hint="eastAsia" w:ascii="宋体" w:hAnsi="宋体" w:eastAsia="宋体" w:cs="宋体"/>
                <w:bCs/>
                <w:kern w:val="0"/>
                <w:sz w:val="24"/>
                <w:szCs w:val="24"/>
                <w:highlight w:val="none"/>
                <w:lang w:val="zh-CN" w:eastAsia="zh-CN" w:bidi="en-US"/>
              </w:rPr>
              <w:t>分，本项最</w:t>
            </w:r>
            <w:r>
              <w:rPr>
                <w:rFonts w:hint="eastAsia" w:ascii="宋体" w:hAnsi="宋体" w:eastAsia="宋体" w:cs="宋体"/>
                <w:bCs/>
                <w:kern w:val="0"/>
                <w:sz w:val="24"/>
                <w:szCs w:val="24"/>
                <w:highlight w:val="none"/>
                <w:lang w:val="en-US" w:eastAsia="zh-CN" w:bidi="en-US"/>
              </w:rPr>
              <w:t>高</w:t>
            </w:r>
            <w:r>
              <w:rPr>
                <w:rFonts w:hint="eastAsia" w:ascii="宋体" w:hAnsi="宋体" w:eastAsia="宋体" w:cs="宋体"/>
                <w:bCs/>
                <w:kern w:val="0"/>
                <w:sz w:val="24"/>
                <w:szCs w:val="24"/>
                <w:highlight w:val="none"/>
                <w:lang w:val="zh-CN" w:eastAsia="zh-CN" w:bidi="en-US"/>
              </w:rPr>
              <w:t>得</w:t>
            </w:r>
            <w:r>
              <w:rPr>
                <w:rFonts w:hint="eastAsia" w:ascii="宋体" w:hAnsi="宋体" w:eastAsia="宋体" w:cs="宋体"/>
                <w:bCs/>
                <w:kern w:val="0"/>
                <w:sz w:val="24"/>
                <w:szCs w:val="24"/>
                <w:highlight w:val="none"/>
                <w:lang w:val="en-US" w:eastAsia="zh-CN" w:bidi="en-US"/>
              </w:rPr>
              <w:t>3</w:t>
            </w:r>
            <w:r>
              <w:rPr>
                <w:rFonts w:hint="eastAsia" w:ascii="宋体" w:hAnsi="宋体" w:eastAsia="宋体" w:cs="宋体"/>
                <w:bCs/>
                <w:kern w:val="0"/>
                <w:sz w:val="24"/>
                <w:szCs w:val="24"/>
                <w:highlight w:val="none"/>
                <w:lang w:val="zh-CN" w:eastAsia="zh-CN" w:bidi="en-US"/>
              </w:rPr>
              <w:t>分；</w:t>
            </w:r>
          </w:p>
          <w:p w14:paraId="134958E2">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zh-CN" w:eastAsia="zh-CN" w:bidi="en-US"/>
              </w:rPr>
            </w:pPr>
            <w:r>
              <w:rPr>
                <w:rFonts w:hint="eastAsia" w:ascii="宋体" w:hAnsi="宋体" w:eastAsia="宋体" w:cs="宋体"/>
                <w:bCs/>
                <w:kern w:val="0"/>
                <w:sz w:val="24"/>
                <w:szCs w:val="24"/>
                <w:highlight w:val="none"/>
                <w:lang w:val="zh-CN" w:eastAsia="zh-CN" w:bidi="en-US"/>
              </w:rPr>
              <w:t>4、具有CISAW信息安全保障人员认证资格（应急服务（专业级），</w:t>
            </w:r>
            <w:r>
              <w:rPr>
                <w:rFonts w:hint="eastAsia" w:ascii="宋体" w:hAnsi="宋体" w:eastAsia="宋体" w:cs="宋体"/>
                <w:bCs/>
                <w:kern w:val="0"/>
                <w:sz w:val="24"/>
                <w:szCs w:val="24"/>
                <w:highlight w:val="none"/>
                <w:lang w:val="en-US" w:eastAsia="zh-CN" w:bidi="en-US"/>
              </w:rPr>
              <w:t>每</w:t>
            </w:r>
            <w:r>
              <w:rPr>
                <w:rFonts w:hint="eastAsia" w:ascii="宋体" w:hAnsi="宋体" w:eastAsia="宋体" w:cs="宋体"/>
                <w:bCs/>
                <w:kern w:val="0"/>
                <w:sz w:val="24"/>
                <w:szCs w:val="24"/>
                <w:highlight w:val="none"/>
                <w:lang w:val="zh-CN" w:eastAsia="zh-CN" w:bidi="en-US"/>
              </w:rPr>
              <w:t>提供一份证书得</w:t>
            </w:r>
            <w:r>
              <w:rPr>
                <w:rFonts w:hint="eastAsia" w:ascii="宋体" w:hAnsi="宋体" w:eastAsia="宋体" w:cs="宋体"/>
                <w:bCs/>
                <w:kern w:val="0"/>
                <w:sz w:val="24"/>
                <w:szCs w:val="24"/>
                <w:highlight w:val="none"/>
                <w:lang w:val="en-US" w:eastAsia="zh-CN" w:bidi="en-US"/>
              </w:rPr>
              <w:t>1</w:t>
            </w:r>
            <w:r>
              <w:rPr>
                <w:rFonts w:hint="eastAsia" w:ascii="宋体" w:hAnsi="宋体" w:eastAsia="宋体" w:cs="宋体"/>
                <w:bCs/>
                <w:kern w:val="0"/>
                <w:sz w:val="24"/>
                <w:szCs w:val="24"/>
                <w:highlight w:val="none"/>
                <w:lang w:val="zh-CN" w:eastAsia="zh-CN" w:bidi="en-US"/>
              </w:rPr>
              <w:t>分，本项最</w:t>
            </w:r>
            <w:r>
              <w:rPr>
                <w:rFonts w:hint="eastAsia" w:ascii="宋体" w:hAnsi="宋体" w:eastAsia="宋体" w:cs="宋体"/>
                <w:bCs/>
                <w:kern w:val="0"/>
                <w:sz w:val="24"/>
                <w:szCs w:val="24"/>
                <w:highlight w:val="none"/>
                <w:lang w:val="en-US" w:eastAsia="zh-CN" w:bidi="en-US"/>
              </w:rPr>
              <w:t>高</w:t>
            </w:r>
            <w:r>
              <w:rPr>
                <w:rFonts w:hint="eastAsia" w:ascii="宋体" w:hAnsi="宋体" w:eastAsia="宋体" w:cs="宋体"/>
                <w:bCs/>
                <w:kern w:val="0"/>
                <w:sz w:val="24"/>
                <w:szCs w:val="24"/>
                <w:highlight w:val="none"/>
                <w:lang w:val="zh-CN" w:eastAsia="zh-CN" w:bidi="en-US"/>
              </w:rPr>
              <w:t>得</w:t>
            </w:r>
            <w:r>
              <w:rPr>
                <w:rFonts w:hint="eastAsia" w:ascii="宋体" w:hAnsi="宋体" w:eastAsia="宋体" w:cs="宋体"/>
                <w:bCs/>
                <w:kern w:val="0"/>
                <w:sz w:val="24"/>
                <w:szCs w:val="24"/>
                <w:highlight w:val="none"/>
                <w:lang w:val="en-US" w:eastAsia="zh-CN" w:bidi="en-US"/>
              </w:rPr>
              <w:t>3</w:t>
            </w:r>
            <w:r>
              <w:rPr>
                <w:rFonts w:hint="eastAsia" w:ascii="宋体" w:hAnsi="宋体" w:eastAsia="宋体" w:cs="宋体"/>
                <w:bCs/>
                <w:kern w:val="0"/>
                <w:sz w:val="24"/>
                <w:szCs w:val="24"/>
                <w:highlight w:val="none"/>
                <w:lang w:val="zh-CN" w:eastAsia="zh-CN" w:bidi="en-US"/>
              </w:rPr>
              <w:t>分；</w:t>
            </w:r>
          </w:p>
          <w:p w14:paraId="70ACA34C">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zh-CN" w:eastAsia="zh-CN" w:bidi="en-US"/>
              </w:rPr>
            </w:pPr>
            <w:r>
              <w:rPr>
                <w:rFonts w:hint="eastAsia" w:ascii="宋体" w:hAnsi="宋体" w:eastAsia="宋体" w:cs="宋体"/>
                <w:bCs/>
                <w:kern w:val="0"/>
                <w:sz w:val="24"/>
                <w:szCs w:val="24"/>
                <w:highlight w:val="none"/>
                <w:lang w:val="zh-CN" w:eastAsia="zh-CN" w:bidi="en-US"/>
              </w:rPr>
              <w:t>5、具有国家互联网应急中心颁发的 CCSC网络安全能力认证证书，</w:t>
            </w:r>
            <w:r>
              <w:rPr>
                <w:rFonts w:hint="eastAsia" w:ascii="宋体" w:hAnsi="宋体" w:eastAsia="宋体" w:cs="宋体"/>
                <w:bCs/>
                <w:kern w:val="0"/>
                <w:sz w:val="24"/>
                <w:szCs w:val="24"/>
                <w:highlight w:val="none"/>
                <w:lang w:val="en-US" w:eastAsia="zh-CN" w:bidi="en-US"/>
              </w:rPr>
              <w:t>每</w:t>
            </w:r>
            <w:r>
              <w:rPr>
                <w:rFonts w:hint="eastAsia" w:ascii="宋体" w:hAnsi="宋体" w:eastAsia="宋体" w:cs="宋体"/>
                <w:bCs/>
                <w:kern w:val="0"/>
                <w:sz w:val="24"/>
                <w:szCs w:val="24"/>
                <w:highlight w:val="none"/>
                <w:lang w:val="zh-CN" w:eastAsia="zh-CN" w:bidi="en-US"/>
              </w:rPr>
              <w:t>提供一份证书得</w:t>
            </w:r>
            <w:r>
              <w:rPr>
                <w:rFonts w:hint="eastAsia" w:ascii="宋体" w:hAnsi="宋体" w:eastAsia="宋体" w:cs="宋体"/>
                <w:bCs/>
                <w:kern w:val="0"/>
                <w:sz w:val="24"/>
                <w:szCs w:val="24"/>
                <w:highlight w:val="none"/>
                <w:lang w:val="en-US" w:eastAsia="zh-CN" w:bidi="en-US"/>
              </w:rPr>
              <w:t>1</w:t>
            </w:r>
            <w:r>
              <w:rPr>
                <w:rFonts w:hint="eastAsia" w:ascii="宋体" w:hAnsi="宋体" w:eastAsia="宋体" w:cs="宋体"/>
                <w:bCs/>
                <w:kern w:val="0"/>
                <w:sz w:val="24"/>
                <w:szCs w:val="24"/>
                <w:highlight w:val="none"/>
                <w:lang w:val="zh-CN" w:eastAsia="zh-CN" w:bidi="en-US"/>
              </w:rPr>
              <w:t>分，本项最</w:t>
            </w:r>
            <w:r>
              <w:rPr>
                <w:rFonts w:hint="eastAsia" w:ascii="宋体" w:hAnsi="宋体" w:eastAsia="宋体" w:cs="宋体"/>
                <w:bCs/>
                <w:kern w:val="0"/>
                <w:sz w:val="24"/>
                <w:szCs w:val="24"/>
                <w:highlight w:val="none"/>
                <w:lang w:val="en-US" w:eastAsia="zh-CN" w:bidi="en-US"/>
              </w:rPr>
              <w:t>高</w:t>
            </w:r>
            <w:r>
              <w:rPr>
                <w:rFonts w:hint="eastAsia" w:ascii="宋体" w:hAnsi="宋体" w:eastAsia="宋体" w:cs="宋体"/>
                <w:bCs/>
                <w:kern w:val="0"/>
                <w:sz w:val="24"/>
                <w:szCs w:val="24"/>
                <w:highlight w:val="none"/>
                <w:lang w:val="zh-CN" w:eastAsia="zh-CN" w:bidi="en-US"/>
              </w:rPr>
              <w:t>得</w:t>
            </w:r>
            <w:r>
              <w:rPr>
                <w:rFonts w:hint="eastAsia" w:ascii="宋体" w:hAnsi="宋体" w:eastAsia="宋体" w:cs="宋体"/>
                <w:bCs/>
                <w:kern w:val="0"/>
                <w:sz w:val="24"/>
                <w:szCs w:val="24"/>
                <w:highlight w:val="none"/>
                <w:lang w:val="en-US" w:eastAsia="zh-CN" w:bidi="en-US"/>
              </w:rPr>
              <w:t>3</w:t>
            </w:r>
            <w:r>
              <w:rPr>
                <w:rFonts w:hint="eastAsia" w:ascii="宋体" w:hAnsi="宋体" w:eastAsia="宋体" w:cs="宋体"/>
                <w:bCs/>
                <w:kern w:val="0"/>
                <w:sz w:val="24"/>
                <w:szCs w:val="24"/>
                <w:highlight w:val="none"/>
                <w:lang w:val="zh-CN" w:eastAsia="zh-CN" w:bidi="en-US"/>
              </w:rPr>
              <w:t>分；</w:t>
            </w:r>
          </w:p>
          <w:p w14:paraId="070EA164">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6、具备</w:t>
            </w:r>
            <w:r>
              <w:rPr>
                <w:rFonts w:hint="eastAsia" w:ascii="宋体" w:hAnsi="宋体" w:eastAsia="宋体" w:cs="宋体"/>
                <w:bCs/>
                <w:kern w:val="0"/>
                <w:sz w:val="24"/>
                <w:szCs w:val="24"/>
                <w:highlight w:val="none"/>
                <w:lang w:val="en-US" w:eastAsia="zh-CN" w:bidi="en-US"/>
              </w:rPr>
              <w:t>人社部</w:t>
            </w:r>
            <w:r>
              <w:rPr>
                <w:rFonts w:hint="eastAsia" w:ascii="宋体" w:hAnsi="宋体" w:cs="宋体"/>
                <w:bCs/>
                <w:kern w:val="0"/>
                <w:sz w:val="24"/>
                <w:szCs w:val="24"/>
                <w:highlight w:val="none"/>
                <w:lang w:val="en-US" w:eastAsia="zh-CN" w:bidi="en-US"/>
              </w:rPr>
              <w:t>及</w:t>
            </w:r>
            <w:r>
              <w:rPr>
                <w:rFonts w:hint="eastAsia" w:ascii="宋体" w:hAnsi="宋体" w:eastAsia="宋体" w:cs="宋体"/>
                <w:bCs/>
                <w:kern w:val="0"/>
                <w:sz w:val="24"/>
                <w:szCs w:val="24"/>
                <w:highlight w:val="none"/>
                <w:lang w:val="en-US" w:eastAsia="zh-CN" w:bidi="en-US"/>
              </w:rPr>
              <w:t>工信部联合颁发的</w:t>
            </w:r>
            <w:r>
              <w:rPr>
                <w:rFonts w:hint="eastAsia" w:ascii="宋体" w:hAnsi="宋体" w:eastAsia="宋体" w:cs="宋体"/>
                <w:bCs/>
                <w:kern w:val="0"/>
                <w:sz w:val="24"/>
                <w:szCs w:val="24"/>
                <w:highlight w:val="none"/>
                <w:lang w:val="en-US" w:eastAsia="zh-CN" w:bidi="ar-SA"/>
              </w:rPr>
              <w:t>信息系统项目管理师，每提供一份证书得2分；具备</w:t>
            </w:r>
            <w:r>
              <w:rPr>
                <w:rFonts w:hint="eastAsia" w:ascii="宋体" w:hAnsi="宋体" w:eastAsia="宋体" w:cs="宋体"/>
                <w:bCs/>
                <w:kern w:val="0"/>
                <w:sz w:val="24"/>
                <w:szCs w:val="24"/>
                <w:highlight w:val="none"/>
                <w:lang w:val="en-US" w:eastAsia="zh-CN" w:bidi="en-US"/>
              </w:rPr>
              <w:t>人社部</w:t>
            </w:r>
            <w:r>
              <w:rPr>
                <w:rFonts w:hint="eastAsia" w:ascii="宋体" w:hAnsi="宋体" w:cs="宋体"/>
                <w:bCs/>
                <w:kern w:val="0"/>
                <w:sz w:val="24"/>
                <w:szCs w:val="24"/>
                <w:highlight w:val="none"/>
                <w:lang w:val="en-US" w:eastAsia="zh-CN" w:bidi="en-US"/>
              </w:rPr>
              <w:t>及</w:t>
            </w:r>
            <w:r>
              <w:rPr>
                <w:rFonts w:hint="eastAsia" w:ascii="宋体" w:hAnsi="宋体" w:eastAsia="宋体" w:cs="宋体"/>
                <w:bCs/>
                <w:kern w:val="0"/>
                <w:sz w:val="24"/>
                <w:szCs w:val="24"/>
                <w:highlight w:val="none"/>
                <w:lang w:val="en-US" w:eastAsia="zh-CN" w:bidi="en-US"/>
              </w:rPr>
              <w:t>工信部联合颁发的</w:t>
            </w:r>
            <w:r>
              <w:rPr>
                <w:rFonts w:hint="eastAsia" w:ascii="宋体" w:hAnsi="宋体" w:eastAsia="宋体" w:cs="宋体"/>
                <w:bCs/>
                <w:kern w:val="0"/>
                <w:sz w:val="24"/>
                <w:szCs w:val="24"/>
                <w:highlight w:val="none"/>
                <w:lang w:val="en-US" w:eastAsia="zh-CN" w:bidi="ar-SA"/>
              </w:rPr>
              <w:t>系统集成项目管理工程师证书，每提供一份证书得1分</w:t>
            </w:r>
            <w:r>
              <w:rPr>
                <w:rFonts w:hint="eastAsia" w:ascii="宋体" w:hAnsi="宋体" w:cs="宋体"/>
                <w:bCs/>
                <w:kern w:val="0"/>
                <w:sz w:val="24"/>
                <w:szCs w:val="24"/>
                <w:highlight w:val="none"/>
                <w:lang w:val="en-US" w:eastAsia="zh-CN" w:bidi="ar-SA"/>
              </w:rPr>
              <w:t>。</w:t>
            </w:r>
            <w:r>
              <w:rPr>
                <w:rFonts w:hint="eastAsia" w:ascii="宋体" w:hAnsi="宋体" w:eastAsia="宋体" w:cs="宋体"/>
                <w:bCs/>
                <w:kern w:val="0"/>
                <w:sz w:val="24"/>
                <w:szCs w:val="24"/>
                <w:highlight w:val="none"/>
                <w:lang w:val="en-US" w:eastAsia="zh-CN" w:bidi="ar-SA"/>
              </w:rPr>
              <w:t>本项最高得3分；</w:t>
            </w:r>
          </w:p>
          <w:p w14:paraId="4A776690">
            <w:pPr>
              <w:widowControl w:val="0"/>
              <w:numPr>
                <w:ilvl w:val="0"/>
                <w:numId w:val="3"/>
              </w:numPr>
              <w:snapToGrid w:val="0"/>
              <w:ind w:left="0" w:leftChars="0" w:right="0" w:rightChars="0" w:firstLine="0" w:firstLineChars="0"/>
              <w:jc w:val="left"/>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具备</w:t>
            </w:r>
            <w:r>
              <w:rPr>
                <w:rFonts w:hint="eastAsia" w:ascii="宋体" w:hAnsi="宋体" w:eastAsia="宋体" w:cs="宋体"/>
                <w:bCs/>
                <w:kern w:val="0"/>
                <w:sz w:val="24"/>
                <w:szCs w:val="24"/>
                <w:highlight w:val="none"/>
                <w:lang w:val="en-US" w:eastAsia="zh-CN" w:bidi="en-US"/>
              </w:rPr>
              <w:t>中国信息安全测评中心</w:t>
            </w:r>
            <w:r>
              <w:rPr>
                <w:rFonts w:hint="eastAsia" w:ascii="宋体" w:hAnsi="宋体" w:cs="宋体"/>
                <w:bCs/>
                <w:kern w:val="0"/>
                <w:sz w:val="24"/>
                <w:szCs w:val="24"/>
                <w:highlight w:val="none"/>
                <w:lang w:val="en-US" w:eastAsia="zh-CN" w:bidi="en-US"/>
              </w:rPr>
              <w:t>颁发的</w:t>
            </w:r>
            <w:r>
              <w:rPr>
                <w:rFonts w:hint="eastAsia" w:ascii="宋体" w:hAnsi="宋体" w:eastAsia="宋体" w:cs="宋体"/>
                <w:bCs/>
                <w:kern w:val="0"/>
                <w:sz w:val="24"/>
                <w:szCs w:val="24"/>
                <w:highlight w:val="none"/>
                <w:lang w:val="en-US" w:eastAsia="zh-CN" w:bidi="en-US"/>
              </w:rPr>
              <w:t>注册信息安全专业人员CISP</w:t>
            </w:r>
            <w:r>
              <w:rPr>
                <w:rFonts w:hint="eastAsia" w:ascii="宋体" w:hAnsi="宋体" w:cs="宋体"/>
                <w:bCs/>
                <w:kern w:val="0"/>
                <w:sz w:val="24"/>
                <w:szCs w:val="24"/>
                <w:highlight w:val="none"/>
                <w:lang w:val="en-US" w:eastAsia="zh-CN" w:bidi="en-US"/>
              </w:rPr>
              <w:t>，</w:t>
            </w:r>
            <w:r>
              <w:rPr>
                <w:rFonts w:hint="eastAsia" w:ascii="宋体" w:hAnsi="宋体" w:eastAsia="宋体" w:cs="宋体"/>
                <w:bCs/>
                <w:kern w:val="0"/>
                <w:sz w:val="24"/>
                <w:szCs w:val="24"/>
                <w:highlight w:val="none"/>
                <w:lang w:val="en-US" w:eastAsia="zh-CN" w:bidi="ar-SA"/>
              </w:rPr>
              <w:t>每提供一份证书得2分；</w:t>
            </w:r>
            <w:r>
              <w:rPr>
                <w:rFonts w:hint="eastAsia" w:ascii="宋体" w:hAnsi="宋体" w:eastAsia="宋体" w:cs="宋体"/>
                <w:bCs/>
                <w:kern w:val="0"/>
                <w:sz w:val="24"/>
                <w:szCs w:val="24"/>
                <w:highlight w:val="none"/>
                <w:lang w:val="en-US" w:eastAsia="zh-CN" w:bidi="en-US"/>
              </w:rPr>
              <w:t>具备人社部</w:t>
            </w:r>
            <w:r>
              <w:rPr>
                <w:rFonts w:hint="eastAsia" w:ascii="宋体" w:hAnsi="宋体" w:cs="宋体"/>
                <w:bCs/>
                <w:kern w:val="0"/>
                <w:sz w:val="24"/>
                <w:szCs w:val="24"/>
                <w:highlight w:val="none"/>
                <w:lang w:val="en-US" w:eastAsia="zh-CN" w:bidi="en-US"/>
              </w:rPr>
              <w:t>及</w:t>
            </w:r>
            <w:r>
              <w:rPr>
                <w:rFonts w:hint="eastAsia" w:ascii="宋体" w:hAnsi="宋体" w:eastAsia="宋体" w:cs="宋体"/>
                <w:bCs/>
                <w:kern w:val="0"/>
                <w:sz w:val="24"/>
                <w:szCs w:val="24"/>
                <w:highlight w:val="none"/>
                <w:lang w:val="en-US" w:eastAsia="zh-CN" w:bidi="en-US"/>
              </w:rPr>
              <w:t>工信部联合颁发的信息安全工程师证书，</w:t>
            </w:r>
            <w:r>
              <w:rPr>
                <w:rFonts w:hint="eastAsia" w:ascii="宋体" w:hAnsi="宋体" w:eastAsia="宋体" w:cs="宋体"/>
                <w:bCs/>
                <w:kern w:val="0"/>
                <w:sz w:val="24"/>
                <w:szCs w:val="24"/>
                <w:highlight w:val="none"/>
                <w:lang w:val="en-US" w:eastAsia="zh-CN" w:bidi="ar-SA"/>
              </w:rPr>
              <w:t>每提供一份证书得1分</w:t>
            </w:r>
            <w:r>
              <w:rPr>
                <w:rFonts w:hint="eastAsia" w:ascii="宋体" w:hAnsi="宋体" w:cs="宋体"/>
                <w:bCs/>
                <w:kern w:val="0"/>
                <w:sz w:val="24"/>
                <w:szCs w:val="24"/>
                <w:highlight w:val="none"/>
                <w:lang w:val="en-US" w:eastAsia="zh-CN" w:bidi="ar-SA"/>
              </w:rPr>
              <w:t>。</w:t>
            </w:r>
            <w:r>
              <w:rPr>
                <w:rFonts w:hint="eastAsia" w:ascii="宋体" w:hAnsi="宋体" w:eastAsia="宋体" w:cs="宋体"/>
                <w:bCs/>
                <w:kern w:val="0"/>
                <w:sz w:val="24"/>
                <w:szCs w:val="24"/>
                <w:highlight w:val="none"/>
                <w:lang w:val="en-US" w:eastAsia="zh-CN" w:bidi="ar-SA"/>
              </w:rPr>
              <w:t>本项最高得5分。</w:t>
            </w:r>
          </w:p>
          <w:p w14:paraId="23652CD7">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en-US"/>
              </w:rPr>
              <w:t>证明材料：</w:t>
            </w:r>
            <w:r>
              <w:rPr>
                <w:rFonts w:hint="eastAsia" w:ascii="宋体" w:hAnsi="宋体" w:eastAsia="宋体" w:cs="宋体"/>
                <w:bCs/>
                <w:kern w:val="0"/>
                <w:sz w:val="24"/>
                <w:szCs w:val="24"/>
                <w:highlight w:val="none"/>
                <w:lang w:val="zh-CN" w:eastAsia="zh-CN" w:bidi="ar-SA"/>
              </w:rPr>
              <w:t>以上</w:t>
            </w:r>
            <w:r>
              <w:rPr>
                <w:rFonts w:hint="eastAsia" w:ascii="宋体" w:hAnsi="宋体" w:eastAsia="宋体" w:cs="宋体"/>
                <w:bCs/>
                <w:kern w:val="0"/>
                <w:sz w:val="24"/>
                <w:szCs w:val="24"/>
                <w:highlight w:val="none"/>
                <w:lang w:val="en-US" w:eastAsia="zh-CN" w:bidi="ar-SA"/>
              </w:rPr>
              <w:t>1</w:t>
            </w:r>
            <w:r>
              <w:rPr>
                <w:rFonts w:hint="eastAsia" w:ascii="宋体" w:hAnsi="宋体" w:eastAsia="宋体" w:cs="宋体"/>
                <w:bCs/>
                <w:kern w:val="0"/>
                <w:sz w:val="24"/>
                <w:szCs w:val="24"/>
                <w:highlight w:val="none"/>
                <w:lang w:val="zh-CN" w:eastAsia="zh-CN" w:bidi="ar-SA"/>
              </w:rPr>
              <w:t>-</w:t>
            </w:r>
            <w:r>
              <w:rPr>
                <w:rFonts w:hint="eastAsia" w:ascii="宋体" w:hAnsi="宋体" w:eastAsia="宋体" w:cs="宋体"/>
                <w:bCs/>
                <w:kern w:val="0"/>
                <w:sz w:val="24"/>
                <w:szCs w:val="24"/>
                <w:highlight w:val="none"/>
                <w:lang w:val="en-US" w:eastAsia="zh-CN" w:bidi="ar-SA"/>
              </w:rPr>
              <w:t>7</w:t>
            </w:r>
            <w:r>
              <w:rPr>
                <w:rFonts w:hint="eastAsia" w:ascii="宋体" w:hAnsi="宋体" w:eastAsia="宋体" w:cs="宋体"/>
                <w:bCs/>
                <w:kern w:val="0"/>
                <w:sz w:val="24"/>
                <w:szCs w:val="24"/>
                <w:highlight w:val="none"/>
                <w:lang w:val="zh-CN" w:eastAsia="zh-CN" w:bidi="ar-SA"/>
              </w:rPr>
              <w:t>项需提供相关证书</w:t>
            </w:r>
            <w:r>
              <w:rPr>
                <w:rFonts w:hint="eastAsia" w:ascii="宋体" w:hAnsi="宋体" w:eastAsia="宋体" w:cs="宋体"/>
                <w:bCs/>
                <w:kern w:val="2"/>
                <w:sz w:val="24"/>
                <w:szCs w:val="24"/>
                <w:highlight w:val="none"/>
                <w:lang w:val="zh-CN" w:eastAsia="zh-CN" w:bidi="ar-SA"/>
              </w:rPr>
              <w:t>的复印件（或扫描件）</w:t>
            </w:r>
            <w:r>
              <w:rPr>
                <w:rFonts w:hint="eastAsia" w:ascii="宋体" w:hAnsi="宋体" w:eastAsia="宋体" w:cs="宋体"/>
                <w:bCs/>
                <w:kern w:val="0"/>
                <w:sz w:val="24"/>
                <w:szCs w:val="24"/>
                <w:highlight w:val="none"/>
                <w:lang w:val="zh-CN" w:eastAsia="zh-CN" w:bidi="ar-SA"/>
              </w:rPr>
              <w:t>加盖供应商公章，否则不得分。</w:t>
            </w:r>
          </w:p>
          <w:p w14:paraId="709734DA">
            <w:pPr>
              <w:widowControl w:val="0"/>
              <w:snapToGrid w:val="0"/>
              <w:ind w:left="0" w:leftChars="0" w:right="0" w:rightChars="0" w:firstLine="0" w:firstLineChars="0"/>
              <w:jc w:val="left"/>
              <w:rPr>
                <w:rFonts w:hint="eastAsia" w:ascii="宋体" w:hAnsi="宋体" w:eastAsia="宋体" w:cs="宋体"/>
                <w:bCs/>
                <w:kern w:val="0"/>
                <w:sz w:val="24"/>
                <w:szCs w:val="24"/>
                <w:highlight w:val="none"/>
                <w:lang w:val="zh-CN" w:eastAsia="zh-CN" w:bidi="en-US"/>
              </w:rPr>
            </w:pPr>
            <w:r>
              <w:rPr>
                <w:rFonts w:hint="eastAsia" w:ascii="宋体" w:hAnsi="宋体" w:eastAsia="宋体" w:cs="宋体"/>
                <w:bCs/>
                <w:kern w:val="0"/>
                <w:sz w:val="24"/>
                <w:szCs w:val="24"/>
                <w:highlight w:val="none"/>
                <w:lang w:val="zh-CN" w:eastAsia="zh-CN" w:bidi="en-US"/>
              </w:rPr>
              <w:t>注：1、上述人员必须为供应商的正式职工，出具</w:t>
            </w:r>
            <w:r>
              <w:rPr>
                <w:rFonts w:hint="eastAsia" w:ascii="宋体" w:hAnsi="宋体" w:eastAsia="宋体" w:cs="宋体"/>
                <w:bCs/>
                <w:kern w:val="0"/>
                <w:sz w:val="24"/>
                <w:szCs w:val="24"/>
                <w:highlight w:val="none"/>
                <w:lang w:val="en-US" w:eastAsia="zh-CN" w:bidi="en-US"/>
              </w:rPr>
              <w:t>供应商</w:t>
            </w:r>
            <w:r>
              <w:rPr>
                <w:rFonts w:hint="eastAsia" w:ascii="宋体" w:hAnsi="宋体" w:eastAsia="宋体" w:cs="宋体"/>
                <w:bCs/>
                <w:kern w:val="0"/>
                <w:sz w:val="24"/>
                <w:szCs w:val="24"/>
                <w:highlight w:val="none"/>
                <w:lang w:val="zh-CN" w:eastAsia="zh-CN" w:bidi="en-US"/>
              </w:rPr>
              <w:t>为其缴纳的</w:t>
            </w:r>
            <w:r>
              <w:rPr>
                <w:rFonts w:hint="eastAsia" w:ascii="宋体" w:hAnsi="宋体" w:eastAsia="宋体" w:cs="宋体"/>
                <w:bCs/>
                <w:kern w:val="0"/>
                <w:sz w:val="24"/>
                <w:szCs w:val="24"/>
                <w:highlight w:val="none"/>
                <w:lang w:val="en-US" w:eastAsia="zh-CN" w:bidi="en-US"/>
              </w:rPr>
              <w:t>近三个月（2025年10月至2025年12月）内任意一个月的</w:t>
            </w:r>
            <w:r>
              <w:rPr>
                <w:rFonts w:hint="eastAsia" w:ascii="宋体" w:hAnsi="宋体" w:eastAsia="宋体" w:cs="宋体"/>
                <w:bCs/>
                <w:kern w:val="0"/>
                <w:sz w:val="24"/>
                <w:szCs w:val="24"/>
                <w:highlight w:val="none"/>
                <w:lang w:val="zh-CN" w:eastAsia="zh-CN" w:bidi="en-US"/>
              </w:rPr>
              <w:t>社保缴费证明，具体要求如下：</w:t>
            </w:r>
          </w:p>
          <w:p w14:paraId="7C9D46A7">
            <w:pPr>
              <w:snapToGrid w:val="0"/>
              <w:ind w:left="0" w:leftChars="0" w:right="0" w:rightChars="0" w:firstLine="0" w:firstLineChars="0"/>
              <w:jc w:val="left"/>
              <w:rPr>
                <w:rFonts w:hint="eastAsia" w:ascii="宋体" w:hAnsi="宋体" w:eastAsia="宋体" w:cs="宋体"/>
                <w:bCs/>
                <w:kern w:val="0"/>
                <w:sz w:val="24"/>
                <w:szCs w:val="24"/>
                <w:highlight w:val="none"/>
                <w:lang w:val="zh-CN" w:bidi="en-US"/>
              </w:rPr>
            </w:pPr>
            <w:r>
              <w:rPr>
                <w:rFonts w:hint="eastAsia" w:ascii="宋体" w:hAnsi="宋体" w:eastAsia="宋体" w:cs="宋体"/>
                <w:bCs/>
                <w:kern w:val="0"/>
                <w:sz w:val="24"/>
                <w:szCs w:val="24"/>
                <w:highlight w:val="none"/>
                <w:lang w:val="zh-CN" w:bidi="en-US"/>
              </w:rPr>
              <w:t>社保缴纳证明材料需含缴费起止时间、缴费单位、缴费人员姓名并由社保机构加盖缴费证明专用章，社保机构官网上打印件与线下的盖章件具有同等效力，缴费单位须与</w:t>
            </w:r>
            <w:r>
              <w:rPr>
                <w:rFonts w:hint="eastAsia" w:ascii="宋体" w:hAnsi="宋体" w:eastAsia="宋体" w:cs="宋体"/>
                <w:bCs/>
                <w:kern w:val="0"/>
                <w:sz w:val="24"/>
                <w:szCs w:val="24"/>
                <w:highlight w:val="none"/>
                <w:lang w:bidi="en-US"/>
              </w:rPr>
              <w:t>供应商</w:t>
            </w:r>
            <w:r>
              <w:rPr>
                <w:rFonts w:hint="eastAsia" w:ascii="宋体" w:hAnsi="宋体" w:eastAsia="宋体" w:cs="宋体"/>
                <w:bCs/>
                <w:kern w:val="0"/>
                <w:sz w:val="24"/>
                <w:szCs w:val="24"/>
                <w:highlight w:val="none"/>
                <w:lang w:val="zh-CN" w:bidi="en-US"/>
              </w:rPr>
              <w:t>名称一致（</w:t>
            </w:r>
            <w:r>
              <w:rPr>
                <w:rFonts w:hint="eastAsia" w:ascii="宋体" w:hAnsi="宋体" w:eastAsia="宋体" w:cs="宋体"/>
                <w:bCs/>
                <w:kern w:val="0"/>
                <w:sz w:val="24"/>
                <w:szCs w:val="24"/>
                <w:highlight w:val="none"/>
                <w:lang w:bidi="en-US"/>
              </w:rPr>
              <w:t>供应商</w:t>
            </w:r>
            <w:r>
              <w:rPr>
                <w:rFonts w:hint="eastAsia" w:ascii="宋体" w:hAnsi="宋体" w:eastAsia="宋体" w:cs="宋体"/>
                <w:bCs/>
                <w:kern w:val="0"/>
                <w:sz w:val="24"/>
                <w:szCs w:val="24"/>
                <w:highlight w:val="none"/>
                <w:lang w:val="zh-CN" w:bidi="en-US"/>
              </w:rPr>
              <w:t>下属不具备独立法人资格的分支机构缴纳的社保视为本单位）。若社保缴费证明材料中体现缴费类别的，则至少包含养老保险。</w:t>
            </w:r>
          </w:p>
          <w:p w14:paraId="3A8FCF4F">
            <w:pPr>
              <w:snapToGrid w:val="0"/>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bidi="en-US"/>
              </w:rPr>
              <w:t>8</w:t>
            </w:r>
            <w:r>
              <w:rPr>
                <w:rFonts w:hint="eastAsia" w:ascii="宋体" w:hAnsi="宋体" w:eastAsia="宋体" w:cs="宋体"/>
                <w:bCs/>
                <w:kern w:val="0"/>
                <w:sz w:val="24"/>
                <w:szCs w:val="24"/>
                <w:highlight w:val="none"/>
                <w:lang w:val="zh-CN" w:bidi="en-US"/>
              </w:rPr>
              <w:t>、同一人员具有多类证书的，可分别计分。</w:t>
            </w:r>
          </w:p>
        </w:tc>
        <w:tc>
          <w:tcPr>
            <w:tcW w:w="540" w:type="dxa"/>
            <w:tcBorders>
              <w:top w:val="single" w:color="auto" w:sz="4" w:space="0"/>
              <w:left w:val="nil"/>
              <w:bottom w:val="single" w:color="auto" w:sz="4" w:space="0"/>
              <w:right w:val="single" w:color="auto" w:sz="8" w:space="0"/>
            </w:tcBorders>
            <w:vAlign w:val="center"/>
          </w:tcPr>
          <w:p w14:paraId="08D2BC98">
            <w:pPr>
              <w:snapToGrid w:val="0"/>
              <w:spacing w:line="240" w:lineRule="auto"/>
              <w:ind w:left="0" w:leftChars="0" w:right="0" w:rightChars="0"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3</w:t>
            </w:r>
          </w:p>
        </w:tc>
        <w:tc>
          <w:tcPr>
            <w:tcW w:w="540" w:type="dxa"/>
            <w:tcBorders>
              <w:top w:val="single" w:color="auto" w:sz="4" w:space="0"/>
              <w:left w:val="nil"/>
              <w:bottom w:val="single" w:color="auto" w:sz="4" w:space="0"/>
              <w:right w:val="single" w:color="auto" w:sz="8" w:space="0"/>
            </w:tcBorders>
            <w:vAlign w:val="center"/>
          </w:tcPr>
          <w:p w14:paraId="4C8B1536">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065CB86F">
            <w:pPr>
              <w:snapToGrid w:val="0"/>
              <w:spacing w:line="24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客观</w:t>
            </w:r>
          </w:p>
        </w:tc>
      </w:tr>
    </w:tbl>
    <w:p w14:paraId="321856CD">
      <w:pPr>
        <w:autoSpaceDE w:val="0"/>
        <w:autoSpaceDN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（二）价格分（</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0分）</w:t>
      </w:r>
    </w:p>
    <w:p w14:paraId="07201065">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价格分统一采用低价优先法计算，即满足磋商文件要求且最后报价最低的供应商的价格为磋商基准价，其价格分为满分。其他供应商的价格分统一按照下列公式计算：</w:t>
      </w:r>
    </w:p>
    <w:p w14:paraId="4169EB1D">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磋商报</w:t>
      </w:r>
      <w:r>
        <w:rPr>
          <w:rFonts w:hint="eastAsia" w:ascii="宋体" w:hAnsi="宋体" w:cs="宋体"/>
          <w:color w:val="auto"/>
          <w:sz w:val="24"/>
          <w:highlight w:val="none"/>
          <w:lang w:val="zh-CN"/>
        </w:rPr>
        <w:t>价得分=（磋商基准价/最后磋商报价）×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r>
        <w:rPr>
          <w:rFonts w:hint="eastAsia" w:ascii="宋体" w:hAnsi="宋体" w:cs="宋体"/>
          <w:color w:val="auto"/>
          <w:sz w:val="24"/>
          <w:highlight w:val="none"/>
          <w:lang w:val="zh-CN"/>
        </w:rPr>
        <w:t>×100</w:t>
      </w:r>
    </w:p>
    <w:p w14:paraId="71C9C07A">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项目评审过程中，不得去掉最后报价中的最高报价和最低报价，分值采用四舍五入法保留小数点后两位。</w:t>
      </w:r>
    </w:p>
    <w:p w14:paraId="37A833FA">
      <w:pPr>
        <w:autoSpaceDE w:val="0"/>
        <w:autoSpaceDN w:val="0"/>
        <w:adjustRightInd w:val="0"/>
        <w:snapToGrid w:val="0"/>
        <w:spacing w:line="360" w:lineRule="auto"/>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lang w:val="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49EF003">
      <w:pPr>
        <w:autoSpaceDE w:val="0"/>
        <w:autoSpaceDN w:val="0"/>
        <w:adjustRightInd w:val="0"/>
        <w:snapToGrid w:val="0"/>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评审过程异常低价的审查</w:t>
      </w:r>
    </w:p>
    <w:p w14:paraId="58CB4E1D">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评审过程中出现下列情形之一的，</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应当启动异常低价投标（响应）审查程序：</w:t>
      </w:r>
    </w:p>
    <w:p w14:paraId="14BC8AB0">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投标（响应）报价低于采购项目预算50%的，即投标（响应）报价&lt;采购项目预算×50%</w:t>
      </w:r>
      <w:r>
        <w:rPr>
          <w:rFonts w:hint="eastAsia" w:ascii="宋体" w:hAnsi="宋体" w:cs="宋体"/>
          <w:color w:val="auto"/>
          <w:sz w:val="24"/>
          <w:highlight w:val="none"/>
          <w:lang w:eastAsia="zh-CN"/>
        </w:rPr>
        <w:t>；</w:t>
      </w:r>
    </w:p>
    <w:p w14:paraId="72B7A558">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投标（响应）报价低于采购项目最高限价45%的，即投标（响应）报价&lt;采购项目最高限价×45%</w:t>
      </w:r>
      <w:r>
        <w:rPr>
          <w:rFonts w:hint="eastAsia" w:ascii="宋体" w:hAnsi="宋体" w:cs="宋体"/>
          <w:color w:val="auto"/>
          <w:sz w:val="24"/>
          <w:highlight w:val="none"/>
          <w:lang w:eastAsia="zh-CN"/>
        </w:rPr>
        <w:t>；</w:t>
      </w:r>
    </w:p>
    <w:p w14:paraId="106E8FCC">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认定的供应商报价过低、有可能影响产品质量或者不能诚信履约的其他情形。</w:t>
      </w:r>
    </w:p>
    <w:p w14:paraId="21D6307D">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启动异常低价投标（响应）审查</w:t>
      </w:r>
    </w:p>
    <w:p w14:paraId="5B8C947A">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应当要求相关供应商在评标现场合理的时间内，提供项目具体成本测算等与报价合理性相关的书面说明及相关证明材料，对投标（响应）价格作出解释，由</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应当将其作为无效投标（响应）处理。审查相关情况应当在评审报告中进行记录。</w:t>
      </w:r>
    </w:p>
    <w:p w14:paraId="77CB9111">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七、政府采购政策功能落实</w:t>
      </w:r>
    </w:p>
    <w:p w14:paraId="4D2B99EA">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1.小微型企业价格扣除</w:t>
      </w:r>
    </w:p>
    <w:p w14:paraId="46E4B76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（1）本项目对小型和微型企业产品给予20%的扣除价格，用扣除后的价格参与评审。</w:t>
      </w:r>
    </w:p>
    <w:p w14:paraId="5AAEFE4F">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（2）供应商需按照采购文件的要求提供相应的《小型、微型企业声明函》。</w:t>
      </w:r>
    </w:p>
    <w:p w14:paraId="74B310C6">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（3）企业标准请参照《关于印发中小企业划型标准规定的通知》（工信部联企业[2011]300号）文件规定自行填写。</w:t>
      </w:r>
    </w:p>
    <w:p w14:paraId="7E313071">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2.残疾人福利单位价格扣除</w:t>
      </w:r>
    </w:p>
    <w:p w14:paraId="198301C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（1）本项目对残疾人福利性单位视同小型、微型企业，给予20%的价格扣除，用扣除后的价格参与评审。</w:t>
      </w:r>
    </w:p>
    <w:p w14:paraId="37B22FD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（2）残疾人福利单位需按照采购文件的要求提供《残疾人福利性单位声明函》。</w:t>
      </w:r>
    </w:p>
    <w:p w14:paraId="4068883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（3）残疾人福利单位标准请参照《关于促进残疾人就业政府采购政策的通知》（财库〔2017〕141号）。</w:t>
      </w:r>
    </w:p>
    <w:p w14:paraId="0B4FD59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3.监狱和戒毒企业价格扣除</w:t>
      </w:r>
    </w:p>
    <w:p w14:paraId="5148D33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（1）本项目对监狱和戒毒企业（简称监狱企业）视同小型、微型企业，给予20%的价格扣除，用扣除后的价格参与评审。</w:t>
      </w:r>
    </w:p>
    <w:p w14:paraId="3C00209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9D7E26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（3）监狱企业标准请参照《关于政府采购支持监狱企业发展有关问题的通知》（财库[2014]68号）。</w:t>
      </w:r>
    </w:p>
    <w:p w14:paraId="7172D38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残疾人福利单位、监狱企业属于小型、微型企业的，不重复享受政策。</w:t>
      </w:r>
    </w:p>
    <w:p w14:paraId="7B7B952F">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lang w:eastAsia="zh-CN"/>
        </w:rPr>
        <w:t>5.</w:t>
      </w:r>
      <w:r>
        <w:rPr>
          <w:rFonts w:hint="eastAsia" w:ascii="宋体" w:hAnsi="宋体" w:cs="宋体"/>
          <w:b/>
          <w:bCs/>
          <w:color w:val="auto"/>
          <w:sz w:val="24"/>
          <w:highlight w:val="none"/>
        </w:rPr>
        <w:t>专门面向中小企业采购的项目或者采购包，不再执行价格评审优惠的扶持政策。</w:t>
      </w:r>
    </w:p>
    <w:p w14:paraId="2972A7B4">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八、变更为其他方式采购的情形</w:t>
      </w:r>
    </w:p>
    <w:p w14:paraId="2855ED90">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采购人视情采取其他方式采购。</w:t>
      </w:r>
      <w:r>
        <w:rPr>
          <w:rFonts w:hint="eastAsia" w:ascii="宋体" w:hAnsi="宋体" w:cs="宋体"/>
          <w:color w:val="auto"/>
          <w:sz w:val="24"/>
          <w:highlight w:val="none"/>
          <w:lang w:val="zh-CN"/>
        </w:rPr>
        <w:t>磋商文件中对供应商资质、技术等要求，将作为</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方式采购的基本要求和依据。原已经参加磋商并符合要求的供应商，根据自愿原则，参加</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w:t>
      </w:r>
    </w:p>
    <w:p w14:paraId="53FD3614">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九、出现下列情形之一的，竞争性磋商采购活动终止，重新开展采购活动：</w:t>
      </w:r>
    </w:p>
    <w:p w14:paraId="1D124BF5">
      <w:pPr>
        <w:pStyle w:val="32"/>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（一）因情况变化，不再符合规定的竞争性磋商采购方式适用情形的；</w:t>
      </w:r>
    </w:p>
    <w:p w14:paraId="6FE4A4DC">
      <w:pPr>
        <w:pStyle w:val="32"/>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（二）出现影响采购公正的违法、违规行为的；</w:t>
      </w:r>
    </w:p>
    <w:p w14:paraId="365E5CF1">
      <w:pPr>
        <w:pStyle w:val="32"/>
        <w:snapToGrid w:val="0"/>
        <w:spacing w:line="360" w:lineRule="auto"/>
        <w:ind w:firstLine="480" w:firstLineChars="200"/>
        <w:contextualSpacing/>
        <w:rPr>
          <w:rFonts w:hint="eastAsia" w:ascii="宋体" w:eastAsia="宋体" w:cs="宋体"/>
          <w:color w:val="auto"/>
          <w:sz w:val="24"/>
          <w:szCs w:val="24"/>
          <w:highlight w:val="none"/>
        </w:rPr>
      </w:pPr>
      <w:r>
        <w:rPr>
          <w:rFonts w:hint="eastAsia" w:ascii="宋体" w:eastAsia="宋体" w:cs="宋体"/>
          <w:color w:val="auto"/>
          <w:sz w:val="24"/>
          <w:szCs w:val="24"/>
          <w:highlight w:val="none"/>
        </w:rPr>
        <w:t>（三）在采购过程中符合要求的供应商或者报价未超过采购预算的供应商不足3家的（市场竞争不充分的科研项目，以及需要扶持的科技成果转化项目除外）。</w:t>
      </w:r>
    </w:p>
    <w:p w14:paraId="062019EB">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lang w:val="zh-CN"/>
        </w:rPr>
        <w:t>若有充分证据证明，</w:t>
      </w:r>
      <w:r>
        <w:rPr>
          <w:rFonts w:hint="eastAsia" w:ascii="宋体" w:hAnsi="宋体" w:cs="宋体"/>
          <w:b/>
          <w:color w:val="auto"/>
          <w:sz w:val="24"/>
          <w:highlight w:val="none"/>
          <w:lang w:val="en-US" w:eastAsia="zh-CN"/>
        </w:rPr>
        <w:t>成交供应商</w:t>
      </w:r>
      <w:r>
        <w:rPr>
          <w:rFonts w:hint="eastAsia" w:ascii="宋体" w:hAnsi="宋体" w:cs="宋体"/>
          <w:b/>
          <w:color w:val="auto"/>
          <w:sz w:val="24"/>
          <w:highlight w:val="none"/>
          <w:lang w:val="zh-CN"/>
        </w:rPr>
        <w:t>出现下列情况之一的，一经查实，将被取消</w:t>
      </w:r>
      <w:r>
        <w:rPr>
          <w:rFonts w:hint="eastAsia" w:ascii="宋体" w:hAnsi="宋体" w:cs="宋体"/>
          <w:b/>
          <w:color w:val="auto"/>
          <w:sz w:val="24"/>
          <w:highlight w:val="none"/>
          <w:lang w:val="en-US" w:eastAsia="zh-CN"/>
        </w:rPr>
        <w:t>成交</w:t>
      </w:r>
      <w:r>
        <w:rPr>
          <w:rFonts w:hint="eastAsia" w:ascii="宋体" w:hAnsi="宋体" w:cs="宋体"/>
          <w:b/>
          <w:color w:val="auto"/>
          <w:sz w:val="24"/>
          <w:highlight w:val="none"/>
          <w:lang w:val="zh-CN"/>
        </w:rPr>
        <w:t>资格：</w:t>
      </w:r>
    </w:p>
    <w:p w14:paraId="482070C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的。</w:t>
      </w:r>
    </w:p>
    <w:p w14:paraId="7959D23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向采购人、采购代理机构行贿或者提供其他不正当利益的。</w:t>
      </w:r>
    </w:p>
    <w:p w14:paraId="2BA218B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恶意竞争，投标总报价明显低于其自身合理成本且又无法提供证明的。</w:t>
      </w:r>
    </w:p>
    <w:p w14:paraId="0C49D9E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属于本文件规定的无效条件，但在评标过程中又未被评委会发现的。</w:t>
      </w:r>
    </w:p>
    <w:p w14:paraId="08CCBA5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与采购人或者其他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恶意串通的。</w:t>
      </w:r>
    </w:p>
    <w:p w14:paraId="17C693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采取不正当手段诋毁、排挤其他</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p>
    <w:p w14:paraId="71CCB7E7">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lang w:val="zh-CN"/>
        </w:rPr>
        <w:t>有下列情形之一的，视为</w:t>
      </w:r>
      <w:r>
        <w:rPr>
          <w:rFonts w:hint="eastAsia" w:ascii="宋体" w:hAnsi="宋体" w:cs="宋体"/>
          <w:b/>
          <w:color w:val="auto"/>
          <w:sz w:val="24"/>
          <w:highlight w:val="none"/>
          <w:lang w:val="zh-CN" w:eastAsia="zh-CN"/>
        </w:rPr>
        <w:t>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lang w:val="zh-CN"/>
        </w:rPr>
        <w:t>串通投标，投标无效：</w:t>
      </w:r>
    </w:p>
    <w:p w14:paraId="497B246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文件由同一单位或者个人编制；</w:t>
      </w:r>
    </w:p>
    <w:p w14:paraId="79FF476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委托同一单位或者个人办理投标事宜；</w:t>
      </w:r>
    </w:p>
    <w:p w14:paraId="6FCDCF7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文件载明的项目管理成员或者联系人员为同一人；</w:t>
      </w:r>
    </w:p>
    <w:p w14:paraId="7041B92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文件异常一致或者投标报价呈规律性差异；</w:t>
      </w:r>
    </w:p>
    <w:p w14:paraId="44BC841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文件相互混装</w:t>
      </w:r>
      <w:r>
        <w:rPr>
          <w:rFonts w:hint="eastAsia" w:ascii="宋体" w:hAnsi="宋体" w:eastAsia="宋体" w:cs="宋体"/>
          <w:color w:val="auto"/>
          <w:sz w:val="24"/>
          <w:szCs w:val="24"/>
          <w:highlight w:val="none"/>
          <w:lang w:eastAsia="zh-CN"/>
        </w:rPr>
        <w:t>。</w:t>
      </w:r>
    </w:p>
    <w:p w14:paraId="7C1452C1">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lang w:val="zh-CN"/>
        </w:rPr>
        <w:t>、成交通知</w:t>
      </w:r>
    </w:p>
    <w:p w14:paraId="07CF8DB1">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color w:val="auto"/>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color w:val="auto"/>
          <w:sz w:val="36"/>
          <w:szCs w:val="36"/>
          <w:highlight w:val="none"/>
        </w:rPr>
        <w:br w:type="page"/>
      </w:r>
    </w:p>
    <w:p w14:paraId="3E6E27C2">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合同签订与验收付款</w:t>
      </w:r>
    </w:p>
    <w:p w14:paraId="61B67045">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7D654DA1">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val="zh-CN"/>
        </w:rPr>
        <w:t>签订合同后，</w:t>
      </w:r>
      <w:r>
        <w:rPr>
          <w:rFonts w:hint="eastAsia" w:ascii="宋体" w:hAnsi="宋体" w:cs="宋体"/>
          <w:color w:val="auto"/>
          <w:sz w:val="24"/>
          <w:highlight w:val="none"/>
          <w:lang w:val="en-US" w:eastAsia="zh-CN"/>
        </w:rPr>
        <w:t>成交供应商不</w:t>
      </w:r>
      <w:r>
        <w:rPr>
          <w:rFonts w:hint="eastAsia" w:ascii="宋体" w:hAnsi="宋体" w:cs="宋体"/>
          <w:color w:val="auto"/>
          <w:sz w:val="24"/>
          <w:highlight w:val="none"/>
          <w:lang w:val="zh-CN"/>
        </w:rPr>
        <w:t>得将合同标的进行转包。未经采购人同意，</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也不得采用分包的形式履行合同，否则采购人有权终止合同。采购合同分包履行的，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就采购项目和分包项目向采购人负责，分包供应商就分包项目承担责任。转包或分包造成采购人损失的，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应承担相应赔偿责任。</w:t>
      </w:r>
    </w:p>
    <w:p w14:paraId="2FD5B8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EAEA70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货物和服务的追加、减少和添购。</w:t>
      </w:r>
    </w:p>
    <w:p w14:paraId="5E9BDD1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.1采购合同履行中，采购人需追加与合同标的相同的货物和服务的，在不改变合同其他条款的前提下，可以与</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协商签订补充合同，但所有补充合同的采购金额不超过原合同金额10%。</w:t>
      </w:r>
    </w:p>
    <w:p w14:paraId="2663BA6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p>
    <w:p w14:paraId="486E5E54">
      <w:pPr>
        <w:pStyle w:val="32"/>
        <w:numPr>
          <w:ilvl w:val="0"/>
          <w:numId w:val="4"/>
        </w:num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履约验收：</w:t>
      </w:r>
    </w:p>
    <w:p w14:paraId="049A727C">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验收实施主体：科技信息科</w:t>
      </w:r>
    </w:p>
    <w:p w14:paraId="693DDA0E">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验收时间：按采购人约定时间</w:t>
      </w:r>
    </w:p>
    <w:p w14:paraId="2F1E79F3">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验收方式：科技信息科组织验收，采用书面审核的方式。</w:t>
      </w:r>
    </w:p>
    <w:p w14:paraId="13FE9955">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验收内容：由验收小组对中标人服务情况按验收标准执行。</w:t>
      </w:r>
    </w:p>
    <w:p w14:paraId="64B4215E">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验收标准：完成全部服务内容且及时响应采购人需求的则视为通过验收。</w:t>
      </w:r>
    </w:p>
    <w:p w14:paraId="1C061F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、成交供应商出现违约情形，应当及时纠正或补偿；造成损失的，按合同约定追究违约责任；发现有假冒、伪劣、走私产品、商业贿赂等违法情形的，应由采购人移交工商、质监、公安等行政执法部门依法查处。</w:t>
      </w:r>
    </w:p>
    <w:p w14:paraId="512F5F70">
      <w:pPr>
        <w:pStyle w:val="4"/>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szCs w:val="24"/>
          <w:highlight w:val="none"/>
        </w:rPr>
        <w:t>合同条款内容</w:t>
      </w:r>
    </w:p>
    <w:p w14:paraId="05F4296E">
      <w:pPr>
        <w:pStyle w:val="4"/>
        <w:kinsoku w:val="0"/>
        <w:topLinePunct/>
        <w:autoSpaceDE w:val="0"/>
        <w:autoSpaceDN w:val="0"/>
        <w:snapToGrid w:val="0"/>
        <w:spacing w:line="360" w:lineRule="auto"/>
        <w:ind w:firstLine="0"/>
        <w:contextualSpacing/>
        <w:rPr>
          <w:rFonts w:ascii="宋体" w:hAnsi="宋体" w:cs="宋体"/>
          <w:color w:val="auto"/>
          <w:sz w:val="24"/>
          <w:highlight w:val="none"/>
        </w:rPr>
      </w:pPr>
      <w:r>
        <w:rPr>
          <w:rFonts w:hint="eastAsia" w:ascii="宋体" w:hAnsi="宋体" w:cs="宋体"/>
          <w:color w:val="auto"/>
          <w:sz w:val="24"/>
          <w:szCs w:val="24"/>
          <w:highlight w:val="none"/>
        </w:rPr>
        <w:br w:type="page"/>
      </w:r>
    </w:p>
    <w:p w14:paraId="698BF239">
      <w:pPr>
        <w:widowControl w:val="0"/>
        <w:kinsoku w:val="0"/>
        <w:topLinePunct/>
        <w:autoSpaceDE w:val="0"/>
        <w:autoSpaceDN w:val="0"/>
        <w:snapToGrid w:val="0"/>
        <w:spacing w:line="360" w:lineRule="auto"/>
        <w:ind w:firstLine="0"/>
        <w:contextualSpacing/>
        <w:jc w:val="center"/>
        <w:rPr>
          <w:rFonts w:hint="eastAsia" w:ascii="宋体" w:hAnsi="宋体" w:eastAsia="宋体" w:cs="宋体"/>
          <w:kern w:val="2"/>
          <w:sz w:val="28"/>
          <w:szCs w:val="28"/>
          <w:lang w:val="en-US" w:eastAsia="zh-CN" w:bidi="ar-SA"/>
        </w:rPr>
      </w:pPr>
      <w:r>
        <w:rPr>
          <w:rFonts w:hint="eastAsia" w:ascii="宋体" w:hAnsi="宋体" w:eastAsia="宋体" w:cs="宋体"/>
          <w:b/>
          <w:bCs/>
          <w:kern w:val="2"/>
          <w:sz w:val="30"/>
          <w:szCs w:val="32"/>
          <w:lang w:val="en-US" w:eastAsia="zh-CN" w:bidi="ar-SA"/>
        </w:rPr>
        <w:t>合同条款</w:t>
      </w:r>
    </w:p>
    <w:p w14:paraId="559DDC62">
      <w:pPr>
        <w:keepNext/>
        <w:keepLines/>
        <w:numPr>
          <w:ilvl w:val="2"/>
          <w:numId w:val="0"/>
        </w:numPr>
        <w:spacing w:line="360" w:lineRule="auto"/>
        <w:jc w:val="center"/>
        <w:outlineLvl w:val="2"/>
        <w:rPr>
          <w:rFonts w:hint="eastAsia" w:ascii="宋体" w:hAnsi="宋体" w:cs="宋体"/>
          <w:b/>
          <w:bCs/>
          <w:sz w:val="30"/>
          <w:szCs w:val="32"/>
        </w:rPr>
      </w:pPr>
      <w:bookmarkStart w:id="1" w:name="_Toc387768380"/>
      <w:bookmarkStart w:id="2" w:name="_Toc275422869"/>
      <w:bookmarkStart w:id="3" w:name="_Toc286308342"/>
      <w:bookmarkStart w:id="4" w:name="_Toc470619301"/>
      <w:bookmarkStart w:id="5" w:name="_Toc40280340"/>
      <w:bookmarkStart w:id="6" w:name="_Toc275422753"/>
      <w:bookmarkStart w:id="7" w:name="_Toc295408754"/>
      <w:bookmarkStart w:id="8" w:name="_Toc313903287"/>
      <w:bookmarkStart w:id="9" w:name="_Toc230492376"/>
      <w:bookmarkStart w:id="10" w:name="_Toc14857557"/>
      <w:bookmarkStart w:id="11" w:name="_Toc381015373"/>
      <w:bookmarkStart w:id="12" w:name="_Toc387773187"/>
      <w:bookmarkStart w:id="13" w:name="_Toc390785017"/>
      <w:bookmarkStart w:id="14" w:name="_Toc10189308"/>
      <w:bookmarkStart w:id="15" w:name="_Toc3795462"/>
      <w:bookmarkStart w:id="16" w:name="_Toc524341771"/>
      <w:bookmarkStart w:id="17" w:name="_Toc525011390"/>
      <w:bookmarkStart w:id="18" w:name="_Toc525200424"/>
      <w:bookmarkStart w:id="19" w:name="_Toc524494181"/>
      <w:bookmarkStart w:id="20" w:name="_Toc524404093"/>
      <w:bookmarkStart w:id="21" w:name="_Toc524342334"/>
      <w:bookmarkStart w:id="22" w:name="_Toc524516286"/>
      <w:bookmarkStart w:id="23" w:name="_Toc524457359"/>
      <w:bookmarkStart w:id="24" w:name="_Toc6311299"/>
      <w:bookmarkStart w:id="25" w:name="_Toc524333057"/>
      <w:bookmarkStart w:id="26" w:name="_Toc524439549"/>
      <w:bookmarkStart w:id="27" w:name="_Toc3796835"/>
      <w:bookmarkStart w:id="28" w:name="_Toc524689561"/>
      <w:bookmarkStart w:id="29" w:name="_Toc524342538"/>
      <w:bookmarkStart w:id="30" w:name="_Toc525376807"/>
      <w:bookmarkStart w:id="31" w:name="_Toc7867473"/>
      <w:bookmarkStart w:id="32" w:name="_Toc524747415"/>
      <w:bookmarkStart w:id="33" w:name="_Toc524342643"/>
      <w:bookmarkStart w:id="34" w:name="_Toc524491091"/>
      <w:bookmarkStart w:id="35" w:name="_Toc525397589"/>
      <w:bookmarkStart w:id="36" w:name="_Toc524493406"/>
      <w:bookmarkStart w:id="37" w:name="_Toc524486468"/>
      <w:bookmarkStart w:id="38" w:name="_Toc524746531"/>
      <w:bookmarkStart w:id="39" w:name="_Toc524452544"/>
      <w:bookmarkStart w:id="40" w:name="_Toc524496008"/>
      <w:bookmarkStart w:id="41" w:name="_Toc7600037"/>
      <w:bookmarkStart w:id="42" w:name="_Toc524494797"/>
      <w:bookmarkStart w:id="43" w:name="_Toc524847255"/>
      <w:bookmarkStart w:id="44" w:name="_Toc524516438"/>
      <w:bookmarkStart w:id="45" w:name="_Toc524439711"/>
      <w:bookmarkStart w:id="46" w:name="_Toc524494403"/>
      <w:bookmarkStart w:id="47" w:name="_Toc524495531"/>
      <w:bookmarkStart w:id="48" w:name="_Toc524404352"/>
      <w:bookmarkStart w:id="49" w:name="_Toc524458609"/>
      <w:bookmarkStart w:id="50" w:name="_Toc7599806"/>
      <w:bookmarkStart w:id="51" w:name="_Toc524332413"/>
      <w:bookmarkStart w:id="52" w:name="_Toc524847441"/>
      <w:bookmarkStart w:id="53" w:name="_Toc3795977"/>
      <w:r>
        <w:rPr>
          <w:rFonts w:hint="eastAsia" w:ascii="宋体" w:hAnsi="宋体" w:cs="宋体"/>
          <w:b/>
          <w:bCs/>
          <w:sz w:val="30"/>
          <w:szCs w:val="32"/>
        </w:rPr>
        <w:t>（一）合同主要条款</w:t>
      </w:r>
    </w:p>
    <w:p w14:paraId="59CBF78D">
      <w:pPr>
        <w:keepNext/>
        <w:keepLines/>
        <w:numPr>
          <w:ilvl w:val="2"/>
          <w:numId w:val="0"/>
        </w:numPr>
        <w:spacing w:line="360" w:lineRule="auto"/>
        <w:jc w:val="center"/>
        <w:outlineLvl w:val="2"/>
        <w:rPr>
          <w:rFonts w:hint="eastAsia" w:ascii="宋体" w:hAnsi="宋体" w:cs="宋体"/>
          <w:b/>
          <w:bCs/>
          <w:sz w:val="24"/>
          <w:szCs w:val="24"/>
        </w:rPr>
      </w:pPr>
      <w:r>
        <w:rPr>
          <w:rFonts w:hint="eastAsia" w:ascii="宋体" w:hAnsi="宋体" w:cs="宋体"/>
          <w:b/>
          <w:bCs/>
          <w:sz w:val="24"/>
          <w:szCs w:val="24"/>
        </w:rPr>
        <w:t>一、定义和解释</w:t>
      </w:r>
      <w:bookmarkEnd w:id="1"/>
      <w:bookmarkEnd w:id="2"/>
      <w:bookmarkEnd w:id="3"/>
      <w:bookmarkEnd w:id="4"/>
      <w:bookmarkEnd w:id="5"/>
      <w:bookmarkEnd w:id="6"/>
      <w:bookmarkEnd w:id="7"/>
      <w:bookmarkEnd w:id="8"/>
      <w:bookmarkEnd w:id="9"/>
      <w:bookmarkEnd w:id="10"/>
      <w:bookmarkEnd w:id="11"/>
      <w:bookmarkEnd w:id="12"/>
      <w:bookmarkEnd w:id="13"/>
      <w:bookmarkEnd w:id="14"/>
    </w:p>
    <w:p w14:paraId="3183D9C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1.1采购人：即合同书中的“甲方”，是指本合同条款中指明的执行项目投资计划的单位，或其指定的负责管理项目的代表机构，以及取得该当事人（单位）资格的合法继承人（单位），也即为本项目的采购人。本合同采购人为南通市公路事业发展中心。下称“甲方”。</w:t>
      </w:r>
    </w:p>
    <w:p w14:paraId="321CC11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1.2服务单位：即合同书中的“乙方”，是指其</w:t>
      </w:r>
      <w:r>
        <w:rPr>
          <w:rFonts w:hint="eastAsia" w:ascii="宋体" w:hAnsi="宋体" w:cs="宋体"/>
          <w:sz w:val="24"/>
          <w:szCs w:val="24"/>
          <w:lang w:val="en-US" w:eastAsia="zh-CN"/>
        </w:rPr>
        <w:t>磋商</w:t>
      </w:r>
      <w:r>
        <w:rPr>
          <w:rFonts w:hint="eastAsia" w:ascii="宋体" w:hAnsi="宋体" w:cs="宋体"/>
          <w:sz w:val="24"/>
          <w:szCs w:val="24"/>
        </w:rPr>
        <w:t>响应文件已为采购人所接受，并与采购人签订了合同书、承担本合同任务的服务单位（公司），以及取得该当事机构资格的合法继承人，但不包括该当事机构的任何受让人（除非采购人同意），也即为本项目的成交供应商。下称“乙方”或“服务单位”。</w:t>
      </w:r>
    </w:p>
    <w:p w14:paraId="1C6CF0F3">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1.3项目负责人：是指</w:t>
      </w:r>
      <w:r>
        <w:rPr>
          <w:rFonts w:hint="eastAsia" w:ascii="宋体" w:hAnsi="宋体" w:cs="宋体"/>
          <w:sz w:val="24"/>
          <w:szCs w:val="24"/>
          <w:lang w:eastAsia="zh-CN"/>
        </w:rPr>
        <w:t>磋商</w:t>
      </w:r>
      <w:r>
        <w:rPr>
          <w:rFonts w:hint="eastAsia" w:ascii="宋体" w:hAnsi="宋体" w:cs="宋体"/>
          <w:sz w:val="24"/>
          <w:szCs w:val="24"/>
        </w:rPr>
        <w:t>响应文件中载明，并由服务单位书面委托的负责本合同项目的组织管理者。</w:t>
      </w:r>
    </w:p>
    <w:p w14:paraId="654A3DC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其他主要人员：是指由项目负责人提名，服务单位批准的各专业负责人，并在</w:t>
      </w:r>
      <w:r>
        <w:rPr>
          <w:rFonts w:hint="eastAsia" w:ascii="宋体" w:hAnsi="宋体" w:cs="宋体"/>
          <w:sz w:val="24"/>
          <w:szCs w:val="24"/>
          <w:lang w:eastAsia="zh-CN"/>
        </w:rPr>
        <w:t>磋商</w:t>
      </w:r>
      <w:r>
        <w:rPr>
          <w:rFonts w:hint="eastAsia" w:ascii="宋体" w:hAnsi="宋体" w:cs="宋体"/>
          <w:sz w:val="24"/>
          <w:szCs w:val="24"/>
        </w:rPr>
        <w:t>响应文件中载明。</w:t>
      </w:r>
    </w:p>
    <w:p w14:paraId="528FCB8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1.4合同：由合同条款、技术规范、</w:t>
      </w:r>
      <w:r>
        <w:rPr>
          <w:rFonts w:hint="eastAsia" w:ascii="宋体" w:hAnsi="宋体" w:cs="宋体"/>
          <w:sz w:val="24"/>
          <w:szCs w:val="24"/>
          <w:lang w:eastAsia="zh-CN"/>
        </w:rPr>
        <w:t>磋商</w:t>
      </w:r>
      <w:r>
        <w:rPr>
          <w:rFonts w:hint="eastAsia" w:ascii="宋体" w:hAnsi="宋体" w:cs="宋体"/>
          <w:sz w:val="24"/>
          <w:szCs w:val="24"/>
        </w:rPr>
        <w:t>响应文件、中标书、合同协议书和相关文件组成。</w:t>
      </w:r>
    </w:p>
    <w:p w14:paraId="7398224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1.5技术标准与规范：是指所有的中华人民共和国国家标准和有关部门颁发相关规范及技术标准。</w:t>
      </w:r>
    </w:p>
    <w:p w14:paraId="22FE7FD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1.6服务：指为完成本合同项目所进行的单项或全部服务工作。</w:t>
      </w:r>
    </w:p>
    <w:p w14:paraId="469EFB6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1.7成果文件：是指承包人按本合同的规定，按合同要求及采购人指令分阶段提交的成果文件；</w:t>
      </w:r>
    </w:p>
    <w:p w14:paraId="7E6565D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1.8日：指日历日。</w:t>
      </w:r>
    </w:p>
    <w:p w14:paraId="4AFBFC55">
      <w:pPr>
        <w:keepNext/>
        <w:keepLines/>
        <w:numPr>
          <w:ilvl w:val="2"/>
          <w:numId w:val="0"/>
        </w:numPr>
        <w:spacing w:line="360" w:lineRule="auto"/>
        <w:jc w:val="center"/>
        <w:outlineLvl w:val="2"/>
        <w:rPr>
          <w:rFonts w:hint="eastAsia" w:ascii="宋体" w:hAnsi="宋体" w:cs="宋体"/>
          <w:b/>
          <w:bCs/>
          <w:sz w:val="24"/>
          <w:szCs w:val="24"/>
        </w:rPr>
      </w:pPr>
      <w:bookmarkStart w:id="54" w:name="_Toc295408755"/>
      <w:bookmarkStart w:id="55" w:name="_Toc230492377"/>
      <w:bookmarkStart w:id="56" w:name="_Toc10189309"/>
      <w:bookmarkStart w:id="57" w:name="_Toc286308343"/>
      <w:bookmarkStart w:id="58" w:name="_Toc381015374"/>
      <w:bookmarkStart w:id="59" w:name="_Toc387773188"/>
      <w:bookmarkStart w:id="60" w:name="_Toc387768381"/>
      <w:bookmarkStart w:id="61" w:name="_Toc313903288"/>
      <w:bookmarkStart w:id="62" w:name="_Toc390785018"/>
      <w:bookmarkStart w:id="63" w:name="_Toc470619302"/>
      <w:bookmarkStart w:id="64" w:name="_Toc14857558"/>
      <w:bookmarkStart w:id="65" w:name="_Toc40280341"/>
      <w:bookmarkStart w:id="66" w:name="_Toc275422870"/>
      <w:bookmarkStart w:id="67" w:name="_Toc275422754"/>
      <w:r>
        <w:rPr>
          <w:rFonts w:hint="eastAsia" w:ascii="宋体" w:hAnsi="宋体" w:cs="宋体"/>
          <w:b/>
          <w:bCs/>
          <w:sz w:val="24"/>
          <w:szCs w:val="24"/>
        </w:rPr>
        <w:t>二、范围、内容、依据与标准</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D55C4AD">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2.1采购范围及内容：</w:t>
      </w:r>
    </w:p>
    <w:p w14:paraId="6130C964">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本项目采购内容为</w:t>
      </w:r>
    </w:p>
    <w:p w14:paraId="2B6D19FF">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①对市中心机房开展基础环境运维服务</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对市中心及下属8个分中心的安全软硬件产品开展</w:t>
      </w:r>
      <w:r>
        <w:rPr>
          <w:rFonts w:hint="eastAsia" w:ascii="宋体" w:eastAsia="宋体" w:cs="宋体"/>
          <w:color w:val="auto"/>
          <w:sz w:val="24"/>
          <w:szCs w:val="24"/>
          <w:highlight w:val="none"/>
          <w:lang w:val="en-US" w:eastAsia="zh-CN"/>
        </w:rPr>
        <w:t>运维</w:t>
      </w:r>
      <w:r>
        <w:rPr>
          <w:rFonts w:hint="eastAsia" w:ascii="宋体" w:eastAsia="宋体" w:cs="宋体"/>
          <w:color w:val="auto"/>
          <w:sz w:val="24"/>
          <w:szCs w:val="24"/>
          <w:highlight w:val="none"/>
        </w:rPr>
        <w:t>服务</w:t>
      </w:r>
      <w:r>
        <w:rPr>
          <w:rFonts w:hint="eastAsia" w:ascii="宋体" w:eastAsia="宋体" w:cs="宋体"/>
          <w:color w:val="auto"/>
          <w:sz w:val="24"/>
          <w:szCs w:val="24"/>
          <w:highlight w:val="none"/>
          <w:lang w:eastAsia="zh-CN"/>
        </w:rPr>
        <w:t>。</w:t>
      </w:r>
    </w:p>
    <w:p w14:paraId="46B2DC6C">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②</w:t>
      </w:r>
      <w:r>
        <w:rPr>
          <w:rFonts w:hint="eastAsia" w:ascii="宋体" w:eastAsia="宋体" w:cs="宋体"/>
          <w:color w:val="auto"/>
          <w:sz w:val="24"/>
          <w:szCs w:val="24"/>
          <w:highlight w:val="none"/>
        </w:rPr>
        <w:t>对市中心及分中心开展网络安全运维服务。</w:t>
      </w:r>
    </w:p>
    <w:p w14:paraId="2F1C118F">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本项目服务</w:t>
      </w:r>
      <w:r>
        <w:rPr>
          <w:rFonts w:hint="eastAsia" w:ascii="宋体" w:eastAsia="宋体" w:cs="宋体"/>
          <w:color w:val="auto"/>
          <w:sz w:val="24"/>
          <w:szCs w:val="24"/>
          <w:highlight w:val="none"/>
          <w:lang w:val="en-US" w:eastAsia="zh-CN"/>
        </w:rPr>
        <w:t>内容</w:t>
      </w:r>
      <w:r>
        <w:rPr>
          <w:rFonts w:hint="eastAsia" w:ascii="宋体" w:eastAsia="宋体" w:cs="宋体"/>
          <w:color w:val="auto"/>
          <w:sz w:val="24"/>
          <w:szCs w:val="24"/>
          <w:highlight w:val="none"/>
        </w:rPr>
        <w:t>、要求具体如下：</w:t>
      </w:r>
    </w:p>
    <w:p w14:paraId="3067A285">
      <w:pPr>
        <w:keepNext w:val="0"/>
        <w:keepLines w:val="0"/>
        <w:pageBreakBefore w:val="0"/>
        <w:widowControl w:val="0"/>
        <w:numPr>
          <w:ilvl w:val="0"/>
          <w:numId w:val="5"/>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基础环境运维服务及安全软硬件产品维保服务内容及要求</w:t>
      </w:r>
    </w:p>
    <w:p w14:paraId="085E7287">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运维设备及软硬件包括但不限于下表所列内容。</w:t>
      </w:r>
    </w:p>
    <w:p w14:paraId="7FCDA1B8">
      <w:pPr>
        <w:keepNext w:val="0"/>
        <w:keepLines w:val="0"/>
        <w:pageBreakBefore w:val="0"/>
        <w:widowControl w:val="0"/>
        <w:numPr>
          <w:ilvl w:val="-1"/>
          <w:numId w:val="0"/>
        </w:numP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表1</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437"/>
        <w:gridCol w:w="513"/>
        <w:gridCol w:w="466"/>
        <w:gridCol w:w="1393"/>
        <w:gridCol w:w="1972"/>
        <w:gridCol w:w="2977"/>
      </w:tblGrid>
      <w:tr w14:paraId="0B5E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65561D69">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793" w:type="pct"/>
            <w:vAlign w:val="center"/>
          </w:tcPr>
          <w:p w14:paraId="0E2641FA">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设施类型</w:t>
            </w:r>
          </w:p>
        </w:tc>
        <w:tc>
          <w:tcPr>
            <w:tcW w:w="294" w:type="pct"/>
            <w:vAlign w:val="center"/>
          </w:tcPr>
          <w:p w14:paraId="0C310FF0">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数量</w:t>
            </w:r>
          </w:p>
        </w:tc>
        <w:tc>
          <w:tcPr>
            <w:tcW w:w="269" w:type="pct"/>
            <w:vAlign w:val="center"/>
          </w:tcPr>
          <w:p w14:paraId="08C1B078">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单位</w:t>
            </w:r>
          </w:p>
        </w:tc>
        <w:tc>
          <w:tcPr>
            <w:tcW w:w="769" w:type="pct"/>
            <w:vAlign w:val="center"/>
          </w:tcPr>
          <w:p w14:paraId="5637D9C3">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服务要求</w:t>
            </w:r>
          </w:p>
        </w:tc>
        <w:tc>
          <w:tcPr>
            <w:tcW w:w="1081" w:type="pct"/>
            <w:vAlign w:val="center"/>
          </w:tcPr>
          <w:p w14:paraId="020A6463">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维护时间</w:t>
            </w:r>
          </w:p>
        </w:tc>
        <w:tc>
          <w:tcPr>
            <w:tcW w:w="1504" w:type="pct"/>
            <w:vAlign w:val="center"/>
          </w:tcPr>
          <w:p w14:paraId="72F89DB7">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对应项目</w:t>
            </w:r>
          </w:p>
        </w:tc>
      </w:tr>
      <w:tr w14:paraId="5D29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0575D12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793" w:type="pct"/>
            <w:vAlign w:val="center"/>
          </w:tcPr>
          <w:p w14:paraId="245C650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维谛p2040精密空调</w:t>
            </w:r>
          </w:p>
        </w:tc>
        <w:tc>
          <w:tcPr>
            <w:tcW w:w="294" w:type="pct"/>
            <w:vAlign w:val="center"/>
          </w:tcPr>
          <w:p w14:paraId="3905321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vAlign w:val="center"/>
          </w:tcPr>
          <w:p w14:paraId="3B2C67E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vAlign w:val="center"/>
          </w:tcPr>
          <w:p w14:paraId="40E9F51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设备检修、保养服务、每季度巡检一次</w:t>
            </w:r>
          </w:p>
        </w:tc>
        <w:tc>
          <w:tcPr>
            <w:tcW w:w="1081" w:type="pct"/>
            <w:vAlign w:val="center"/>
          </w:tcPr>
          <w:p w14:paraId="29B150E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Merge w:val="restart"/>
            <w:vAlign w:val="center"/>
          </w:tcPr>
          <w:p w14:paraId="47CF0F5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2018南通市公路管理处数据中心机房升级改造项目采购编号：Z3206011180479（XJ176）、</w:t>
            </w:r>
          </w:p>
          <w:p w14:paraId="0A79CE7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2022年南通市公路事业发展中心UPS机房改造及数据中心维保项目  </w:t>
            </w:r>
          </w:p>
          <w:p w14:paraId="6D3ECF8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采购编号：Z320601220330（CS145）</w:t>
            </w:r>
          </w:p>
        </w:tc>
      </w:tr>
      <w:tr w14:paraId="5B5A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7293FF6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793" w:type="pct"/>
            <w:vAlign w:val="center"/>
          </w:tcPr>
          <w:p w14:paraId="0D990FD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维谛DME07精密空调</w:t>
            </w:r>
          </w:p>
        </w:tc>
        <w:tc>
          <w:tcPr>
            <w:tcW w:w="294" w:type="pct"/>
            <w:vAlign w:val="center"/>
          </w:tcPr>
          <w:p w14:paraId="7ABCED5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vAlign w:val="center"/>
          </w:tcPr>
          <w:p w14:paraId="44B7D3F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vAlign w:val="center"/>
          </w:tcPr>
          <w:p w14:paraId="4F0A70F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设备检修、保养服务、每季度巡检一次</w:t>
            </w:r>
          </w:p>
        </w:tc>
        <w:tc>
          <w:tcPr>
            <w:tcW w:w="1081" w:type="pct"/>
            <w:shd w:val="clear" w:color="auto" w:fill="auto"/>
            <w:vAlign w:val="center"/>
          </w:tcPr>
          <w:p w14:paraId="16E9546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Merge w:val="continue"/>
            <w:vAlign w:val="center"/>
          </w:tcPr>
          <w:p w14:paraId="72D6A52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p>
        </w:tc>
      </w:tr>
      <w:tr w14:paraId="1426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60113F8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793" w:type="pct"/>
            <w:vAlign w:val="center"/>
          </w:tcPr>
          <w:p w14:paraId="6FC6AC5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维谛 ITA2-30型号UPS主机</w:t>
            </w:r>
          </w:p>
        </w:tc>
        <w:tc>
          <w:tcPr>
            <w:tcW w:w="294" w:type="pct"/>
            <w:vAlign w:val="center"/>
          </w:tcPr>
          <w:p w14:paraId="6A90692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vAlign w:val="center"/>
          </w:tcPr>
          <w:p w14:paraId="4DDEAED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vAlign w:val="center"/>
          </w:tcPr>
          <w:p w14:paraId="7386DA9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设备检修、保养服务、每季度巡检一次</w:t>
            </w:r>
          </w:p>
        </w:tc>
        <w:tc>
          <w:tcPr>
            <w:tcW w:w="1081" w:type="pct"/>
            <w:shd w:val="clear" w:color="auto" w:fill="auto"/>
            <w:vAlign w:val="center"/>
          </w:tcPr>
          <w:p w14:paraId="57B6057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Merge w:val="continue"/>
            <w:vAlign w:val="center"/>
          </w:tcPr>
          <w:p w14:paraId="61E8A7B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p>
        </w:tc>
      </w:tr>
      <w:tr w14:paraId="1F71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758E437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793" w:type="pct"/>
            <w:vAlign w:val="center"/>
          </w:tcPr>
          <w:p w14:paraId="05B8733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机房环境监控、门禁</w:t>
            </w:r>
          </w:p>
        </w:tc>
        <w:tc>
          <w:tcPr>
            <w:tcW w:w="294" w:type="pct"/>
            <w:vAlign w:val="center"/>
          </w:tcPr>
          <w:p w14:paraId="461988E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vAlign w:val="center"/>
          </w:tcPr>
          <w:p w14:paraId="00823DB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批</w:t>
            </w:r>
          </w:p>
        </w:tc>
        <w:tc>
          <w:tcPr>
            <w:tcW w:w="769" w:type="pct"/>
            <w:vAlign w:val="center"/>
          </w:tcPr>
          <w:p w14:paraId="4D8ABB3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设备检修、保养服务、每季度巡检一次</w:t>
            </w:r>
          </w:p>
        </w:tc>
        <w:tc>
          <w:tcPr>
            <w:tcW w:w="1081" w:type="pct"/>
            <w:shd w:val="clear" w:color="auto" w:fill="auto"/>
            <w:vAlign w:val="center"/>
          </w:tcPr>
          <w:p w14:paraId="1F060A3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Merge w:val="continue"/>
            <w:vAlign w:val="center"/>
          </w:tcPr>
          <w:p w14:paraId="1940101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p>
        </w:tc>
      </w:tr>
      <w:tr w14:paraId="7EA4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39BA811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793" w:type="pct"/>
            <w:vAlign w:val="center"/>
          </w:tcPr>
          <w:p w14:paraId="2099884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中心外网出口防火墙</w:t>
            </w:r>
          </w:p>
        </w:tc>
        <w:tc>
          <w:tcPr>
            <w:tcW w:w="294" w:type="pct"/>
            <w:vAlign w:val="center"/>
          </w:tcPr>
          <w:p w14:paraId="3496989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vAlign w:val="center"/>
          </w:tcPr>
          <w:p w14:paraId="6BCCE45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vAlign w:val="center"/>
          </w:tcPr>
          <w:p w14:paraId="3B2F506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58688EE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Align w:val="center"/>
          </w:tcPr>
          <w:p w14:paraId="2266DD1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2018年南通市公路管理处基层数据中心提升及安全运维升级项目  </w:t>
            </w:r>
          </w:p>
          <w:p w14:paraId="0CFA730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采购编号:Z32060118083（XJ322）</w:t>
            </w:r>
          </w:p>
        </w:tc>
      </w:tr>
      <w:tr w14:paraId="375B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86" w:type="pct"/>
            <w:shd w:val="clear" w:color="auto" w:fill="auto"/>
            <w:vAlign w:val="center"/>
          </w:tcPr>
          <w:p w14:paraId="3DF9966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793" w:type="pct"/>
            <w:shd w:val="clear" w:color="auto" w:fill="auto"/>
            <w:vAlign w:val="center"/>
          </w:tcPr>
          <w:p w14:paraId="20A4F0A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XDR</w:t>
            </w:r>
          </w:p>
        </w:tc>
        <w:tc>
          <w:tcPr>
            <w:tcW w:w="294" w:type="pct"/>
            <w:shd w:val="clear" w:color="auto" w:fill="auto"/>
            <w:vAlign w:val="center"/>
          </w:tcPr>
          <w:p w14:paraId="346FAA2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462642B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套</w:t>
            </w:r>
          </w:p>
        </w:tc>
        <w:tc>
          <w:tcPr>
            <w:tcW w:w="769" w:type="pct"/>
            <w:shd w:val="clear" w:color="auto" w:fill="auto"/>
            <w:vAlign w:val="center"/>
          </w:tcPr>
          <w:p w14:paraId="68E332C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1F8B95C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5B8C118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05DD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FFEC49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793" w:type="pct"/>
            <w:shd w:val="clear" w:color="auto" w:fill="auto"/>
            <w:vAlign w:val="center"/>
          </w:tcPr>
          <w:p w14:paraId="0781286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中心无线防火墙</w:t>
            </w:r>
          </w:p>
        </w:tc>
        <w:tc>
          <w:tcPr>
            <w:tcW w:w="294" w:type="pct"/>
            <w:shd w:val="clear" w:color="auto" w:fill="auto"/>
            <w:vAlign w:val="center"/>
          </w:tcPr>
          <w:p w14:paraId="43E2246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29C806B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A88A52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4D7C61A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1051871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  采购编号:Z320601200442(XJ143)</w:t>
            </w:r>
          </w:p>
        </w:tc>
      </w:tr>
      <w:tr w14:paraId="4E09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BB853D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793" w:type="pct"/>
            <w:shd w:val="clear" w:color="auto" w:fill="auto"/>
            <w:vAlign w:val="center"/>
          </w:tcPr>
          <w:p w14:paraId="5BF729A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中心探针</w:t>
            </w:r>
          </w:p>
        </w:tc>
        <w:tc>
          <w:tcPr>
            <w:tcW w:w="294" w:type="pct"/>
            <w:shd w:val="clear" w:color="auto" w:fill="auto"/>
            <w:vAlign w:val="center"/>
          </w:tcPr>
          <w:p w14:paraId="346E472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shd w:val="clear" w:color="auto" w:fill="auto"/>
            <w:vAlign w:val="center"/>
          </w:tcPr>
          <w:p w14:paraId="65C59D8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2443860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51B8A34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40F6559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2020年南通市公路事业发展中心专网安全改造项目项目采购编号：Z320601200442(XJ143)</w:t>
            </w:r>
          </w:p>
          <w:p w14:paraId="2D63549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36FD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AA06BA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793" w:type="pct"/>
            <w:shd w:val="clear" w:color="auto" w:fill="auto"/>
            <w:vAlign w:val="center"/>
          </w:tcPr>
          <w:p w14:paraId="4D49898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中心内外网EDR</w:t>
            </w:r>
          </w:p>
        </w:tc>
        <w:tc>
          <w:tcPr>
            <w:tcW w:w="294" w:type="pct"/>
            <w:shd w:val="clear" w:color="auto" w:fill="auto"/>
            <w:vAlign w:val="center"/>
          </w:tcPr>
          <w:p w14:paraId="56187CC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shd w:val="clear" w:color="auto" w:fill="auto"/>
            <w:vAlign w:val="center"/>
          </w:tcPr>
          <w:p w14:paraId="010BBDF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套</w:t>
            </w:r>
          </w:p>
        </w:tc>
        <w:tc>
          <w:tcPr>
            <w:tcW w:w="769" w:type="pct"/>
            <w:shd w:val="clear" w:color="auto" w:fill="auto"/>
            <w:vAlign w:val="center"/>
          </w:tcPr>
          <w:p w14:paraId="5364FE6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4D3A4A7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03EB347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0E8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6" w:type="pct"/>
            <w:shd w:val="clear" w:color="auto" w:fill="auto"/>
            <w:vAlign w:val="center"/>
          </w:tcPr>
          <w:p w14:paraId="39C4C19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793" w:type="pct"/>
            <w:shd w:val="clear" w:color="auto" w:fill="auto"/>
            <w:vAlign w:val="center"/>
          </w:tcPr>
          <w:p w14:paraId="070F406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中心内网专线防火墙</w:t>
            </w:r>
          </w:p>
        </w:tc>
        <w:tc>
          <w:tcPr>
            <w:tcW w:w="294" w:type="pct"/>
            <w:shd w:val="clear" w:color="auto" w:fill="auto"/>
            <w:vAlign w:val="center"/>
          </w:tcPr>
          <w:p w14:paraId="2039E32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165DFDD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12B6A43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1243639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32C5A1F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4784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EB388D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793" w:type="pct"/>
            <w:shd w:val="clear" w:color="auto" w:fill="auto"/>
            <w:vAlign w:val="center"/>
          </w:tcPr>
          <w:p w14:paraId="0923C34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中心服务器区防火墙</w:t>
            </w:r>
          </w:p>
        </w:tc>
        <w:tc>
          <w:tcPr>
            <w:tcW w:w="294" w:type="pct"/>
            <w:shd w:val="clear" w:color="auto" w:fill="auto"/>
            <w:vAlign w:val="center"/>
          </w:tcPr>
          <w:p w14:paraId="0F22484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3F9E4D9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52A8F71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7A95047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2F0A409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 采购编号：Z320601200442(XJ143）</w:t>
            </w:r>
          </w:p>
        </w:tc>
      </w:tr>
      <w:tr w14:paraId="6CBC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D7261C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793" w:type="pct"/>
            <w:shd w:val="clear" w:color="auto" w:fill="auto"/>
            <w:vAlign w:val="center"/>
          </w:tcPr>
          <w:p w14:paraId="51142A6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分中心汇聚防火墙</w:t>
            </w:r>
          </w:p>
        </w:tc>
        <w:tc>
          <w:tcPr>
            <w:tcW w:w="294" w:type="pct"/>
            <w:shd w:val="clear" w:color="auto" w:fill="auto"/>
            <w:vAlign w:val="center"/>
          </w:tcPr>
          <w:p w14:paraId="378F718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269" w:type="pct"/>
            <w:shd w:val="clear" w:color="auto" w:fill="auto"/>
            <w:vAlign w:val="center"/>
          </w:tcPr>
          <w:p w14:paraId="6E34B4B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7BEA8D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51A4CAF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Align w:val="center"/>
          </w:tcPr>
          <w:p w14:paraId="5381461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16E9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68AABF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w:t>
            </w:r>
          </w:p>
        </w:tc>
        <w:tc>
          <w:tcPr>
            <w:tcW w:w="793" w:type="pct"/>
            <w:shd w:val="clear" w:color="auto" w:fill="auto"/>
            <w:vAlign w:val="center"/>
          </w:tcPr>
          <w:p w14:paraId="2EF1DF3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分中心探针</w:t>
            </w:r>
          </w:p>
        </w:tc>
        <w:tc>
          <w:tcPr>
            <w:tcW w:w="294" w:type="pct"/>
            <w:shd w:val="clear" w:color="auto" w:fill="auto"/>
            <w:vAlign w:val="center"/>
          </w:tcPr>
          <w:p w14:paraId="449786A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269" w:type="pct"/>
            <w:shd w:val="clear" w:color="auto" w:fill="auto"/>
            <w:vAlign w:val="center"/>
          </w:tcPr>
          <w:p w14:paraId="235653B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5E9DEF9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40C887D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76E2746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774A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4BB4E9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w:t>
            </w:r>
          </w:p>
        </w:tc>
        <w:tc>
          <w:tcPr>
            <w:tcW w:w="793" w:type="pct"/>
            <w:shd w:val="clear" w:color="auto" w:fill="auto"/>
            <w:vAlign w:val="center"/>
          </w:tcPr>
          <w:p w14:paraId="6F9B5AF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分中心内外网防火墙</w:t>
            </w:r>
          </w:p>
        </w:tc>
        <w:tc>
          <w:tcPr>
            <w:tcW w:w="294" w:type="pct"/>
            <w:shd w:val="clear" w:color="auto" w:fill="auto"/>
            <w:vAlign w:val="center"/>
          </w:tcPr>
          <w:p w14:paraId="65A238F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269" w:type="pct"/>
            <w:shd w:val="clear" w:color="auto" w:fill="auto"/>
            <w:vAlign w:val="center"/>
          </w:tcPr>
          <w:p w14:paraId="20E70A6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BCF867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590D88C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Align w:val="center"/>
          </w:tcPr>
          <w:p w14:paraId="563CC73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212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BC9A9A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793" w:type="pct"/>
            <w:shd w:val="clear" w:color="auto" w:fill="auto"/>
            <w:vAlign w:val="center"/>
          </w:tcPr>
          <w:p w14:paraId="5DC7901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外网超融合</w:t>
            </w:r>
          </w:p>
        </w:tc>
        <w:tc>
          <w:tcPr>
            <w:tcW w:w="294" w:type="pct"/>
            <w:shd w:val="clear" w:color="auto" w:fill="auto"/>
            <w:vAlign w:val="center"/>
          </w:tcPr>
          <w:p w14:paraId="2731E15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69" w:type="pct"/>
            <w:shd w:val="clear" w:color="auto" w:fill="auto"/>
            <w:vAlign w:val="center"/>
          </w:tcPr>
          <w:p w14:paraId="5724F5C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E824FC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09DA6C1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4F9FEF3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75C2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D899FE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w:t>
            </w:r>
          </w:p>
        </w:tc>
        <w:tc>
          <w:tcPr>
            <w:tcW w:w="793" w:type="pct"/>
            <w:shd w:val="clear" w:color="auto" w:fill="auto"/>
            <w:vAlign w:val="center"/>
          </w:tcPr>
          <w:p w14:paraId="374C246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外网数据备份</w:t>
            </w:r>
          </w:p>
        </w:tc>
        <w:tc>
          <w:tcPr>
            <w:tcW w:w="294" w:type="pct"/>
            <w:shd w:val="clear" w:color="auto" w:fill="auto"/>
            <w:vAlign w:val="center"/>
          </w:tcPr>
          <w:p w14:paraId="17F29F9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43368CB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5EF1E8B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29A05CC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1EE5E3B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  采购编号：Z320601200442(XJ143)</w:t>
            </w:r>
          </w:p>
        </w:tc>
      </w:tr>
      <w:tr w14:paraId="13E6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9DBEE3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17</w:t>
            </w:r>
          </w:p>
        </w:tc>
        <w:tc>
          <w:tcPr>
            <w:tcW w:w="793" w:type="pct"/>
            <w:shd w:val="clear" w:color="auto" w:fill="auto"/>
            <w:vAlign w:val="center"/>
          </w:tcPr>
          <w:p w14:paraId="1E146AF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瑞数WAF</w:t>
            </w:r>
          </w:p>
        </w:tc>
        <w:tc>
          <w:tcPr>
            <w:tcW w:w="294" w:type="pct"/>
            <w:shd w:val="clear" w:color="auto" w:fill="auto"/>
            <w:vAlign w:val="center"/>
          </w:tcPr>
          <w:p w14:paraId="60B0A6A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71E8175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套</w:t>
            </w:r>
          </w:p>
        </w:tc>
        <w:tc>
          <w:tcPr>
            <w:tcW w:w="769" w:type="pct"/>
            <w:shd w:val="clear" w:color="auto" w:fill="auto"/>
            <w:vAlign w:val="center"/>
          </w:tcPr>
          <w:p w14:paraId="00F3CBD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5F9DFEF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1989ED0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4EE3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3097D0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18</w:t>
            </w:r>
          </w:p>
        </w:tc>
        <w:tc>
          <w:tcPr>
            <w:tcW w:w="793" w:type="pct"/>
            <w:shd w:val="clear" w:color="auto" w:fill="auto"/>
            <w:vAlign w:val="center"/>
          </w:tcPr>
          <w:p w14:paraId="330BF5E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信锐无线网络控制中心</w:t>
            </w:r>
          </w:p>
        </w:tc>
        <w:tc>
          <w:tcPr>
            <w:tcW w:w="294" w:type="pct"/>
            <w:shd w:val="clear" w:color="auto" w:fill="auto"/>
            <w:vAlign w:val="center"/>
          </w:tcPr>
          <w:p w14:paraId="31EA511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29CA181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3B672CA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62B3DEB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22F8075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2021年南通市公路事业发展中心视频会议室无纸化会议系统及谈话音视频建设项目</w:t>
            </w:r>
          </w:p>
        </w:tc>
      </w:tr>
      <w:tr w14:paraId="3785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0658E2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19</w:t>
            </w:r>
          </w:p>
        </w:tc>
        <w:tc>
          <w:tcPr>
            <w:tcW w:w="793" w:type="pct"/>
            <w:shd w:val="clear" w:color="auto" w:fill="auto"/>
            <w:vAlign w:val="center"/>
          </w:tcPr>
          <w:p w14:paraId="4E4B0B7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内网日志审计</w:t>
            </w:r>
          </w:p>
        </w:tc>
        <w:tc>
          <w:tcPr>
            <w:tcW w:w="294" w:type="pct"/>
            <w:shd w:val="clear" w:color="auto" w:fill="auto"/>
            <w:vAlign w:val="center"/>
          </w:tcPr>
          <w:p w14:paraId="0621C93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0F9302A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591C639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14A74FF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7CC17CD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2018年南通市公路管理处基层数据中心提升及安全运维升级项目  </w:t>
            </w:r>
          </w:p>
          <w:p w14:paraId="3A82B34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采购编号:Z320601180838（XJ322）</w:t>
            </w:r>
          </w:p>
        </w:tc>
      </w:tr>
      <w:tr w14:paraId="15D3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0342B1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w:t>
            </w:r>
          </w:p>
        </w:tc>
        <w:tc>
          <w:tcPr>
            <w:tcW w:w="793" w:type="pct"/>
            <w:shd w:val="clear" w:color="auto" w:fill="auto"/>
            <w:vAlign w:val="center"/>
          </w:tcPr>
          <w:p w14:paraId="586391C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内网数据库审计</w:t>
            </w:r>
          </w:p>
        </w:tc>
        <w:tc>
          <w:tcPr>
            <w:tcW w:w="294" w:type="pct"/>
            <w:shd w:val="clear" w:color="auto" w:fill="auto"/>
            <w:vAlign w:val="center"/>
          </w:tcPr>
          <w:p w14:paraId="604B7C8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0D5EDF8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4450B1E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4EBEA7D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43B73B8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2019年南通市公路管理处网络安全采购项目  </w:t>
            </w:r>
          </w:p>
          <w:p w14:paraId="171F809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项目编号：Z320601190507(XJ188）</w:t>
            </w:r>
          </w:p>
        </w:tc>
      </w:tr>
      <w:tr w14:paraId="6578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496231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w:t>
            </w:r>
          </w:p>
        </w:tc>
        <w:tc>
          <w:tcPr>
            <w:tcW w:w="793" w:type="pct"/>
            <w:shd w:val="clear" w:color="auto" w:fill="auto"/>
            <w:vAlign w:val="center"/>
          </w:tcPr>
          <w:p w14:paraId="0A96142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全景灾备系统</w:t>
            </w:r>
          </w:p>
        </w:tc>
        <w:tc>
          <w:tcPr>
            <w:tcW w:w="294" w:type="pct"/>
            <w:shd w:val="clear" w:color="auto" w:fill="auto"/>
            <w:vAlign w:val="center"/>
          </w:tcPr>
          <w:p w14:paraId="753F125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1553577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3816ECE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72271DC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52E8352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6808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E4221E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w:t>
            </w:r>
          </w:p>
        </w:tc>
        <w:tc>
          <w:tcPr>
            <w:tcW w:w="793" w:type="pct"/>
            <w:shd w:val="clear" w:color="auto" w:fill="auto"/>
            <w:vAlign w:val="center"/>
          </w:tcPr>
          <w:p w14:paraId="6430C3B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内网虚拟化</w:t>
            </w:r>
          </w:p>
        </w:tc>
        <w:tc>
          <w:tcPr>
            <w:tcW w:w="294" w:type="pct"/>
            <w:shd w:val="clear" w:color="auto" w:fill="auto"/>
            <w:vAlign w:val="center"/>
          </w:tcPr>
          <w:p w14:paraId="5321ABE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69" w:type="pct"/>
            <w:shd w:val="clear" w:color="auto" w:fill="auto"/>
            <w:vAlign w:val="center"/>
          </w:tcPr>
          <w:p w14:paraId="1057752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75D626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3196F9C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1499F35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2017年南通市公路管理处虚拟化改造升级项目 </w:t>
            </w:r>
          </w:p>
          <w:p w14:paraId="2F687B0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项目编号：2017XJ4022</w:t>
            </w:r>
          </w:p>
        </w:tc>
      </w:tr>
      <w:tr w14:paraId="5069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6" w:type="pct"/>
            <w:shd w:val="clear" w:color="auto" w:fill="auto"/>
            <w:vAlign w:val="center"/>
          </w:tcPr>
          <w:p w14:paraId="7AC97FF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23</w:t>
            </w:r>
          </w:p>
        </w:tc>
        <w:tc>
          <w:tcPr>
            <w:tcW w:w="793" w:type="pct"/>
            <w:shd w:val="clear" w:color="auto" w:fill="auto"/>
            <w:vAlign w:val="center"/>
          </w:tcPr>
          <w:p w14:paraId="63AB926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外网日志审计</w:t>
            </w:r>
          </w:p>
        </w:tc>
        <w:tc>
          <w:tcPr>
            <w:tcW w:w="294" w:type="pct"/>
            <w:shd w:val="clear" w:color="auto" w:fill="auto"/>
            <w:vAlign w:val="center"/>
          </w:tcPr>
          <w:p w14:paraId="4FCF723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1DF1E63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3AFFEC0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2B109B3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130769F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2019年南通市公路管理处网络安全采购项目  </w:t>
            </w:r>
          </w:p>
        </w:tc>
      </w:tr>
      <w:tr w14:paraId="3FD7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3D61CDD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w:t>
            </w:r>
          </w:p>
        </w:tc>
        <w:tc>
          <w:tcPr>
            <w:tcW w:w="793" w:type="pct"/>
            <w:shd w:val="clear" w:color="auto" w:fill="auto"/>
            <w:vAlign w:val="center"/>
          </w:tcPr>
          <w:p w14:paraId="14CA42D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零信任</w:t>
            </w:r>
          </w:p>
        </w:tc>
        <w:tc>
          <w:tcPr>
            <w:tcW w:w="294" w:type="pct"/>
            <w:shd w:val="clear" w:color="auto" w:fill="auto"/>
            <w:vAlign w:val="center"/>
          </w:tcPr>
          <w:p w14:paraId="503708C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shd w:val="clear" w:color="auto" w:fill="auto"/>
            <w:vAlign w:val="center"/>
          </w:tcPr>
          <w:p w14:paraId="14D364C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1BD0489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5D015ED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2F0F969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2021年南通公路零信任安全架构体系应用研究</w:t>
            </w:r>
          </w:p>
        </w:tc>
      </w:tr>
      <w:tr w14:paraId="1379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1A2D66B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25</w:t>
            </w:r>
          </w:p>
        </w:tc>
        <w:tc>
          <w:tcPr>
            <w:tcW w:w="793" w:type="pct"/>
            <w:shd w:val="clear" w:color="auto" w:fill="auto"/>
            <w:vAlign w:val="center"/>
          </w:tcPr>
          <w:p w14:paraId="6B137C2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态势感知平台</w:t>
            </w:r>
          </w:p>
        </w:tc>
        <w:tc>
          <w:tcPr>
            <w:tcW w:w="294" w:type="pct"/>
            <w:shd w:val="clear" w:color="auto" w:fill="auto"/>
            <w:vAlign w:val="center"/>
          </w:tcPr>
          <w:p w14:paraId="72DDAF2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508F0F6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288C157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7E06744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0C7CF0E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bl>
    <w:p w14:paraId="54497D7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（二）网络安全运维服务内容及要求</w:t>
      </w:r>
    </w:p>
    <w:p w14:paraId="13CE7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网络安全</w:t>
      </w:r>
      <w:r>
        <w:rPr>
          <w:rFonts w:hint="eastAsia" w:ascii="宋体" w:hAnsi="宋体" w:eastAsia="宋体" w:cs="宋体"/>
          <w:sz w:val="24"/>
          <w:szCs w:val="24"/>
          <w:highlight w:val="none"/>
          <w:lang w:val="en-US" w:eastAsia="zh-CN"/>
        </w:rPr>
        <w:t>运维</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内容，详见表2。</w:t>
      </w:r>
    </w:p>
    <w:p w14:paraId="4FAE34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w:t>
      </w:r>
    </w:p>
    <w:tbl>
      <w:tblPr>
        <w:tblStyle w:val="20"/>
        <w:tblW w:w="89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7"/>
        <w:gridCol w:w="1542"/>
        <w:gridCol w:w="5965"/>
        <w:gridCol w:w="1001"/>
      </w:tblGrid>
      <w:tr w14:paraId="6EBD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030F0D6B">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序号</w:t>
            </w:r>
          </w:p>
        </w:tc>
        <w:tc>
          <w:tcPr>
            <w:tcW w:w="1542" w:type="dxa"/>
            <w:vAlign w:val="center"/>
          </w:tcPr>
          <w:p w14:paraId="78452BA4">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服务名称</w:t>
            </w:r>
          </w:p>
        </w:tc>
        <w:tc>
          <w:tcPr>
            <w:tcW w:w="5965" w:type="dxa"/>
            <w:vAlign w:val="center"/>
          </w:tcPr>
          <w:p w14:paraId="4B410311">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服务内容</w:t>
            </w:r>
          </w:p>
        </w:tc>
        <w:tc>
          <w:tcPr>
            <w:tcW w:w="1001" w:type="dxa"/>
            <w:vAlign w:val="center"/>
          </w:tcPr>
          <w:p w14:paraId="0B601334">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服务频率</w:t>
            </w:r>
          </w:p>
        </w:tc>
      </w:tr>
      <w:tr w14:paraId="4665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trPr>
        <w:tc>
          <w:tcPr>
            <w:tcW w:w="397" w:type="dxa"/>
            <w:tcBorders>
              <w:top w:val="single" w:color="auto" w:sz="4" w:space="0"/>
              <w:left w:val="single" w:color="auto" w:sz="4" w:space="0"/>
              <w:bottom w:val="single" w:color="auto" w:sz="4" w:space="0"/>
              <w:right w:val="single" w:color="auto" w:sz="4" w:space="0"/>
            </w:tcBorders>
            <w:vAlign w:val="center"/>
          </w:tcPr>
          <w:p w14:paraId="3F47FF75">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w:t>
            </w:r>
          </w:p>
        </w:tc>
        <w:tc>
          <w:tcPr>
            <w:tcW w:w="1542" w:type="dxa"/>
            <w:vAlign w:val="center"/>
          </w:tcPr>
          <w:p w14:paraId="3732137A">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主机漏洞/弱口令扫描服务</w:t>
            </w:r>
          </w:p>
        </w:tc>
        <w:tc>
          <w:tcPr>
            <w:tcW w:w="5965" w:type="dxa"/>
            <w:vAlign w:val="center"/>
          </w:tcPr>
          <w:p w14:paraId="2DD5F86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对所有主机、网络设备、操作系统、数据库、中间件等进行常态化的漏洞与弱口令扫描，提供漏洞、弱口令扫描结果与整改建议</w:t>
            </w:r>
          </w:p>
        </w:tc>
        <w:tc>
          <w:tcPr>
            <w:tcW w:w="1001" w:type="dxa"/>
            <w:vAlign w:val="center"/>
          </w:tcPr>
          <w:p w14:paraId="2A01C0B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每季度按需</w:t>
            </w:r>
          </w:p>
        </w:tc>
      </w:tr>
      <w:tr w14:paraId="703A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4932908A">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w:t>
            </w:r>
          </w:p>
        </w:tc>
        <w:tc>
          <w:tcPr>
            <w:tcW w:w="1542" w:type="dxa"/>
            <w:vAlign w:val="center"/>
          </w:tcPr>
          <w:p w14:paraId="03F37E60">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应急演练</w:t>
            </w:r>
          </w:p>
        </w:tc>
        <w:tc>
          <w:tcPr>
            <w:tcW w:w="5965" w:type="dxa"/>
            <w:vAlign w:val="center"/>
          </w:tcPr>
          <w:p w14:paraId="29F085D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每年按需提供网络安全应急演练服务，可选“网页挂马、网页篡改、勒索病毒、邮件钓鱼”等多类安全事件的应急演练</w:t>
            </w:r>
          </w:p>
        </w:tc>
        <w:tc>
          <w:tcPr>
            <w:tcW w:w="1001" w:type="dxa"/>
            <w:vAlign w:val="center"/>
          </w:tcPr>
          <w:p w14:paraId="27E7BAD6">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03B0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397" w:type="dxa"/>
            <w:tcBorders>
              <w:top w:val="single" w:color="auto" w:sz="4" w:space="0"/>
              <w:left w:val="single" w:color="auto" w:sz="4" w:space="0"/>
              <w:bottom w:val="single" w:color="auto" w:sz="4" w:space="0"/>
              <w:right w:val="single" w:color="auto" w:sz="4" w:space="0"/>
            </w:tcBorders>
            <w:vAlign w:val="center"/>
          </w:tcPr>
          <w:p w14:paraId="3B2F3CE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w:t>
            </w:r>
          </w:p>
        </w:tc>
        <w:tc>
          <w:tcPr>
            <w:tcW w:w="1542" w:type="dxa"/>
            <w:vAlign w:val="center"/>
          </w:tcPr>
          <w:p w14:paraId="3EBD5AD7">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内网主机资产测绘与梳理服务</w:t>
            </w:r>
          </w:p>
        </w:tc>
        <w:tc>
          <w:tcPr>
            <w:tcW w:w="5965" w:type="dxa"/>
            <w:vAlign w:val="center"/>
          </w:tcPr>
          <w:p w14:paraId="1377AAD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探测存活的内网资产，包括服务器、终端、网络设备、摄像头等，跟踪资产变更趋势，形成可动态维护的资产台账</w:t>
            </w:r>
          </w:p>
        </w:tc>
        <w:tc>
          <w:tcPr>
            <w:tcW w:w="1001" w:type="dxa"/>
            <w:vAlign w:val="center"/>
          </w:tcPr>
          <w:p w14:paraId="0DD007F0">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2490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397" w:type="dxa"/>
            <w:tcBorders>
              <w:top w:val="single" w:color="auto" w:sz="4" w:space="0"/>
              <w:left w:val="single" w:color="auto" w:sz="4" w:space="0"/>
              <w:bottom w:val="single" w:color="auto" w:sz="4" w:space="0"/>
              <w:right w:val="single" w:color="auto" w:sz="4" w:space="0"/>
            </w:tcBorders>
            <w:vAlign w:val="center"/>
          </w:tcPr>
          <w:p w14:paraId="08607401">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4</w:t>
            </w:r>
          </w:p>
        </w:tc>
        <w:tc>
          <w:tcPr>
            <w:tcW w:w="1542" w:type="dxa"/>
            <w:vAlign w:val="center"/>
          </w:tcPr>
          <w:p w14:paraId="5564FA41">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安全培训</w:t>
            </w:r>
          </w:p>
        </w:tc>
        <w:tc>
          <w:tcPr>
            <w:tcW w:w="5965" w:type="dxa"/>
            <w:vAlign w:val="center"/>
          </w:tcPr>
          <w:p w14:paraId="26730EF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对技术人员、一般员工、管理人员进行周期性的安全意识、安全技术、安全管理等内容进行选择性培训，加强整体的安全水平</w:t>
            </w:r>
          </w:p>
        </w:tc>
        <w:tc>
          <w:tcPr>
            <w:tcW w:w="1001" w:type="dxa"/>
            <w:vAlign w:val="center"/>
          </w:tcPr>
          <w:p w14:paraId="284C921F">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39F7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2CD6BCC1">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5</w:t>
            </w:r>
          </w:p>
        </w:tc>
        <w:tc>
          <w:tcPr>
            <w:tcW w:w="1542" w:type="dxa"/>
            <w:vAlign w:val="center"/>
          </w:tcPr>
          <w:p w14:paraId="549083B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漏洞加固指导服务</w:t>
            </w:r>
          </w:p>
        </w:tc>
        <w:tc>
          <w:tcPr>
            <w:tcW w:w="5965" w:type="dxa"/>
            <w:vAlign w:val="center"/>
          </w:tcPr>
          <w:p w14:paraId="3FA8349C">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基于攻防视角评估资产漏洞风险，识别可实际产生风险的漏洞，提供漏洞修复的优先级建议，减少漏洞整改工作量</w:t>
            </w:r>
          </w:p>
        </w:tc>
        <w:tc>
          <w:tcPr>
            <w:tcW w:w="1001" w:type="dxa"/>
            <w:vAlign w:val="center"/>
          </w:tcPr>
          <w:p w14:paraId="2594AF3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0994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3" w:hRule="atLeast"/>
        </w:trPr>
        <w:tc>
          <w:tcPr>
            <w:tcW w:w="397" w:type="dxa"/>
            <w:tcBorders>
              <w:top w:val="single" w:color="auto" w:sz="4" w:space="0"/>
              <w:left w:val="single" w:color="auto" w:sz="4" w:space="0"/>
              <w:bottom w:val="single" w:color="auto" w:sz="4" w:space="0"/>
              <w:right w:val="single" w:color="auto" w:sz="4" w:space="0"/>
            </w:tcBorders>
            <w:vAlign w:val="center"/>
          </w:tcPr>
          <w:p w14:paraId="5BD7EB45">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6</w:t>
            </w:r>
          </w:p>
        </w:tc>
        <w:tc>
          <w:tcPr>
            <w:tcW w:w="1542" w:type="dxa"/>
            <w:vAlign w:val="center"/>
          </w:tcPr>
          <w:p w14:paraId="3C078630">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整体安全咨询服务</w:t>
            </w:r>
          </w:p>
        </w:tc>
        <w:tc>
          <w:tcPr>
            <w:tcW w:w="5965" w:type="dxa"/>
            <w:vAlign w:val="center"/>
          </w:tcPr>
          <w:p w14:paraId="601EE859">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依据国家/国际信息安全标准、信息安全策略及行业发展动态，在对用户信息安全现状进行风险评估、差距分析的基础上，从安全技术、安全管理、安全运营三个角度构建短期、中期与长期的信息安全规划，将信息安全的单点风险控制转变为全面的安全规划，进而推动有效的信息安全建设并建立完整的信息安全保障体系</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协助梳理</w:t>
            </w:r>
            <w:r>
              <w:rPr>
                <w:rFonts w:hint="eastAsia" w:ascii="宋体" w:hAnsi="宋体" w:eastAsia="宋体" w:cs="宋体"/>
                <w:sz w:val="24"/>
                <w:szCs w:val="24"/>
                <w:highlight w:val="none"/>
                <w:u w:val="none"/>
                <w:lang w:val="en-US" w:eastAsia="zh-CN"/>
              </w:rPr>
              <w:t>完善</w:t>
            </w:r>
            <w:r>
              <w:rPr>
                <w:rFonts w:hint="eastAsia" w:ascii="宋体" w:hAnsi="宋体" w:eastAsia="宋体" w:cs="宋体"/>
                <w:sz w:val="24"/>
                <w:szCs w:val="24"/>
                <w:highlight w:val="none"/>
                <w:u w:val="none"/>
              </w:rPr>
              <w:t>现有信息安全管理制度</w:t>
            </w:r>
            <w:r>
              <w:rPr>
                <w:rFonts w:hint="eastAsia" w:ascii="宋体" w:hAnsi="宋体" w:eastAsia="宋体" w:cs="宋体"/>
                <w:sz w:val="24"/>
                <w:szCs w:val="24"/>
                <w:highlight w:val="none"/>
                <w:u w:val="none"/>
                <w:lang w:eastAsia="zh-CN"/>
              </w:rPr>
              <w:t>。</w:t>
            </w:r>
          </w:p>
        </w:tc>
        <w:tc>
          <w:tcPr>
            <w:tcW w:w="1001" w:type="dxa"/>
            <w:vAlign w:val="center"/>
          </w:tcPr>
          <w:p w14:paraId="439C956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239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049320DD">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w:t>
            </w:r>
          </w:p>
        </w:tc>
        <w:tc>
          <w:tcPr>
            <w:tcW w:w="1542" w:type="dxa"/>
            <w:vAlign w:val="center"/>
          </w:tcPr>
          <w:p w14:paraId="01CB123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重保值守服务</w:t>
            </w:r>
          </w:p>
        </w:tc>
        <w:tc>
          <w:tcPr>
            <w:tcW w:w="5965" w:type="dxa"/>
            <w:vAlign w:val="center"/>
          </w:tcPr>
          <w:p w14:paraId="4646D66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重点时期、节日提供专业团队技术、设备的保障</w:t>
            </w:r>
          </w:p>
        </w:tc>
        <w:tc>
          <w:tcPr>
            <w:tcW w:w="1001" w:type="dxa"/>
            <w:vAlign w:val="center"/>
          </w:tcPr>
          <w:p w14:paraId="38E3C68D">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3148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7B363F59">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w:t>
            </w:r>
          </w:p>
        </w:tc>
        <w:tc>
          <w:tcPr>
            <w:tcW w:w="1542" w:type="dxa"/>
            <w:vAlign w:val="center"/>
          </w:tcPr>
          <w:p w14:paraId="71F86563">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设备安全巡检</w:t>
            </w:r>
          </w:p>
        </w:tc>
        <w:tc>
          <w:tcPr>
            <w:tcW w:w="5965" w:type="dxa"/>
            <w:vAlign w:val="center"/>
          </w:tcPr>
          <w:p w14:paraId="2ED22DE3">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建设信息安全巡检机制，同时对巡检情况出具专业的巡检报告</w:t>
            </w:r>
          </w:p>
        </w:tc>
        <w:tc>
          <w:tcPr>
            <w:tcW w:w="1001" w:type="dxa"/>
            <w:vAlign w:val="center"/>
          </w:tcPr>
          <w:p w14:paraId="7A7A6D2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1次/月</w:t>
            </w:r>
          </w:p>
        </w:tc>
      </w:tr>
    </w:tbl>
    <w:p w14:paraId="7DD3255C">
      <w:pPr>
        <w:keepNext w:val="0"/>
        <w:keepLines w:val="0"/>
        <w:pageBreakBefore w:val="0"/>
        <w:widowControl w:val="0"/>
        <w:numPr>
          <w:ilvl w:val="255"/>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2、网络安全运维服务要求</w:t>
      </w:r>
    </w:p>
    <w:p w14:paraId="5C95C38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提供项目咨询、新增互联网暴露面管理、WEB站点安全监测、漏洞加固辅助、事件告警通告、数据安全咨询、管理体系建设服务等。</w:t>
      </w:r>
    </w:p>
    <w:p w14:paraId="708B132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提供安全上网dns防护和上网管控服务，防止用户中毒后私联僵尸主机。</w:t>
      </w:r>
    </w:p>
    <w:tbl>
      <w:tblPr>
        <w:tblStyle w:val="20"/>
        <w:tblpPr w:leftFromText="180" w:rightFromText="180" w:vertAnchor="text" w:tblpX="14395" w:tblpY="1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tblGrid>
      <w:tr w14:paraId="00EE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511" w:type="dxa"/>
          </w:tcPr>
          <w:p w14:paraId="2D02EF24">
            <w:pPr>
              <w:keepNext w:val="0"/>
              <w:keepLines w:val="0"/>
              <w:pageBreakBefore w:val="0"/>
              <w:widowControl w:val="0"/>
              <w:numPr>
                <w:ilvl w:val="255"/>
                <w:numId w:val="0"/>
              </w:numPr>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tc>
      </w:tr>
    </w:tbl>
    <w:p w14:paraId="2E6F0EB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巡检要求：对市中心防火墙、探针、内外网应用服务器等设备做好月度安全扫描巡检并出具《巡检报告》。巡检清单详见</w:t>
      </w:r>
      <w:r>
        <w:rPr>
          <w:rFonts w:hint="eastAsia" w:ascii="宋体" w:hAnsi="宋体" w:eastAsia="宋体" w:cs="宋体"/>
          <w:sz w:val="24"/>
          <w:szCs w:val="24"/>
          <w:highlight w:val="none"/>
          <w:lang w:val="en-US" w:eastAsia="zh-CN"/>
        </w:rPr>
        <w:t>表1</w:t>
      </w:r>
      <w:r>
        <w:rPr>
          <w:rFonts w:hint="eastAsia" w:ascii="宋体" w:hAnsi="宋体" w:eastAsia="宋体" w:cs="宋体"/>
          <w:sz w:val="24"/>
          <w:szCs w:val="24"/>
          <w:highlight w:val="none"/>
        </w:rPr>
        <w:t>。</w:t>
      </w:r>
    </w:p>
    <w:p w14:paraId="61AE17D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提供市中心及8个分中心7×24小时应急响应服务；每年不少于1次网络安全方面的应急演练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每年不少于1次市中心及8个分中心硬件方面的资产梳理；每年不少于1次网络安全技术培训服务。</w:t>
      </w:r>
    </w:p>
    <w:p w14:paraId="6489AD43">
      <w:pPr>
        <w:snapToGrid w:val="0"/>
        <w:spacing w:line="360" w:lineRule="auto"/>
        <w:ind w:firstLine="480" w:firstLineChars="200"/>
        <w:contextualSpacing/>
        <w:rPr>
          <w:rFonts w:hint="eastAsia" w:ascii="宋体" w:hAnsi="宋体" w:cs="宋体"/>
          <w:sz w:val="24"/>
          <w:szCs w:val="24"/>
        </w:rPr>
      </w:pPr>
      <w:r>
        <w:rPr>
          <w:rFonts w:hint="eastAsia" w:ascii="宋体" w:hAnsi="宋体" w:eastAsia="宋体" w:cs="宋体"/>
          <w:sz w:val="24"/>
          <w:szCs w:val="24"/>
          <w:highlight w:val="none"/>
          <w:lang w:val="en-US" w:eastAsia="zh-CN"/>
        </w:rPr>
        <w:t>（5）2026年</w:t>
      </w:r>
      <w:r>
        <w:rPr>
          <w:rFonts w:hint="eastAsia" w:ascii="宋体" w:hAnsi="宋体" w:eastAsia="宋体" w:cs="宋体"/>
          <w:sz w:val="24"/>
          <w:szCs w:val="24"/>
          <w:highlight w:val="none"/>
        </w:rPr>
        <w:t>12月31 日前，完成当年度服务报告，报告内容包括全年安全运维服务内容和基础环境运维服务内容的汇总和改进优化建议。</w:t>
      </w:r>
    </w:p>
    <w:p w14:paraId="34141C41">
      <w:pPr>
        <w:keepNext/>
        <w:keepLines/>
        <w:numPr>
          <w:ilvl w:val="2"/>
          <w:numId w:val="0"/>
        </w:numPr>
        <w:spacing w:line="360" w:lineRule="auto"/>
        <w:jc w:val="center"/>
        <w:outlineLvl w:val="2"/>
        <w:rPr>
          <w:rFonts w:hint="eastAsia" w:ascii="宋体" w:hAnsi="宋体" w:cs="宋体"/>
          <w:b/>
          <w:bCs/>
          <w:sz w:val="24"/>
          <w:szCs w:val="24"/>
        </w:rPr>
      </w:pPr>
      <w:bookmarkStart w:id="68" w:name="_Toc275422871"/>
      <w:bookmarkStart w:id="69" w:name="_Toc390785019"/>
      <w:bookmarkStart w:id="70" w:name="_Toc470619303"/>
      <w:bookmarkStart w:id="71" w:name="_Toc10189310"/>
      <w:bookmarkStart w:id="72" w:name="_Toc230492378"/>
      <w:bookmarkStart w:id="73" w:name="_Toc14857559"/>
      <w:bookmarkStart w:id="74" w:name="_Toc387768382"/>
      <w:bookmarkStart w:id="75" w:name="_Toc387773189"/>
      <w:bookmarkStart w:id="76" w:name="_Toc313903289"/>
      <w:bookmarkStart w:id="77" w:name="_Toc275422755"/>
      <w:bookmarkStart w:id="78" w:name="_Toc381015375"/>
      <w:bookmarkStart w:id="79" w:name="_Toc40280342"/>
      <w:bookmarkStart w:id="80" w:name="_Toc295408756"/>
      <w:bookmarkStart w:id="81" w:name="_Toc286308344"/>
      <w:r>
        <w:rPr>
          <w:rFonts w:hint="eastAsia" w:ascii="宋体" w:hAnsi="宋体" w:cs="宋体"/>
          <w:b/>
          <w:bCs/>
          <w:sz w:val="24"/>
          <w:szCs w:val="24"/>
        </w:rPr>
        <w:t>三、采购人的责任与义务</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61FE17D">
      <w:pPr>
        <w:snapToGrid w:val="0"/>
        <w:spacing w:line="360" w:lineRule="auto"/>
        <w:ind w:firstLine="480" w:firstLineChars="200"/>
        <w:contextualSpacing/>
        <w:rPr>
          <w:rFonts w:hint="eastAsia" w:ascii="宋体" w:hAnsi="宋体" w:cs="宋体"/>
          <w:sz w:val="24"/>
          <w:szCs w:val="24"/>
        </w:rPr>
      </w:pPr>
      <w:bookmarkStart w:id="82" w:name="_Toc275422756"/>
      <w:bookmarkStart w:id="83" w:name="_Toc295408757"/>
      <w:bookmarkStart w:id="84" w:name="_Toc286308345"/>
      <w:bookmarkStart w:id="85" w:name="_Toc14857560"/>
      <w:bookmarkStart w:id="86" w:name="_Toc230492379"/>
      <w:bookmarkStart w:id="87" w:name="_Toc10189311"/>
      <w:bookmarkStart w:id="88" w:name="_Toc275422872"/>
      <w:r>
        <w:rPr>
          <w:rFonts w:hint="eastAsia" w:ascii="宋体" w:hAnsi="宋体" w:cs="宋体"/>
          <w:sz w:val="24"/>
          <w:szCs w:val="24"/>
        </w:rPr>
        <w:t>3.1  采购人应按合同有关规定支付服务费用。</w:t>
      </w:r>
    </w:p>
    <w:p w14:paraId="09E7B92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3.2  采购人应向服务单位提供开展工作所需要的相关文件、资料，服务单位应对提供的原始资料的理解负责。</w:t>
      </w:r>
    </w:p>
    <w:p w14:paraId="70E2866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3.3  在技术服务过程中，采购人应对服务单位与有关部门的协调工作提供必要的协助，但并不免除服务单位根据本合同规定应负的责任。</w:t>
      </w:r>
    </w:p>
    <w:p w14:paraId="7B03DC9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3.4  除合同另有规定外，采购人应保护服务单位的</w:t>
      </w:r>
      <w:r>
        <w:rPr>
          <w:rFonts w:hint="eastAsia" w:ascii="宋体" w:hAnsi="宋体" w:cs="宋体"/>
          <w:sz w:val="24"/>
          <w:szCs w:val="24"/>
          <w:lang w:eastAsia="zh-CN"/>
        </w:rPr>
        <w:t>磋商</w:t>
      </w:r>
      <w:r>
        <w:rPr>
          <w:rFonts w:hint="eastAsia" w:ascii="宋体" w:hAnsi="宋体" w:cs="宋体"/>
          <w:sz w:val="24"/>
          <w:szCs w:val="24"/>
        </w:rPr>
        <w:t>响应文件、计算软件和专利技术。未经服务单位同意，采购人对服务单位提交的</w:t>
      </w:r>
      <w:r>
        <w:rPr>
          <w:rFonts w:hint="eastAsia" w:ascii="宋体" w:hAnsi="宋体" w:cs="宋体"/>
          <w:sz w:val="24"/>
          <w:szCs w:val="24"/>
          <w:lang w:eastAsia="zh-CN"/>
        </w:rPr>
        <w:t>磋商</w:t>
      </w:r>
      <w:r>
        <w:rPr>
          <w:rFonts w:hint="eastAsia" w:ascii="宋体" w:hAnsi="宋体" w:cs="宋体"/>
          <w:sz w:val="24"/>
          <w:szCs w:val="24"/>
        </w:rPr>
        <w:t>响应文件不得擅自修改、复制或转让或用于本项目以外的其它项目。</w:t>
      </w:r>
    </w:p>
    <w:p w14:paraId="7CAEC086">
      <w:pPr>
        <w:keepNext/>
        <w:keepLines/>
        <w:numPr>
          <w:ilvl w:val="2"/>
          <w:numId w:val="0"/>
        </w:numPr>
        <w:spacing w:line="360" w:lineRule="auto"/>
        <w:jc w:val="center"/>
        <w:outlineLvl w:val="2"/>
        <w:rPr>
          <w:rFonts w:hint="eastAsia" w:ascii="宋体" w:hAnsi="宋体" w:cs="宋体"/>
          <w:b/>
          <w:bCs/>
          <w:sz w:val="24"/>
          <w:szCs w:val="24"/>
        </w:rPr>
      </w:pPr>
      <w:bookmarkStart w:id="89" w:name="_Toc470619304"/>
      <w:bookmarkStart w:id="90" w:name="_Toc313903290"/>
      <w:bookmarkStart w:id="91" w:name="_Toc387773190"/>
      <w:bookmarkStart w:id="92" w:name="_Toc387768383"/>
      <w:bookmarkStart w:id="93" w:name="_Toc381015376"/>
      <w:bookmarkStart w:id="94" w:name="_Toc390785020"/>
      <w:bookmarkStart w:id="95" w:name="_Toc40280343"/>
      <w:r>
        <w:rPr>
          <w:rFonts w:hint="eastAsia" w:ascii="宋体" w:hAnsi="宋体" w:cs="宋体"/>
          <w:b/>
          <w:bCs/>
          <w:sz w:val="24"/>
          <w:szCs w:val="24"/>
        </w:rPr>
        <w:t>四、服务单位的责任与义务</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8FD91A6">
      <w:pPr>
        <w:snapToGrid w:val="0"/>
        <w:spacing w:line="360" w:lineRule="auto"/>
        <w:ind w:firstLine="480" w:firstLineChars="200"/>
        <w:contextualSpacing/>
        <w:rPr>
          <w:rFonts w:hint="eastAsia" w:ascii="Garamond" w:hAnsi="Garamond"/>
          <w:sz w:val="24"/>
          <w:szCs w:val="24"/>
        </w:rPr>
      </w:pPr>
      <w:bookmarkStart w:id="96" w:name="_Toc14857561"/>
      <w:bookmarkStart w:id="97" w:name="_Toc286308346"/>
      <w:bookmarkStart w:id="98" w:name="_Toc275422757"/>
      <w:bookmarkStart w:id="99" w:name="_Toc230492380"/>
      <w:bookmarkStart w:id="100" w:name="_Toc295408758"/>
      <w:bookmarkStart w:id="101" w:name="_Toc275422873"/>
      <w:bookmarkStart w:id="102" w:name="_Toc10189312"/>
      <w:r>
        <w:rPr>
          <w:rFonts w:hint="eastAsia" w:ascii="宋体" w:hAnsi="宋体" w:cs="宋体"/>
          <w:sz w:val="24"/>
          <w:szCs w:val="24"/>
        </w:rPr>
        <w:t>4.1服务单位应按</w:t>
      </w:r>
      <w:r>
        <w:rPr>
          <w:rFonts w:ascii="Garamond" w:hAnsi="Garamond"/>
          <w:sz w:val="24"/>
          <w:szCs w:val="24"/>
        </w:rPr>
        <w:t>照技术服务合同及相关法律、法规的要求，严格、严密、科学、公正地进行技术服务服务。</w:t>
      </w:r>
    </w:p>
    <w:p w14:paraId="5E8037D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4.2服务单位必须按合同约定和承诺安排技术服务人员，技术服务人员遵守甲方相关管理制度，并接受采购人</w:t>
      </w:r>
      <w:r>
        <w:rPr>
          <w:rFonts w:ascii="宋体" w:hAnsi="宋体" w:cs="宋体"/>
          <w:sz w:val="24"/>
          <w:szCs w:val="24"/>
        </w:rPr>
        <w:t>统一管理</w:t>
      </w:r>
      <w:r>
        <w:rPr>
          <w:rFonts w:hint="eastAsia" w:ascii="宋体" w:hAnsi="宋体" w:cs="宋体"/>
          <w:sz w:val="24"/>
          <w:szCs w:val="24"/>
        </w:rPr>
        <w:t>。</w:t>
      </w:r>
    </w:p>
    <w:p w14:paraId="7DCCD3E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4.3服务单位必须按合同约定提供技术服务，技术服务工作必须满足服务要求。</w:t>
      </w:r>
    </w:p>
    <w:p w14:paraId="793678F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4.4未经采购人同意，不能将项目及成果文件转让给第三方。</w:t>
      </w:r>
    </w:p>
    <w:p w14:paraId="0E7E723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4.5人员保证与变更</w:t>
      </w:r>
    </w:p>
    <w:p w14:paraId="08FE862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⑴ 服务单位应按</w:t>
      </w:r>
      <w:r>
        <w:rPr>
          <w:rFonts w:hint="eastAsia" w:ascii="宋体" w:hAnsi="宋体" w:cs="宋体"/>
          <w:sz w:val="24"/>
          <w:szCs w:val="24"/>
          <w:lang w:eastAsia="zh-CN"/>
        </w:rPr>
        <w:t>磋商</w:t>
      </w:r>
      <w:r>
        <w:rPr>
          <w:rFonts w:hint="eastAsia" w:ascii="宋体" w:hAnsi="宋体" w:cs="宋体"/>
          <w:sz w:val="24"/>
          <w:szCs w:val="24"/>
        </w:rPr>
        <w:t>响应文件中承诺的人员投入工作，在服务过程应保持人员的相对稳定。确需调整，应报经采购人批准。</w:t>
      </w:r>
    </w:p>
    <w:p w14:paraId="5333412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⑵ 如果服务单位的人员渎职或不能胜任工作或从事其他违法活动，采购人有权书面要求更换，服务单位应立即派出具有同等或以上资历的人员替换；若非因上述原因，服务单位有权拒绝。</w:t>
      </w:r>
    </w:p>
    <w:p w14:paraId="6855AD7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⑶ 若服务单位的服务没有达到服务单位</w:t>
      </w:r>
      <w:r>
        <w:rPr>
          <w:rFonts w:hint="eastAsia" w:ascii="宋体" w:hAnsi="宋体" w:cs="宋体"/>
          <w:sz w:val="24"/>
          <w:szCs w:val="24"/>
          <w:lang w:eastAsia="zh-CN"/>
        </w:rPr>
        <w:t>磋商</w:t>
      </w:r>
      <w:r>
        <w:rPr>
          <w:rFonts w:hint="eastAsia" w:ascii="宋体" w:hAnsi="宋体" w:cs="宋体"/>
          <w:sz w:val="24"/>
          <w:szCs w:val="24"/>
        </w:rPr>
        <w:t>响应文件中的承诺，采购人有权提出要求增加工作人员，服务单位应立即安排，其费用被认为已包含在合同价格之中。</w:t>
      </w:r>
    </w:p>
    <w:p w14:paraId="7B3BA8D3">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4.6若服务单位在合同履行期间发生人员伤亡或财产的损失，或者造成第三方的人员伤亡或财产损失，服务单位应承担全部责任，并保障采购人免于承担由此造成的一切损害和损失。</w:t>
      </w:r>
    </w:p>
    <w:p w14:paraId="58E8A3C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4.7服务单位负责定期向采购人报告工作进展情况。</w:t>
      </w:r>
    </w:p>
    <w:p w14:paraId="5D2BC22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4.8乙方应根据采购人的要求，就项目加强与相关部门的协调衔接，及时向与项目有关的其它单位提供项目资料。</w:t>
      </w:r>
    </w:p>
    <w:p w14:paraId="46BF6734">
      <w:pPr>
        <w:keepNext/>
        <w:keepLines/>
        <w:numPr>
          <w:ilvl w:val="2"/>
          <w:numId w:val="0"/>
        </w:numPr>
        <w:spacing w:line="360" w:lineRule="auto"/>
        <w:jc w:val="center"/>
        <w:outlineLvl w:val="2"/>
        <w:rPr>
          <w:rFonts w:hint="eastAsia" w:ascii="宋体" w:hAnsi="宋体" w:cs="宋体"/>
          <w:b/>
          <w:bCs/>
          <w:sz w:val="24"/>
          <w:szCs w:val="24"/>
        </w:rPr>
      </w:pPr>
      <w:bookmarkStart w:id="103" w:name="_Toc381015377"/>
      <w:bookmarkStart w:id="104" w:name="_Toc470619305"/>
      <w:bookmarkStart w:id="105" w:name="_Toc390785021"/>
      <w:bookmarkStart w:id="106" w:name="_Toc40280344"/>
      <w:bookmarkStart w:id="107" w:name="_Toc313903291"/>
      <w:bookmarkStart w:id="108" w:name="_Toc387768384"/>
      <w:bookmarkStart w:id="109" w:name="_Toc387773191"/>
      <w:r>
        <w:rPr>
          <w:rFonts w:hint="eastAsia" w:ascii="宋体" w:hAnsi="宋体" w:cs="宋体"/>
          <w:b/>
          <w:bCs/>
          <w:sz w:val="24"/>
          <w:szCs w:val="24"/>
        </w:rPr>
        <w:t>五、违约与赔偿</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1653AAD">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5.1采购人的违约</w:t>
      </w:r>
    </w:p>
    <w:p w14:paraId="184A1D4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⑴ 由于采购人变更计划，或未按期提供必需的资料、工作条件，而造成返工或修改，采购人应按服务单位实际增加的工作量（以服务单位已提供的成果为准）支付服务单位增加工作量的费用，由此拖延的周期应由采购人负责。</w:t>
      </w:r>
    </w:p>
    <w:p w14:paraId="24E1362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⑵ 在合同履行期间，采购人要求终止或解除合同（但仅指非服务单位原因造成），采购人应按服务单位完成的实际工作量支付费用。</w:t>
      </w:r>
    </w:p>
    <w:p w14:paraId="5DBB603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5.2服务单位的违约</w:t>
      </w:r>
    </w:p>
    <w:p w14:paraId="449E7BD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⑴ 如果乙方将任务转包或者未经甲方同意分包，除由有关部门给予处罚外，甲方将扣除合同价的5%～10%，作为罚金。</w:t>
      </w:r>
    </w:p>
    <w:p w14:paraId="37CB54B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⑵ 乙方未按照国家现行的标准或规范开展工作，或未根据甲方的指令进行变更，给甲方造成损失等，如发生上述任何行为，除由有关部门给予处罚外，甲方将扣除合同价的5%～10%作为罚金。</w:t>
      </w:r>
    </w:p>
    <w:p w14:paraId="1EFECF84">
      <w:pPr>
        <w:snapToGrid w:val="0"/>
        <w:spacing w:line="360" w:lineRule="auto"/>
        <w:ind w:firstLine="480" w:firstLineChars="200"/>
        <w:contextualSpacing/>
        <w:rPr>
          <w:rFonts w:hint="eastAsia" w:ascii="宋体" w:hAnsi="宋体" w:eastAsia="宋体" w:cs="宋体"/>
          <w:sz w:val="24"/>
          <w:szCs w:val="24"/>
        </w:rPr>
      </w:pPr>
      <w:r>
        <w:rPr>
          <w:rFonts w:hint="eastAsia" w:ascii="宋体" w:hAnsi="宋体" w:cs="宋体"/>
          <w:sz w:val="24"/>
          <w:szCs w:val="24"/>
        </w:rPr>
        <w:t xml:space="preserve">⑶ </w:t>
      </w:r>
      <w:r>
        <w:rPr>
          <w:rFonts w:hint="eastAsia" w:ascii="宋体" w:hAnsi="宋体" w:eastAsia="宋体" w:cs="宋体"/>
          <w:sz w:val="24"/>
          <w:szCs w:val="24"/>
          <w:lang w:val="en-US" w:eastAsia="zh-CN"/>
        </w:rPr>
        <w:t>乙方</w:t>
      </w:r>
      <w:r>
        <w:rPr>
          <w:rFonts w:hint="eastAsia" w:ascii="宋体" w:hAnsi="宋体" w:eastAsia="宋体" w:cs="宋体"/>
          <w:sz w:val="24"/>
          <w:szCs w:val="24"/>
        </w:rPr>
        <w:t>严格按照</w:t>
      </w:r>
      <w:r>
        <w:rPr>
          <w:rFonts w:hint="eastAsia" w:ascii="宋体" w:hAnsi="宋体" w:eastAsia="宋体" w:cs="宋体"/>
          <w:sz w:val="24"/>
          <w:szCs w:val="24"/>
          <w:lang w:eastAsia="zh-CN"/>
        </w:rPr>
        <w:t>磋商</w:t>
      </w:r>
      <w:r>
        <w:rPr>
          <w:rFonts w:hint="eastAsia" w:ascii="宋体" w:hAnsi="宋体" w:eastAsia="宋体" w:cs="宋体"/>
          <w:sz w:val="24"/>
          <w:szCs w:val="24"/>
        </w:rPr>
        <w:t>响应文件承诺按时组织技术服务人员到位，原则上不得更换，若需更换必须征得</w:t>
      </w:r>
      <w:r>
        <w:rPr>
          <w:rFonts w:hint="eastAsia" w:ascii="宋体" w:hAnsi="宋体" w:eastAsia="宋体" w:cs="宋体"/>
          <w:sz w:val="24"/>
          <w:szCs w:val="24"/>
          <w:lang w:val="en-US" w:eastAsia="zh-CN"/>
        </w:rPr>
        <w:t>甲方</w:t>
      </w:r>
      <w:r>
        <w:rPr>
          <w:rFonts w:hint="eastAsia" w:ascii="宋体" w:hAnsi="宋体" w:eastAsia="宋体" w:cs="宋体"/>
          <w:sz w:val="24"/>
          <w:szCs w:val="24"/>
        </w:rPr>
        <w:t>同意且不得低于原</w:t>
      </w:r>
      <w:r>
        <w:rPr>
          <w:rFonts w:hint="eastAsia" w:ascii="宋体" w:hAnsi="宋体" w:eastAsia="宋体" w:cs="宋体"/>
          <w:sz w:val="24"/>
          <w:szCs w:val="24"/>
          <w:lang w:val="en-US" w:eastAsia="zh-CN"/>
        </w:rPr>
        <w:t>有</w:t>
      </w:r>
      <w:r>
        <w:rPr>
          <w:rFonts w:hint="eastAsia" w:ascii="宋体" w:hAnsi="宋体" w:eastAsia="宋体" w:cs="宋体"/>
          <w:sz w:val="24"/>
          <w:szCs w:val="24"/>
        </w:rPr>
        <w:t>人员</w:t>
      </w:r>
      <w:r>
        <w:rPr>
          <w:rFonts w:hint="eastAsia" w:ascii="宋体" w:hAnsi="宋体" w:eastAsia="宋体" w:cs="宋体"/>
          <w:sz w:val="24"/>
          <w:szCs w:val="24"/>
          <w:lang w:val="en-US" w:eastAsia="zh-CN"/>
        </w:rPr>
        <w:t>水平</w:t>
      </w:r>
      <w:r>
        <w:rPr>
          <w:rFonts w:hint="eastAsia" w:ascii="宋体" w:hAnsi="宋体" w:eastAsia="宋体" w:cs="宋体"/>
          <w:sz w:val="24"/>
          <w:szCs w:val="24"/>
        </w:rPr>
        <w:t>。</w:t>
      </w:r>
      <w:r>
        <w:rPr>
          <w:rFonts w:hint="eastAsia" w:ascii="宋体" w:hAnsi="宋体" w:eastAsia="宋体" w:cs="宋体"/>
          <w:sz w:val="24"/>
          <w:szCs w:val="24"/>
          <w:lang w:val="en-US" w:eastAsia="zh-CN"/>
        </w:rPr>
        <w:t>乙方</w:t>
      </w:r>
      <w:r>
        <w:rPr>
          <w:rFonts w:hint="eastAsia" w:ascii="宋体" w:hAnsi="宋体" w:eastAsia="宋体" w:cs="宋体"/>
          <w:sz w:val="24"/>
          <w:szCs w:val="24"/>
        </w:rPr>
        <w:t>向</w:t>
      </w:r>
      <w:r>
        <w:rPr>
          <w:rFonts w:hint="eastAsia" w:ascii="宋体" w:hAnsi="宋体" w:eastAsia="宋体" w:cs="宋体"/>
          <w:sz w:val="24"/>
          <w:szCs w:val="24"/>
          <w:lang w:val="en-US" w:eastAsia="zh-CN"/>
        </w:rPr>
        <w:t>甲方</w:t>
      </w:r>
      <w:r>
        <w:rPr>
          <w:rFonts w:hint="eastAsia" w:ascii="宋体" w:hAnsi="宋体" w:eastAsia="宋体" w:cs="宋体"/>
          <w:sz w:val="24"/>
          <w:szCs w:val="24"/>
        </w:rPr>
        <w:t>书面申请但未获</w:t>
      </w:r>
      <w:r>
        <w:rPr>
          <w:rFonts w:hint="eastAsia" w:ascii="宋体" w:hAnsi="宋体" w:cs="宋体"/>
          <w:sz w:val="24"/>
          <w:szCs w:val="24"/>
          <w:lang w:val="en-US" w:eastAsia="zh-CN"/>
        </w:rPr>
        <w:t>批</w:t>
      </w:r>
      <w:r>
        <w:rPr>
          <w:rFonts w:hint="eastAsia" w:ascii="宋体" w:hAnsi="宋体" w:eastAsia="宋体" w:cs="宋体"/>
          <w:sz w:val="24"/>
          <w:szCs w:val="24"/>
        </w:rPr>
        <w:t>或</w:t>
      </w:r>
      <w:r>
        <w:rPr>
          <w:rFonts w:hint="eastAsia" w:ascii="宋体" w:hAnsi="宋体" w:eastAsia="宋体" w:cs="宋体"/>
          <w:sz w:val="24"/>
          <w:szCs w:val="24"/>
          <w:lang w:val="en-US" w:eastAsia="zh-CN"/>
        </w:rPr>
        <w:t>乙方</w:t>
      </w:r>
      <w:r>
        <w:rPr>
          <w:rFonts w:hint="eastAsia" w:ascii="宋体" w:hAnsi="宋体" w:eastAsia="宋体" w:cs="宋体"/>
          <w:sz w:val="24"/>
          <w:szCs w:val="24"/>
        </w:rPr>
        <w:t>擅自进行人员更换的，将被视为</w:t>
      </w:r>
      <w:r>
        <w:rPr>
          <w:rFonts w:hint="eastAsia" w:ascii="宋体" w:hAnsi="宋体" w:eastAsia="宋体" w:cs="宋体"/>
          <w:sz w:val="24"/>
          <w:szCs w:val="24"/>
          <w:lang w:val="en-US" w:eastAsia="zh-CN"/>
        </w:rPr>
        <w:t>乙方</w:t>
      </w:r>
      <w:r>
        <w:rPr>
          <w:rFonts w:hint="eastAsia" w:ascii="宋体" w:hAnsi="宋体" w:eastAsia="宋体" w:cs="宋体"/>
          <w:sz w:val="24"/>
          <w:szCs w:val="24"/>
        </w:rPr>
        <w:t>违约，</w:t>
      </w:r>
      <w:r>
        <w:rPr>
          <w:rFonts w:hint="eastAsia" w:ascii="宋体" w:hAnsi="宋体" w:eastAsia="宋体" w:cs="宋体"/>
          <w:sz w:val="24"/>
          <w:szCs w:val="24"/>
          <w:lang w:val="en-US" w:eastAsia="zh-CN"/>
        </w:rPr>
        <w:t>甲方</w:t>
      </w:r>
      <w:r>
        <w:rPr>
          <w:rFonts w:hint="eastAsia" w:ascii="宋体" w:hAnsi="宋体" w:eastAsia="宋体" w:cs="宋体"/>
          <w:sz w:val="24"/>
          <w:szCs w:val="24"/>
        </w:rPr>
        <w:t>将按如下标准扣除</w:t>
      </w:r>
      <w:r>
        <w:rPr>
          <w:rFonts w:hint="eastAsia" w:ascii="宋体" w:hAnsi="宋体" w:eastAsia="宋体" w:cs="宋体"/>
          <w:sz w:val="24"/>
          <w:szCs w:val="24"/>
          <w:lang w:val="en-US" w:eastAsia="zh-CN"/>
        </w:rPr>
        <w:t>乙方</w:t>
      </w:r>
      <w:r>
        <w:rPr>
          <w:rFonts w:hint="eastAsia" w:ascii="宋体" w:hAnsi="宋体" w:eastAsia="宋体" w:cs="宋体"/>
          <w:sz w:val="24"/>
          <w:szCs w:val="24"/>
        </w:rPr>
        <w:t xml:space="preserve">违约金：擅自更换项目负责人 </w:t>
      </w:r>
      <w:r>
        <w:rPr>
          <w:rFonts w:hint="eastAsia" w:ascii="宋体" w:hAnsi="宋体" w:eastAsia="宋体" w:cs="宋体"/>
          <w:sz w:val="24"/>
          <w:szCs w:val="24"/>
          <w:lang w:val="en-US" w:eastAsia="zh-CN"/>
        </w:rPr>
        <w:t>10</w:t>
      </w:r>
      <w:r>
        <w:rPr>
          <w:rFonts w:hint="eastAsia" w:ascii="宋体" w:hAnsi="宋体" w:eastAsia="宋体" w:cs="宋体"/>
          <w:sz w:val="24"/>
          <w:szCs w:val="24"/>
        </w:rPr>
        <w:t>0000 元/次，擅自更换</w:t>
      </w:r>
      <w:r>
        <w:rPr>
          <w:rFonts w:hint="eastAsia" w:ascii="宋体" w:hAnsi="宋体" w:eastAsia="宋体" w:cs="宋体"/>
          <w:sz w:val="24"/>
          <w:szCs w:val="24"/>
          <w:lang w:val="en-US" w:eastAsia="zh-CN"/>
        </w:rPr>
        <w:t>其他</w:t>
      </w:r>
      <w:r>
        <w:rPr>
          <w:rFonts w:hint="eastAsia" w:ascii="宋体" w:hAnsi="宋体" w:eastAsia="宋体" w:cs="宋体"/>
          <w:sz w:val="24"/>
          <w:szCs w:val="24"/>
        </w:rPr>
        <w:t>人员</w:t>
      </w:r>
      <w:r>
        <w:rPr>
          <w:rFonts w:hint="eastAsia" w:ascii="宋体" w:hAnsi="宋体" w:eastAsia="宋体" w:cs="宋体"/>
          <w:sz w:val="24"/>
          <w:szCs w:val="24"/>
          <w:lang w:val="en-US" w:eastAsia="zh-CN"/>
        </w:rPr>
        <w:t>5</w:t>
      </w:r>
      <w:r>
        <w:rPr>
          <w:rFonts w:hint="eastAsia" w:ascii="宋体" w:hAnsi="宋体" w:eastAsia="宋体" w:cs="宋体"/>
          <w:sz w:val="24"/>
          <w:szCs w:val="24"/>
        </w:rPr>
        <w:t>0000 元/人•次。</w:t>
      </w:r>
    </w:p>
    <w:p w14:paraId="47F12636">
      <w:pPr>
        <w:snapToGrid w:val="0"/>
        <w:spacing w:line="360" w:lineRule="auto"/>
        <w:ind w:firstLine="480" w:firstLineChars="200"/>
        <w:contextualSpacing/>
        <w:rPr>
          <w:rFonts w:hint="eastAsia" w:ascii="宋体" w:hAnsi="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向</w:t>
      </w:r>
      <w:r>
        <w:rPr>
          <w:rFonts w:hint="eastAsia" w:ascii="宋体" w:hAnsi="宋体" w:eastAsia="宋体" w:cs="宋体"/>
          <w:sz w:val="24"/>
          <w:szCs w:val="24"/>
          <w:lang w:val="en-US" w:eastAsia="zh-CN"/>
        </w:rPr>
        <w:t>甲方</w:t>
      </w:r>
      <w:r>
        <w:rPr>
          <w:rFonts w:hint="eastAsia" w:ascii="宋体" w:hAnsi="宋体" w:eastAsia="宋体" w:cs="宋体"/>
          <w:sz w:val="24"/>
          <w:szCs w:val="24"/>
        </w:rPr>
        <w:t>书面申请</w:t>
      </w:r>
      <w:r>
        <w:rPr>
          <w:rFonts w:hint="eastAsia" w:ascii="宋体" w:hAnsi="宋体" w:cs="宋体"/>
          <w:sz w:val="24"/>
          <w:szCs w:val="24"/>
          <w:lang w:val="en-US" w:eastAsia="zh-CN"/>
        </w:rPr>
        <w:t>获批</w:t>
      </w:r>
      <w:r>
        <w:rPr>
          <w:rFonts w:hint="eastAsia" w:ascii="宋体" w:hAnsi="宋体" w:eastAsia="宋体" w:cs="宋体"/>
          <w:sz w:val="24"/>
          <w:szCs w:val="24"/>
        </w:rPr>
        <w:t>后，方可进行人员的更换，并保证调整后不得低于原有</w:t>
      </w:r>
      <w:r>
        <w:rPr>
          <w:rFonts w:hint="eastAsia" w:ascii="宋体" w:hAnsi="宋体" w:eastAsia="宋体" w:cs="宋体"/>
          <w:sz w:val="24"/>
          <w:szCs w:val="24"/>
          <w:lang w:val="en-US" w:eastAsia="zh-CN"/>
        </w:rPr>
        <w:t>人员</w:t>
      </w:r>
      <w:r>
        <w:rPr>
          <w:rFonts w:hint="eastAsia" w:ascii="宋体" w:hAnsi="宋体" w:eastAsia="宋体" w:cs="宋体"/>
          <w:sz w:val="24"/>
          <w:szCs w:val="24"/>
        </w:rPr>
        <w:t>水平，且</w:t>
      </w:r>
      <w:r>
        <w:rPr>
          <w:rFonts w:hint="eastAsia" w:ascii="宋体" w:hAnsi="宋体" w:eastAsia="宋体" w:cs="宋体"/>
          <w:sz w:val="24"/>
          <w:szCs w:val="24"/>
          <w:lang w:val="en-US" w:eastAsia="zh-CN"/>
        </w:rPr>
        <w:t>甲方</w:t>
      </w:r>
      <w:r>
        <w:rPr>
          <w:rFonts w:hint="eastAsia" w:ascii="宋体" w:hAnsi="宋体" w:eastAsia="宋体" w:cs="宋体"/>
          <w:sz w:val="24"/>
          <w:szCs w:val="24"/>
        </w:rPr>
        <w:t>将按如下标准扣除</w:t>
      </w:r>
      <w:r>
        <w:rPr>
          <w:rFonts w:hint="eastAsia" w:ascii="宋体" w:hAnsi="宋体" w:eastAsia="宋体" w:cs="宋体"/>
          <w:sz w:val="24"/>
          <w:szCs w:val="24"/>
          <w:lang w:val="en-US" w:eastAsia="zh-CN"/>
        </w:rPr>
        <w:t>乙方</w:t>
      </w:r>
      <w:r>
        <w:rPr>
          <w:rFonts w:hint="eastAsia" w:ascii="宋体" w:hAnsi="宋体" w:eastAsia="宋体" w:cs="宋体"/>
          <w:sz w:val="24"/>
          <w:szCs w:val="24"/>
        </w:rPr>
        <w:t>违约金：更换项目负责人 5</w:t>
      </w:r>
      <w:r>
        <w:rPr>
          <w:rFonts w:hint="eastAsia" w:ascii="宋体" w:hAnsi="宋体" w:eastAsia="宋体" w:cs="宋体"/>
          <w:sz w:val="24"/>
          <w:szCs w:val="24"/>
          <w:lang w:val="en-US" w:eastAsia="zh-CN"/>
        </w:rPr>
        <w:t>0</w:t>
      </w:r>
      <w:r>
        <w:rPr>
          <w:rFonts w:hint="eastAsia" w:ascii="宋体" w:hAnsi="宋体" w:eastAsia="宋体" w:cs="宋体"/>
          <w:sz w:val="24"/>
          <w:szCs w:val="24"/>
        </w:rPr>
        <w:t>000 元/人•次，更换</w:t>
      </w:r>
      <w:r>
        <w:rPr>
          <w:rFonts w:hint="eastAsia" w:ascii="宋体" w:hAnsi="宋体" w:eastAsia="宋体" w:cs="宋体"/>
          <w:sz w:val="24"/>
          <w:szCs w:val="24"/>
          <w:lang w:val="en-US" w:eastAsia="zh-CN"/>
        </w:rPr>
        <w:t>其他人员2</w:t>
      </w:r>
      <w:r>
        <w:rPr>
          <w:rFonts w:hint="eastAsia" w:ascii="宋体" w:hAnsi="宋体" w:eastAsia="宋体" w:cs="宋体"/>
          <w:sz w:val="24"/>
          <w:szCs w:val="24"/>
        </w:rPr>
        <w:t>5000 元/人• 次。</w:t>
      </w:r>
    </w:p>
    <w:p w14:paraId="7F07486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⑷合同生效后，如乙方提出终止合同，除履约保证金不予退还外，还应承担由此给甲方带来的一切直接损失。</w:t>
      </w:r>
    </w:p>
    <w:p w14:paraId="5800B996">
      <w:pPr>
        <w:snapToGrid w:val="0"/>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 5 \* GB2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⑸</w:t>
      </w:r>
      <w:r>
        <w:rPr>
          <w:rFonts w:hint="eastAsia" w:ascii="宋体" w:hAnsi="宋体" w:eastAsia="宋体" w:cs="宋体"/>
          <w:sz w:val="24"/>
          <w:szCs w:val="24"/>
          <w:lang w:eastAsia="zh-CN"/>
        </w:rPr>
        <w:fldChar w:fldCharType="end"/>
      </w:r>
      <w:r>
        <w:rPr>
          <w:rFonts w:hint="eastAsia" w:ascii="宋体" w:hAnsi="宋体" w:eastAsia="宋体" w:cs="宋体"/>
          <w:sz w:val="24"/>
          <w:szCs w:val="24"/>
        </w:rPr>
        <w:t>属于下述</w:t>
      </w:r>
      <w:r>
        <w:rPr>
          <w:rFonts w:hint="eastAsia" w:ascii="宋体" w:hAnsi="宋体" w:eastAsia="宋体" w:cs="宋体"/>
          <w:sz w:val="24"/>
          <w:szCs w:val="24"/>
          <w:lang w:val="en-US" w:eastAsia="zh-CN"/>
        </w:rPr>
        <w:t>严重</w:t>
      </w:r>
      <w:r>
        <w:rPr>
          <w:rFonts w:hint="eastAsia" w:ascii="宋体" w:hAnsi="宋体" w:eastAsia="宋体" w:cs="宋体"/>
          <w:sz w:val="24"/>
          <w:szCs w:val="24"/>
        </w:rPr>
        <w:t>违约情形的，采购人有权终止合同。</w:t>
      </w:r>
    </w:p>
    <w:p w14:paraId="6450C9B2">
      <w:pPr>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中标人中途单方面终止合同。</w:t>
      </w:r>
    </w:p>
    <w:p w14:paraId="24166198">
      <w:pPr>
        <w:snapToGrid w:val="0"/>
        <w:spacing w:line="360" w:lineRule="auto"/>
        <w:ind w:firstLine="480" w:firstLineChars="200"/>
        <w:contextualSpacing/>
        <w:rPr>
          <w:rFonts w:hint="eastAsia" w:ascii="宋体" w:hAnsi="宋体" w:cs="宋体"/>
          <w:sz w:val="24"/>
          <w:szCs w:val="24"/>
        </w:rPr>
      </w:pPr>
      <w:r>
        <w:rPr>
          <w:rFonts w:hint="eastAsia" w:ascii="宋体" w:hAnsi="宋体" w:eastAsia="宋体" w:cs="宋体"/>
          <w:sz w:val="24"/>
          <w:szCs w:val="24"/>
          <w:lang w:val="en-US" w:eastAsia="zh-CN"/>
        </w:rPr>
        <w:t>②中标人连续三次未在规定响应时间内提供运维服务。</w:t>
      </w:r>
    </w:p>
    <w:p w14:paraId="185AD25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若发生上述⑴—⑵情况中任一款甲方有权收回已委托乙方的全部或部分工作，乙方无条件接受。</w:t>
      </w:r>
    </w:p>
    <w:p w14:paraId="7A506B0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5.3责任的期限</w:t>
      </w:r>
    </w:p>
    <w:p w14:paraId="224DA2B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服务单位与采购人双方的责任与义务期限为合同协议书或合同条款规定的时间范围。</w:t>
      </w:r>
    </w:p>
    <w:p w14:paraId="00F2C50A">
      <w:pPr>
        <w:keepNext/>
        <w:keepLines/>
        <w:numPr>
          <w:ilvl w:val="2"/>
          <w:numId w:val="0"/>
        </w:numPr>
        <w:spacing w:line="360" w:lineRule="auto"/>
        <w:jc w:val="center"/>
        <w:outlineLvl w:val="2"/>
        <w:rPr>
          <w:rFonts w:hint="eastAsia" w:ascii="宋体" w:hAnsi="宋体" w:cs="宋体"/>
          <w:b/>
          <w:bCs/>
          <w:sz w:val="24"/>
          <w:szCs w:val="24"/>
        </w:rPr>
      </w:pPr>
      <w:bookmarkStart w:id="110" w:name="_Toc230492381"/>
      <w:bookmarkStart w:id="111" w:name="_Toc14857562"/>
      <w:bookmarkStart w:id="112" w:name="_Toc470619306"/>
      <w:bookmarkStart w:id="113" w:name="_Toc387773192"/>
      <w:bookmarkStart w:id="114" w:name="_Toc40280345"/>
      <w:bookmarkStart w:id="115" w:name="_Toc390785022"/>
      <w:bookmarkStart w:id="116" w:name="_Toc275422874"/>
      <w:bookmarkStart w:id="117" w:name="_Toc275422758"/>
      <w:bookmarkStart w:id="118" w:name="_Toc381015378"/>
      <w:bookmarkStart w:id="119" w:name="_Toc295408759"/>
      <w:bookmarkStart w:id="120" w:name="_Toc10189313"/>
      <w:bookmarkStart w:id="121" w:name="_Toc286308347"/>
      <w:bookmarkStart w:id="122" w:name="_Toc387768385"/>
      <w:bookmarkStart w:id="123" w:name="_Toc313903292"/>
      <w:r>
        <w:rPr>
          <w:rFonts w:hint="eastAsia" w:ascii="宋体" w:hAnsi="宋体" w:cs="宋体"/>
          <w:b/>
          <w:bCs/>
          <w:sz w:val="24"/>
          <w:szCs w:val="24"/>
        </w:rPr>
        <w:t>六、合同的开始、完成、变更与终止</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79F090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6.1合同的生效</w:t>
      </w:r>
    </w:p>
    <w:p w14:paraId="30FFC48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合同书自双方签字盖章后所有合同文件生效。服务单位工作的开始和完成时间按照合同书的规定执行。</w:t>
      </w:r>
    </w:p>
    <w:p w14:paraId="6A5EFBB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6.2延误</w:t>
      </w:r>
    </w:p>
    <w:p w14:paraId="0D25435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由于采购人或不可预见的自然或社会因素，导致服务增加和时间延续则：</w:t>
      </w:r>
    </w:p>
    <w:p w14:paraId="68ED464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（1）服务单位应将此情况与可能产生的影响尽快通知采购人，并采取合理措施使损失减少到最小；</w:t>
      </w:r>
    </w:p>
    <w:p w14:paraId="2E0353A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（2）服务单位应保持详细原始记录作为采购人支付费用的依据。</w:t>
      </w:r>
    </w:p>
    <w:p w14:paraId="2918800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采购人在与服务单位协商后应相应地延长服务单位的工作期限并增付费用。</w:t>
      </w:r>
    </w:p>
    <w:p w14:paraId="34B9F35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6.3变更</w:t>
      </w:r>
    </w:p>
    <w:p w14:paraId="0C42F24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在履约期内，经双方协商一致，可就合同约定内容、合同时间等以补充合同的方式进行变更。此类工作应视为已含入相关报价中，采购人不再另行支付费用。</w:t>
      </w:r>
    </w:p>
    <w:p w14:paraId="16F6EF7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6.4推迟与终止</w:t>
      </w:r>
    </w:p>
    <w:p w14:paraId="40D80BE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（1）采购人可以在至少28天以前以书面形式通知服务单位暂停全部或部分工作或终止本合同协议书，一旦收到此类通知，服务单位应立即安排停止计划并将开支减到最小。</w:t>
      </w:r>
    </w:p>
    <w:p w14:paraId="717EB9D3">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采购人认为服务单位无正当理由而未履行本合同规定的责任与义务时，应书面通知服务单位，并说明理由。若采购人在21天内没有收到满意的答复，采购人可以发出进一步的通知终止本合同，但此进一步的通知必须在第一个通知发出28天后发出。</w:t>
      </w:r>
    </w:p>
    <w:p w14:paraId="66F90B3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（3）费用结清后，本合同自动终止。</w:t>
      </w:r>
    </w:p>
    <w:p w14:paraId="5EE8817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6.5合同终止不影响权利和责任</w:t>
      </w:r>
    </w:p>
    <w:p w14:paraId="153CE6C1">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不论何种原因，本合同的终止，不应损害和影响各方应有权利、索赔要求和应负的责任。</w:t>
      </w:r>
    </w:p>
    <w:p w14:paraId="7813E1B2">
      <w:pPr>
        <w:keepNext/>
        <w:keepLines/>
        <w:numPr>
          <w:ilvl w:val="2"/>
          <w:numId w:val="0"/>
        </w:numPr>
        <w:spacing w:line="360" w:lineRule="auto"/>
        <w:jc w:val="center"/>
        <w:outlineLvl w:val="2"/>
        <w:rPr>
          <w:rFonts w:hint="eastAsia" w:ascii="宋体" w:hAnsi="宋体" w:cs="宋体"/>
          <w:b/>
          <w:bCs/>
          <w:sz w:val="24"/>
          <w:szCs w:val="24"/>
        </w:rPr>
      </w:pPr>
      <w:bookmarkStart w:id="124" w:name="_Toc40280346"/>
      <w:bookmarkStart w:id="125" w:name="_Toc286308348"/>
      <w:bookmarkStart w:id="126" w:name="_Toc230492382"/>
      <w:bookmarkStart w:id="127" w:name="_Toc470619307"/>
      <w:bookmarkStart w:id="128" w:name="_Toc295408760"/>
      <w:bookmarkStart w:id="129" w:name="_Toc387768386"/>
      <w:bookmarkStart w:id="130" w:name="_Toc10189314"/>
      <w:bookmarkStart w:id="131" w:name="_Toc275422875"/>
      <w:bookmarkStart w:id="132" w:name="_Toc381015379"/>
      <w:bookmarkStart w:id="133" w:name="_Toc313903293"/>
      <w:bookmarkStart w:id="134" w:name="_Toc387773193"/>
      <w:bookmarkStart w:id="135" w:name="_Toc14857563"/>
      <w:bookmarkStart w:id="136" w:name="_Toc275422759"/>
      <w:bookmarkStart w:id="137" w:name="_Toc390785023"/>
      <w:r>
        <w:rPr>
          <w:rFonts w:hint="eastAsia" w:ascii="宋体" w:hAnsi="宋体" w:cs="宋体"/>
          <w:b/>
          <w:bCs/>
          <w:sz w:val="24"/>
          <w:szCs w:val="24"/>
        </w:rPr>
        <w:t>七、费用与支付</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5121FF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7.1服务费用</w:t>
      </w:r>
    </w:p>
    <w:p w14:paraId="1E3D1EE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本合同为固定总价合同。合同价应包括供应商完成本项目的所有工作的技术服务费用、人员费用（包括人员工资（基本工资、加班费、年终奖金）、</w:t>
      </w:r>
      <w:r>
        <w:rPr>
          <w:rFonts w:hint="eastAsia" w:ascii="宋体" w:hAnsi="宋体" w:cs="宋体"/>
          <w:sz w:val="24"/>
          <w:szCs w:val="24"/>
          <w:lang w:eastAsia="zh-CN"/>
        </w:rPr>
        <w:t>运维所需备件费用、福利、社保费</w:t>
      </w:r>
      <w:r>
        <w:rPr>
          <w:rFonts w:hint="eastAsia" w:ascii="宋体" w:hAnsi="宋体" w:cs="宋体"/>
          <w:sz w:val="24"/>
          <w:szCs w:val="24"/>
        </w:rPr>
        <w:t>（五项）及公积金、员工培训费等）、车辆使用一切费用、所需设备仪器使用费用、交通费用、食宿费用、附加服务费用及单位取费（利润、税金、保险费、管理费等）等与履行本合同有关的一切费用以及合同明示或暗示的所有一般风险责任和义务费用。</w:t>
      </w:r>
    </w:p>
    <w:p w14:paraId="1555C55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7.2服务费用的支付</w:t>
      </w:r>
    </w:p>
    <w:p w14:paraId="1BE48B9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本项目为总价合同。签订合同15日内支付预付款为签约合同价的30%。2026年6月底前支付签约合同价的30%。服务期满且完成全部服务并通过验收后付清尾款。</w:t>
      </w:r>
    </w:p>
    <w:p w14:paraId="06E9E3C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注：</w:t>
      </w:r>
    </w:p>
    <w:p w14:paraId="2162E72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）每次付款须按合同扣减违约金和赔偿款；</w:t>
      </w:r>
    </w:p>
    <w:p w14:paraId="73B4505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付款前供应商须提供等额合规发票及相关申请资料，否则采购人可以拒付；</w:t>
      </w:r>
    </w:p>
    <w:p w14:paraId="7476457B">
      <w:pPr>
        <w:snapToGrid w:val="0"/>
        <w:spacing w:line="360" w:lineRule="auto"/>
        <w:ind w:firstLine="480" w:firstLineChars="200"/>
        <w:contextualSpacing/>
        <w:rPr>
          <w:rFonts w:hint="eastAsia" w:ascii="宋体" w:hAnsi="宋体" w:cs="宋体"/>
          <w:sz w:val="24"/>
          <w:szCs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所有付款均不计利息。</w:t>
      </w:r>
    </w:p>
    <w:p w14:paraId="0847DB7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7.3  服务费用的调整</w:t>
      </w:r>
    </w:p>
    <w:p w14:paraId="729D17BD">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在合同实施期间，服务费用不随国家政策或法规、标准及市场因素的变化而进行调整，也不因实际服务周期延长或缩短以及范围的扩大或减小而调整。</w:t>
      </w:r>
    </w:p>
    <w:p w14:paraId="2EDBB165">
      <w:pPr>
        <w:keepNext/>
        <w:keepLines/>
        <w:numPr>
          <w:ilvl w:val="2"/>
          <w:numId w:val="0"/>
        </w:numPr>
        <w:spacing w:line="360" w:lineRule="auto"/>
        <w:jc w:val="center"/>
        <w:outlineLvl w:val="2"/>
        <w:rPr>
          <w:rFonts w:hint="eastAsia" w:ascii="宋体" w:hAnsi="宋体" w:cs="宋体"/>
          <w:b/>
          <w:bCs/>
          <w:sz w:val="24"/>
          <w:szCs w:val="24"/>
        </w:rPr>
      </w:pPr>
      <w:bookmarkStart w:id="138" w:name="_Toc230492383"/>
      <w:bookmarkStart w:id="139" w:name="_Toc14857564"/>
      <w:bookmarkStart w:id="140" w:name="_Toc387773194"/>
      <w:bookmarkStart w:id="141" w:name="_Toc381015380"/>
      <w:bookmarkStart w:id="142" w:name="_Toc470619308"/>
      <w:bookmarkStart w:id="143" w:name="_Toc387768387"/>
      <w:bookmarkStart w:id="144" w:name="_Toc286308349"/>
      <w:bookmarkStart w:id="145" w:name="_Toc275422876"/>
      <w:bookmarkStart w:id="146" w:name="_Toc390785024"/>
      <w:bookmarkStart w:id="147" w:name="_Toc295408761"/>
      <w:bookmarkStart w:id="148" w:name="_Toc40280347"/>
      <w:bookmarkStart w:id="149" w:name="_Toc275422760"/>
      <w:bookmarkStart w:id="150" w:name="_Toc10189315"/>
      <w:bookmarkStart w:id="151" w:name="_Toc313903294"/>
      <w:r>
        <w:rPr>
          <w:rFonts w:hint="eastAsia" w:ascii="宋体" w:hAnsi="宋体" w:cs="宋体"/>
          <w:b/>
          <w:bCs/>
          <w:sz w:val="24"/>
          <w:szCs w:val="24"/>
        </w:rPr>
        <w:t>八、其 它</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4CE1211">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8.1法律和法规</w:t>
      </w:r>
    </w:p>
    <w:p w14:paraId="5C24D1D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本合同必须服从国家的现行法律和法规，对合同的解释应以国家的现行法律和法规为准。</w:t>
      </w:r>
    </w:p>
    <w:p w14:paraId="2B7606A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8.2合同文件的优先次序</w:t>
      </w:r>
    </w:p>
    <w:p w14:paraId="4F5F9E9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组成合同的各个文件应该认为是一个整体，互为补充和解释，如果有模棱两可或互相矛盾处，以下面所列顺序在前者为准：</w:t>
      </w:r>
    </w:p>
    <w:p w14:paraId="011AB4ED">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（1）合同协议书及附件（含补遗书等澄清文件，如果有）；</w:t>
      </w:r>
    </w:p>
    <w:p w14:paraId="259697F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（2）成交通知书；</w:t>
      </w:r>
    </w:p>
    <w:p w14:paraId="37F3091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（3）竞争性</w:t>
      </w:r>
      <w:r>
        <w:rPr>
          <w:rFonts w:hint="eastAsia" w:ascii="宋体" w:hAnsi="宋体" w:cs="宋体"/>
          <w:sz w:val="24"/>
          <w:szCs w:val="24"/>
          <w:lang w:eastAsia="zh-CN"/>
        </w:rPr>
        <w:t>磋商</w:t>
      </w:r>
      <w:r>
        <w:rPr>
          <w:rFonts w:hint="eastAsia" w:ascii="宋体" w:hAnsi="宋体" w:cs="宋体"/>
          <w:sz w:val="24"/>
          <w:szCs w:val="24"/>
        </w:rPr>
        <w:t>响应文件；</w:t>
      </w:r>
    </w:p>
    <w:p w14:paraId="6E8EEEB1">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（4）合同条款；</w:t>
      </w:r>
    </w:p>
    <w:p w14:paraId="018CDFA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（5）项目需求；</w:t>
      </w:r>
    </w:p>
    <w:p w14:paraId="5CC696C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eastAsia="zh-CN"/>
        </w:rPr>
        <w:t>磋商</w:t>
      </w:r>
      <w:r>
        <w:rPr>
          <w:rFonts w:hint="eastAsia" w:ascii="宋体" w:hAnsi="宋体" w:cs="宋体"/>
          <w:sz w:val="24"/>
          <w:szCs w:val="24"/>
        </w:rPr>
        <w:t>响应报价清单；</w:t>
      </w:r>
    </w:p>
    <w:p w14:paraId="0A0A3D8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（7）项目主要参与人员的基本情况；</w:t>
      </w:r>
    </w:p>
    <w:p w14:paraId="61B1AB86">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（8）构成合同的其它文件。</w:t>
      </w:r>
    </w:p>
    <w:p w14:paraId="0B8D7401">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8.3履约保证金详见</w:t>
      </w:r>
      <w:r>
        <w:rPr>
          <w:rFonts w:hint="eastAsia" w:ascii="宋体" w:hAnsi="宋体" w:cs="宋体"/>
          <w:sz w:val="24"/>
          <w:szCs w:val="24"/>
          <w:lang w:eastAsia="zh-CN"/>
        </w:rPr>
        <w:t>磋商</w:t>
      </w:r>
      <w:r>
        <w:rPr>
          <w:rFonts w:hint="eastAsia" w:ascii="宋体" w:hAnsi="宋体" w:cs="宋体"/>
          <w:sz w:val="24"/>
          <w:szCs w:val="24"/>
        </w:rPr>
        <w:t>供应商须知。</w:t>
      </w:r>
    </w:p>
    <w:p w14:paraId="38E8E45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8.4转让和分包</w:t>
      </w:r>
    </w:p>
    <w:p w14:paraId="5007813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（1）禁止服务单位将本合同规定的任务转让出去。</w:t>
      </w:r>
    </w:p>
    <w:p w14:paraId="462E051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（2）没有采购人的同意，服务单位不能将任何任务分包出去。即使得到了采购人的同意，也不应解除服务单位根据合同规定应承担的全部责任和义务，服务单位应对其分包人的工作负全部责任。</w:t>
      </w:r>
    </w:p>
    <w:p w14:paraId="531D7B0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8.5保密性</w:t>
      </w:r>
    </w:p>
    <w:p w14:paraId="1EAA725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供应商在服务过程中应为采购人的数据保密未经采购人授权，不得将保密数据向协议以外的第三方或公众透露，且不得对保密信息进行拷贝和抄写。保密期限为本协议有效期内及本协议有效期限届满之日起五年。</w:t>
      </w:r>
    </w:p>
    <w:p w14:paraId="4EEB95E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8.6争端的解决</w:t>
      </w:r>
    </w:p>
    <w:p w14:paraId="394371D9">
      <w:pPr>
        <w:snapToGrid w:val="0"/>
        <w:spacing w:line="360" w:lineRule="auto"/>
        <w:ind w:firstLine="480" w:firstLineChars="200"/>
        <w:contextualSpacing/>
        <w:rPr>
          <w:rFonts w:hint="eastAsia" w:ascii="宋体" w:hAnsi="宋体" w:cs="宋体"/>
          <w:b/>
          <w:bCs/>
          <w:sz w:val="28"/>
          <w:szCs w:val="28"/>
        </w:rPr>
      </w:pPr>
      <w:r>
        <w:rPr>
          <w:rFonts w:hint="eastAsia" w:ascii="宋体" w:hAnsi="宋体" w:cs="宋体"/>
          <w:sz w:val="24"/>
          <w:szCs w:val="24"/>
        </w:rPr>
        <w:t>本合同在执行过程中，如发生任何争端、纠纷或因违反、终止本合同而引起的对损失损害的任何赔偿，应事先协商，在服务单位和采购人之间达成一致意见。如未能达成一致，向南通仲裁委员会进行仲裁。</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318E8D5">
      <w:pPr>
        <w:spacing w:line="560" w:lineRule="exact"/>
        <w:jc w:val="center"/>
        <w:rPr>
          <w:rFonts w:hint="eastAsia" w:ascii="宋体" w:hAnsi="宋体" w:cs="宋体"/>
          <w:b/>
          <w:bCs/>
          <w:sz w:val="32"/>
        </w:rPr>
      </w:pPr>
      <w:r>
        <w:rPr>
          <w:rFonts w:hint="eastAsia" w:ascii="宋体" w:hAnsi="宋体" w:cs="宋体"/>
          <w:b/>
          <w:bCs/>
          <w:sz w:val="28"/>
          <w:szCs w:val="28"/>
        </w:rPr>
        <w:br w:type="page"/>
      </w:r>
      <w:r>
        <w:rPr>
          <w:rFonts w:hint="eastAsia" w:ascii="宋体" w:hAnsi="宋体" w:cs="宋体"/>
          <w:b/>
          <w:bCs/>
          <w:sz w:val="28"/>
          <w:szCs w:val="28"/>
        </w:rPr>
        <w:t>（二）合同附件格式</w:t>
      </w:r>
    </w:p>
    <w:p w14:paraId="737BC374">
      <w:pPr>
        <w:spacing w:line="460" w:lineRule="exact"/>
        <w:rPr>
          <w:rFonts w:hint="eastAsia" w:ascii="宋体" w:hAnsi="宋体" w:cs="宋体"/>
          <w:b/>
          <w:sz w:val="24"/>
        </w:rPr>
      </w:pPr>
      <w:r>
        <w:rPr>
          <w:rFonts w:hint="eastAsia" w:ascii="宋体" w:hAnsi="宋体" w:cs="宋体"/>
          <w:b/>
          <w:sz w:val="24"/>
        </w:rPr>
        <w:t>附件一： 合同协议书</w:t>
      </w:r>
    </w:p>
    <w:p w14:paraId="10AD5D70">
      <w:pPr>
        <w:spacing w:after="120" w:afterLines="50" w:line="480" w:lineRule="exact"/>
        <w:ind w:firstLine="562" w:firstLineChars="200"/>
        <w:jc w:val="center"/>
        <w:rPr>
          <w:rFonts w:hint="eastAsia" w:ascii="宋体" w:hAnsi="宋体" w:cs="宋体"/>
          <w:b/>
          <w:sz w:val="28"/>
          <w:szCs w:val="28"/>
        </w:rPr>
      </w:pPr>
      <w:r>
        <w:rPr>
          <w:rFonts w:hint="eastAsia" w:ascii="宋体" w:hAnsi="宋体" w:cs="宋体"/>
          <w:b/>
          <w:sz w:val="28"/>
          <w:szCs w:val="28"/>
        </w:rPr>
        <w:t>合同协议书</w:t>
      </w:r>
    </w:p>
    <w:p w14:paraId="7A1734CD">
      <w:pPr>
        <w:spacing w:line="360" w:lineRule="auto"/>
        <w:ind w:firstLine="547" w:firstLineChars="228"/>
        <w:jc w:val="left"/>
        <w:rPr>
          <w:rFonts w:hint="eastAsia" w:ascii="宋体" w:hAnsi="宋体" w:cs="宋体"/>
          <w:sz w:val="24"/>
          <w:szCs w:val="24"/>
        </w:rPr>
      </w:pPr>
      <w:r>
        <w:rPr>
          <w:rFonts w:hint="eastAsia" w:ascii="宋体" w:hAnsi="宋体" w:cs="宋体"/>
          <w:sz w:val="24"/>
          <w:szCs w:val="24"/>
          <w:u w:val="single"/>
        </w:rPr>
        <w:t>南通市公路事业发展中心</w:t>
      </w:r>
      <w:r>
        <w:rPr>
          <w:rFonts w:hint="eastAsia" w:ascii="宋体" w:hAnsi="宋体" w:cs="宋体"/>
          <w:sz w:val="24"/>
          <w:szCs w:val="24"/>
        </w:rPr>
        <w:t>（采购人名称，以下简称“甲方”）为实施</w:t>
      </w:r>
      <w:r>
        <w:rPr>
          <w:rFonts w:hint="eastAsia" w:ascii="宋体" w:hAnsi="宋体" w:cs="宋体"/>
          <w:sz w:val="24"/>
          <w:szCs w:val="24"/>
          <w:u w:val="single"/>
        </w:rPr>
        <w:t xml:space="preserve">          项目</w:t>
      </w:r>
      <w:r>
        <w:rPr>
          <w:rFonts w:hint="eastAsia" w:ascii="宋体" w:hAnsi="宋体" w:cs="宋体"/>
          <w:sz w:val="24"/>
          <w:szCs w:val="24"/>
        </w:rPr>
        <w:t>，已接受</w:t>
      </w:r>
      <w:r>
        <w:rPr>
          <w:rFonts w:hint="eastAsia" w:ascii="宋体" w:hAnsi="宋体" w:cs="宋体"/>
          <w:sz w:val="24"/>
          <w:szCs w:val="24"/>
          <w:u w:val="single"/>
        </w:rPr>
        <w:t xml:space="preserve">               </w:t>
      </w:r>
      <w:r>
        <w:rPr>
          <w:rFonts w:hint="eastAsia" w:ascii="宋体" w:hAnsi="宋体" w:cs="宋体"/>
          <w:sz w:val="24"/>
          <w:szCs w:val="24"/>
        </w:rPr>
        <w:t>（供应商名称，以下简称“乙方”）对该项目的投标。甲方和乙方共同达成如下协议。</w:t>
      </w:r>
    </w:p>
    <w:p w14:paraId="56BB7852">
      <w:pPr>
        <w:tabs>
          <w:tab w:val="left" w:pos="1260"/>
        </w:tabs>
        <w:spacing w:line="360" w:lineRule="auto"/>
        <w:ind w:firstLine="480" w:firstLineChars="200"/>
        <w:rPr>
          <w:rFonts w:hint="eastAsia" w:ascii="宋体" w:hAnsi="宋体" w:cs="宋体"/>
          <w:sz w:val="24"/>
          <w:szCs w:val="24"/>
        </w:rPr>
      </w:pPr>
      <w:r>
        <w:rPr>
          <w:rFonts w:hint="eastAsia" w:ascii="宋体" w:hAnsi="宋体" w:cs="宋体"/>
          <w:sz w:val="24"/>
          <w:szCs w:val="24"/>
        </w:rPr>
        <w:t>1、项目概况、采购范围及内容</w:t>
      </w:r>
    </w:p>
    <w:p w14:paraId="227C89AD">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本项目采购内容为</w:t>
      </w:r>
    </w:p>
    <w:p w14:paraId="2A9E44B1">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①对市中心机房开展基础环境运维服务</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对市中心及下属8个分中心的安全软硬件产品开展</w:t>
      </w:r>
      <w:r>
        <w:rPr>
          <w:rFonts w:hint="eastAsia" w:ascii="宋体" w:eastAsia="宋体" w:cs="宋体"/>
          <w:color w:val="auto"/>
          <w:sz w:val="24"/>
          <w:szCs w:val="24"/>
          <w:highlight w:val="none"/>
          <w:lang w:val="en-US" w:eastAsia="zh-CN"/>
        </w:rPr>
        <w:t>运维</w:t>
      </w:r>
      <w:r>
        <w:rPr>
          <w:rFonts w:hint="eastAsia" w:ascii="宋体" w:eastAsia="宋体" w:cs="宋体"/>
          <w:color w:val="auto"/>
          <w:sz w:val="24"/>
          <w:szCs w:val="24"/>
          <w:highlight w:val="none"/>
        </w:rPr>
        <w:t>服务</w:t>
      </w:r>
      <w:r>
        <w:rPr>
          <w:rFonts w:hint="eastAsia" w:ascii="宋体" w:eastAsia="宋体" w:cs="宋体"/>
          <w:color w:val="auto"/>
          <w:sz w:val="24"/>
          <w:szCs w:val="24"/>
          <w:highlight w:val="none"/>
          <w:lang w:eastAsia="zh-CN"/>
        </w:rPr>
        <w:t>。</w:t>
      </w:r>
    </w:p>
    <w:p w14:paraId="08CE21F0">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②</w:t>
      </w:r>
      <w:r>
        <w:rPr>
          <w:rFonts w:hint="eastAsia" w:ascii="宋体" w:eastAsia="宋体" w:cs="宋体"/>
          <w:color w:val="auto"/>
          <w:sz w:val="24"/>
          <w:szCs w:val="24"/>
          <w:highlight w:val="none"/>
        </w:rPr>
        <w:t>对市中心及分中心开展网络安全运维服务。</w:t>
      </w:r>
    </w:p>
    <w:p w14:paraId="2F245975">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本项目服务</w:t>
      </w:r>
      <w:r>
        <w:rPr>
          <w:rFonts w:hint="eastAsia" w:ascii="宋体" w:eastAsia="宋体" w:cs="宋体"/>
          <w:color w:val="auto"/>
          <w:sz w:val="24"/>
          <w:szCs w:val="24"/>
          <w:highlight w:val="none"/>
          <w:lang w:val="en-US" w:eastAsia="zh-CN"/>
        </w:rPr>
        <w:t>内容</w:t>
      </w:r>
      <w:r>
        <w:rPr>
          <w:rFonts w:hint="eastAsia" w:ascii="宋体" w:eastAsia="宋体" w:cs="宋体"/>
          <w:color w:val="auto"/>
          <w:sz w:val="24"/>
          <w:szCs w:val="24"/>
          <w:highlight w:val="none"/>
        </w:rPr>
        <w:t>、要求具体如下：</w:t>
      </w:r>
    </w:p>
    <w:p w14:paraId="422C2FD3">
      <w:pPr>
        <w:keepNext w:val="0"/>
        <w:keepLines w:val="0"/>
        <w:pageBreakBefore w:val="0"/>
        <w:widowControl w:val="0"/>
        <w:numPr>
          <w:ilvl w:val="0"/>
          <w:numId w:val="6"/>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基础环境运维服务及安全软硬件产品维保服务内容及要求</w:t>
      </w:r>
    </w:p>
    <w:p w14:paraId="28071D9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运维设备及软硬件包括但不限于下表所列内容。</w:t>
      </w:r>
    </w:p>
    <w:p w14:paraId="4397EBF4">
      <w:pPr>
        <w:keepNext w:val="0"/>
        <w:keepLines w:val="0"/>
        <w:pageBreakBefore w:val="0"/>
        <w:widowControl w:val="0"/>
        <w:numPr>
          <w:ilvl w:val="-1"/>
          <w:numId w:val="0"/>
        </w:numP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表1</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437"/>
        <w:gridCol w:w="513"/>
        <w:gridCol w:w="466"/>
        <w:gridCol w:w="1393"/>
        <w:gridCol w:w="1972"/>
        <w:gridCol w:w="2977"/>
      </w:tblGrid>
      <w:tr w14:paraId="3801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4A6A4F11">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793" w:type="pct"/>
            <w:vAlign w:val="center"/>
          </w:tcPr>
          <w:p w14:paraId="5DBDB661">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设施类型</w:t>
            </w:r>
          </w:p>
        </w:tc>
        <w:tc>
          <w:tcPr>
            <w:tcW w:w="294" w:type="pct"/>
            <w:vAlign w:val="center"/>
          </w:tcPr>
          <w:p w14:paraId="64840F6A">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数量</w:t>
            </w:r>
          </w:p>
        </w:tc>
        <w:tc>
          <w:tcPr>
            <w:tcW w:w="269" w:type="pct"/>
            <w:vAlign w:val="center"/>
          </w:tcPr>
          <w:p w14:paraId="30E57762">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单位</w:t>
            </w:r>
          </w:p>
        </w:tc>
        <w:tc>
          <w:tcPr>
            <w:tcW w:w="769" w:type="pct"/>
            <w:vAlign w:val="center"/>
          </w:tcPr>
          <w:p w14:paraId="073A42FC">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服务要求</w:t>
            </w:r>
          </w:p>
        </w:tc>
        <w:tc>
          <w:tcPr>
            <w:tcW w:w="1081" w:type="pct"/>
            <w:vAlign w:val="center"/>
          </w:tcPr>
          <w:p w14:paraId="06725D19">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维护时间</w:t>
            </w:r>
          </w:p>
        </w:tc>
        <w:tc>
          <w:tcPr>
            <w:tcW w:w="1504" w:type="pct"/>
            <w:vAlign w:val="center"/>
          </w:tcPr>
          <w:p w14:paraId="202BD9D1">
            <w:pPr>
              <w:snapToGrid w:val="0"/>
              <w:ind w:left="0" w:leftChars="0" w:right="0" w:righ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对应项目</w:t>
            </w:r>
          </w:p>
        </w:tc>
      </w:tr>
      <w:tr w14:paraId="387B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3252F41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793" w:type="pct"/>
            <w:vAlign w:val="center"/>
          </w:tcPr>
          <w:p w14:paraId="767B068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维谛p2040精密空调</w:t>
            </w:r>
          </w:p>
        </w:tc>
        <w:tc>
          <w:tcPr>
            <w:tcW w:w="294" w:type="pct"/>
            <w:vAlign w:val="center"/>
          </w:tcPr>
          <w:p w14:paraId="063A875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vAlign w:val="center"/>
          </w:tcPr>
          <w:p w14:paraId="72F1C97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vAlign w:val="center"/>
          </w:tcPr>
          <w:p w14:paraId="2D62DEA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设备检修、保养服务、每季度巡检一次</w:t>
            </w:r>
          </w:p>
        </w:tc>
        <w:tc>
          <w:tcPr>
            <w:tcW w:w="1081" w:type="pct"/>
            <w:vAlign w:val="center"/>
          </w:tcPr>
          <w:p w14:paraId="207DA50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Merge w:val="restart"/>
            <w:vAlign w:val="center"/>
          </w:tcPr>
          <w:p w14:paraId="3649521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2018南通市公路管理处数据中心机房升级改造项目采购编号：Z3206011180479（XJ176）、</w:t>
            </w:r>
          </w:p>
          <w:p w14:paraId="2E14F94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2022年南通市公路事业发展中心UPS机房改造及数据中心维保项目  </w:t>
            </w:r>
          </w:p>
          <w:p w14:paraId="07795B0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采购编号：Z320601220330（CS145）</w:t>
            </w:r>
          </w:p>
        </w:tc>
      </w:tr>
      <w:tr w14:paraId="3320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573DAB1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793" w:type="pct"/>
            <w:vAlign w:val="center"/>
          </w:tcPr>
          <w:p w14:paraId="34317FF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维谛DME07精密空调</w:t>
            </w:r>
          </w:p>
        </w:tc>
        <w:tc>
          <w:tcPr>
            <w:tcW w:w="294" w:type="pct"/>
            <w:vAlign w:val="center"/>
          </w:tcPr>
          <w:p w14:paraId="0BB37DA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vAlign w:val="center"/>
          </w:tcPr>
          <w:p w14:paraId="4DAF470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vAlign w:val="center"/>
          </w:tcPr>
          <w:p w14:paraId="325AD81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设备检修、保养服务、每季度巡检一次</w:t>
            </w:r>
          </w:p>
        </w:tc>
        <w:tc>
          <w:tcPr>
            <w:tcW w:w="1081" w:type="pct"/>
            <w:shd w:val="clear" w:color="auto" w:fill="auto"/>
            <w:vAlign w:val="center"/>
          </w:tcPr>
          <w:p w14:paraId="6F23E76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Merge w:val="continue"/>
            <w:vAlign w:val="center"/>
          </w:tcPr>
          <w:p w14:paraId="2F42429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p>
        </w:tc>
      </w:tr>
      <w:tr w14:paraId="637E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1529EE4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793" w:type="pct"/>
            <w:vAlign w:val="center"/>
          </w:tcPr>
          <w:p w14:paraId="3542348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维谛 ITA2-30型号UPS主机</w:t>
            </w:r>
          </w:p>
        </w:tc>
        <w:tc>
          <w:tcPr>
            <w:tcW w:w="294" w:type="pct"/>
            <w:vAlign w:val="center"/>
          </w:tcPr>
          <w:p w14:paraId="2D37FC3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vAlign w:val="center"/>
          </w:tcPr>
          <w:p w14:paraId="3ECA87A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vAlign w:val="center"/>
          </w:tcPr>
          <w:p w14:paraId="0A5352F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设备检修、保养服务、每季度巡检一次</w:t>
            </w:r>
          </w:p>
        </w:tc>
        <w:tc>
          <w:tcPr>
            <w:tcW w:w="1081" w:type="pct"/>
            <w:shd w:val="clear" w:color="auto" w:fill="auto"/>
            <w:vAlign w:val="center"/>
          </w:tcPr>
          <w:p w14:paraId="28F1FB5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Merge w:val="continue"/>
            <w:vAlign w:val="center"/>
          </w:tcPr>
          <w:p w14:paraId="7CA4F5E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p>
        </w:tc>
      </w:tr>
      <w:tr w14:paraId="4B64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750342F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793" w:type="pct"/>
            <w:vAlign w:val="center"/>
          </w:tcPr>
          <w:p w14:paraId="5D6A58B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机房环境监控、门禁</w:t>
            </w:r>
          </w:p>
        </w:tc>
        <w:tc>
          <w:tcPr>
            <w:tcW w:w="294" w:type="pct"/>
            <w:vAlign w:val="center"/>
          </w:tcPr>
          <w:p w14:paraId="5659FFA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vAlign w:val="center"/>
          </w:tcPr>
          <w:p w14:paraId="61046C7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批</w:t>
            </w:r>
          </w:p>
        </w:tc>
        <w:tc>
          <w:tcPr>
            <w:tcW w:w="769" w:type="pct"/>
            <w:vAlign w:val="center"/>
          </w:tcPr>
          <w:p w14:paraId="1574A70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设备检修、保养服务、每季度巡检一次</w:t>
            </w:r>
          </w:p>
        </w:tc>
        <w:tc>
          <w:tcPr>
            <w:tcW w:w="1081" w:type="pct"/>
            <w:shd w:val="clear" w:color="auto" w:fill="auto"/>
            <w:vAlign w:val="center"/>
          </w:tcPr>
          <w:p w14:paraId="35EBBB6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Merge w:val="continue"/>
            <w:vAlign w:val="center"/>
          </w:tcPr>
          <w:p w14:paraId="4119AFD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p>
        </w:tc>
      </w:tr>
      <w:tr w14:paraId="68CC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2A0429F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793" w:type="pct"/>
            <w:vAlign w:val="center"/>
          </w:tcPr>
          <w:p w14:paraId="62B77D4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中心外网出口防火墙</w:t>
            </w:r>
          </w:p>
        </w:tc>
        <w:tc>
          <w:tcPr>
            <w:tcW w:w="294" w:type="pct"/>
            <w:vAlign w:val="center"/>
          </w:tcPr>
          <w:p w14:paraId="2ECF4DC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vAlign w:val="center"/>
          </w:tcPr>
          <w:p w14:paraId="3768005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vAlign w:val="center"/>
          </w:tcPr>
          <w:p w14:paraId="4FB55E9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48B92E5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Align w:val="center"/>
          </w:tcPr>
          <w:p w14:paraId="7520C8B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2018年南通市公路管理处基层数据中心提升及安全运维升级项目  </w:t>
            </w:r>
          </w:p>
          <w:p w14:paraId="54D3628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采购编号:Z32060118083（XJ322）</w:t>
            </w:r>
          </w:p>
        </w:tc>
      </w:tr>
      <w:tr w14:paraId="6536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86" w:type="pct"/>
            <w:shd w:val="clear" w:color="auto" w:fill="auto"/>
            <w:vAlign w:val="center"/>
          </w:tcPr>
          <w:p w14:paraId="13746CB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793" w:type="pct"/>
            <w:shd w:val="clear" w:color="auto" w:fill="auto"/>
            <w:vAlign w:val="center"/>
          </w:tcPr>
          <w:p w14:paraId="68893D7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XDR</w:t>
            </w:r>
          </w:p>
        </w:tc>
        <w:tc>
          <w:tcPr>
            <w:tcW w:w="294" w:type="pct"/>
            <w:shd w:val="clear" w:color="auto" w:fill="auto"/>
            <w:vAlign w:val="center"/>
          </w:tcPr>
          <w:p w14:paraId="503B4DA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295C7E7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套</w:t>
            </w:r>
          </w:p>
        </w:tc>
        <w:tc>
          <w:tcPr>
            <w:tcW w:w="769" w:type="pct"/>
            <w:shd w:val="clear" w:color="auto" w:fill="auto"/>
            <w:vAlign w:val="center"/>
          </w:tcPr>
          <w:p w14:paraId="6F394B2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7A0F934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323C7DB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264B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164D0F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793" w:type="pct"/>
            <w:shd w:val="clear" w:color="auto" w:fill="auto"/>
            <w:vAlign w:val="center"/>
          </w:tcPr>
          <w:p w14:paraId="637AE17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中心无线防火墙</w:t>
            </w:r>
          </w:p>
        </w:tc>
        <w:tc>
          <w:tcPr>
            <w:tcW w:w="294" w:type="pct"/>
            <w:shd w:val="clear" w:color="auto" w:fill="auto"/>
            <w:vAlign w:val="center"/>
          </w:tcPr>
          <w:p w14:paraId="40F28F3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58CCF43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4F3CD48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2627892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6EA4374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  采购编号:Z320601200442(XJ143)</w:t>
            </w:r>
          </w:p>
        </w:tc>
      </w:tr>
      <w:tr w14:paraId="3FD8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CBE26E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793" w:type="pct"/>
            <w:shd w:val="clear" w:color="auto" w:fill="auto"/>
            <w:vAlign w:val="center"/>
          </w:tcPr>
          <w:p w14:paraId="7A8F2B3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中心探针</w:t>
            </w:r>
          </w:p>
        </w:tc>
        <w:tc>
          <w:tcPr>
            <w:tcW w:w="294" w:type="pct"/>
            <w:shd w:val="clear" w:color="auto" w:fill="auto"/>
            <w:vAlign w:val="center"/>
          </w:tcPr>
          <w:p w14:paraId="1BEEB04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shd w:val="clear" w:color="auto" w:fill="auto"/>
            <w:vAlign w:val="center"/>
          </w:tcPr>
          <w:p w14:paraId="71A7978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AD8320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296FCC2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57A8863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2020年南通市公路事业发展中心专网安全改造项目项目采购编号：Z320601200442(XJ143)</w:t>
            </w:r>
          </w:p>
          <w:p w14:paraId="067E564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6BC4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DA8A64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793" w:type="pct"/>
            <w:shd w:val="clear" w:color="auto" w:fill="auto"/>
            <w:vAlign w:val="center"/>
          </w:tcPr>
          <w:p w14:paraId="5BF62F0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中心内外网EDR</w:t>
            </w:r>
          </w:p>
        </w:tc>
        <w:tc>
          <w:tcPr>
            <w:tcW w:w="294" w:type="pct"/>
            <w:shd w:val="clear" w:color="auto" w:fill="auto"/>
            <w:vAlign w:val="center"/>
          </w:tcPr>
          <w:p w14:paraId="2BC4A4C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shd w:val="clear" w:color="auto" w:fill="auto"/>
            <w:vAlign w:val="center"/>
          </w:tcPr>
          <w:p w14:paraId="2634308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套</w:t>
            </w:r>
          </w:p>
        </w:tc>
        <w:tc>
          <w:tcPr>
            <w:tcW w:w="769" w:type="pct"/>
            <w:shd w:val="clear" w:color="auto" w:fill="auto"/>
            <w:vAlign w:val="center"/>
          </w:tcPr>
          <w:p w14:paraId="25D755E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20706B4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3902D2B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3D9A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53EA6B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793" w:type="pct"/>
            <w:shd w:val="clear" w:color="auto" w:fill="auto"/>
            <w:vAlign w:val="center"/>
          </w:tcPr>
          <w:p w14:paraId="063A125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中心内网专线防火墙</w:t>
            </w:r>
          </w:p>
        </w:tc>
        <w:tc>
          <w:tcPr>
            <w:tcW w:w="294" w:type="pct"/>
            <w:shd w:val="clear" w:color="auto" w:fill="auto"/>
            <w:vAlign w:val="center"/>
          </w:tcPr>
          <w:p w14:paraId="3879511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5668897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7054920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4490C3E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76C4BE7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57D8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29F2C2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793" w:type="pct"/>
            <w:shd w:val="clear" w:color="auto" w:fill="auto"/>
            <w:vAlign w:val="center"/>
          </w:tcPr>
          <w:p w14:paraId="3ACB6C9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中心服务器区防火墙</w:t>
            </w:r>
          </w:p>
        </w:tc>
        <w:tc>
          <w:tcPr>
            <w:tcW w:w="294" w:type="pct"/>
            <w:shd w:val="clear" w:color="auto" w:fill="auto"/>
            <w:vAlign w:val="center"/>
          </w:tcPr>
          <w:p w14:paraId="3DE0C8C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42DD73F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2402A40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规则库升级、软件版本升级、每月巡检一次</w:t>
            </w:r>
          </w:p>
        </w:tc>
        <w:tc>
          <w:tcPr>
            <w:tcW w:w="1081" w:type="pct"/>
            <w:shd w:val="clear" w:color="auto" w:fill="auto"/>
            <w:vAlign w:val="center"/>
          </w:tcPr>
          <w:p w14:paraId="380B6E9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0BE1EDC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 采购编号：Z320601200442(XJ143）</w:t>
            </w:r>
          </w:p>
        </w:tc>
      </w:tr>
      <w:tr w14:paraId="6E00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0D66E7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793" w:type="pct"/>
            <w:shd w:val="clear" w:color="auto" w:fill="auto"/>
            <w:vAlign w:val="center"/>
          </w:tcPr>
          <w:p w14:paraId="3B9CC49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分中心汇聚防火墙</w:t>
            </w:r>
          </w:p>
        </w:tc>
        <w:tc>
          <w:tcPr>
            <w:tcW w:w="294" w:type="pct"/>
            <w:shd w:val="clear" w:color="auto" w:fill="auto"/>
            <w:vAlign w:val="center"/>
          </w:tcPr>
          <w:p w14:paraId="4B5A747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269" w:type="pct"/>
            <w:shd w:val="clear" w:color="auto" w:fill="auto"/>
            <w:vAlign w:val="center"/>
          </w:tcPr>
          <w:p w14:paraId="24E78A3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30CAFD6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03A76DD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Align w:val="center"/>
          </w:tcPr>
          <w:p w14:paraId="21DCCFC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510D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A358BE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w:t>
            </w:r>
          </w:p>
        </w:tc>
        <w:tc>
          <w:tcPr>
            <w:tcW w:w="793" w:type="pct"/>
            <w:shd w:val="clear" w:color="auto" w:fill="auto"/>
            <w:vAlign w:val="center"/>
          </w:tcPr>
          <w:p w14:paraId="4BBF172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分中心探针</w:t>
            </w:r>
          </w:p>
        </w:tc>
        <w:tc>
          <w:tcPr>
            <w:tcW w:w="294" w:type="pct"/>
            <w:shd w:val="clear" w:color="auto" w:fill="auto"/>
            <w:vAlign w:val="center"/>
          </w:tcPr>
          <w:p w14:paraId="6841273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269" w:type="pct"/>
            <w:shd w:val="clear" w:color="auto" w:fill="auto"/>
            <w:vAlign w:val="center"/>
          </w:tcPr>
          <w:p w14:paraId="1DAE14E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450C4DA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403AEE5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4DF412A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3EA9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6AB8FC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w:t>
            </w:r>
          </w:p>
        </w:tc>
        <w:tc>
          <w:tcPr>
            <w:tcW w:w="793" w:type="pct"/>
            <w:shd w:val="clear" w:color="auto" w:fill="auto"/>
            <w:vAlign w:val="center"/>
          </w:tcPr>
          <w:p w14:paraId="56601C3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分中心内外网防火墙</w:t>
            </w:r>
          </w:p>
        </w:tc>
        <w:tc>
          <w:tcPr>
            <w:tcW w:w="294" w:type="pct"/>
            <w:shd w:val="clear" w:color="auto" w:fill="auto"/>
            <w:vAlign w:val="center"/>
          </w:tcPr>
          <w:p w14:paraId="159769B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269" w:type="pct"/>
            <w:shd w:val="clear" w:color="auto" w:fill="auto"/>
            <w:vAlign w:val="center"/>
          </w:tcPr>
          <w:p w14:paraId="1E58AF9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380A539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15BF2B0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vAlign w:val="center"/>
          </w:tcPr>
          <w:p w14:paraId="5003FFB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r w14:paraId="4A9C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6A5EC3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793" w:type="pct"/>
            <w:shd w:val="clear" w:color="auto" w:fill="auto"/>
            <w:vAlign w:val="center"/>
          </w:tcPr>
          <w:p w14:paraId="5A851F3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外网超融合</w:t>
            </w:r>
          </w:p>
        </w:tc>
        <w:tc>
          <w:tcPr>
            <w:tcW w:w="294" w:type="pct"/>
            <w:shd w:val="clear" w:color="auto" w:fill="auto"/>
            <w:vAlign w:val="center"/>
          </w:tcPr>
          <w:p w14:paraId="680E474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69" w:type="pct"/>
            <w:shd w:val="clear" w:color="auto" w:fill="auto"/>
            <w:vAlign w:val="center"/>
          </w:tcPr>
          <w:p w14:paraId="1ACBB1C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4BC9D9F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5ACFA16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52DC26E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6A56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1CE016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w:t>
            </w:r>
          </w:p>
        </w:tc>
        <w:tc>
          <w:tcPr>
            <w:tcW w:w="793" w:type="pct"/>
            <w:shd w:val="clear" w:color="auto" w:fill="auto"/>
            <w:vAlign w:val="center"/>
          </w:tcPr>
          <w:p w14:paraId="76D8B67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外网数据备份</w:t>
            </w:r>
          </w:p>
        </w:tc>
        <w:tc>
          <w:tcPr>
            <w:tcW w:w="294" w:type="pct"/>
            <w:shd w:val="clear" w:color="auto" w:fill="auto"/>
            <w:vAlign w:val="center"/>
          </w:tcPr>
          <w:p w14:paraId="0A7A904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4526821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57E945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1892150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7662D5D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  采购编号：Z320601200442(XJ143)</w:t>
            </w:r>
          </w:p>
        </w:tc>
      </w:tr>
      <w:tr w14:paraId="7413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00425D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17</w:t>
            </w:r>
          </w:p>
        </w:tc>
        <w:tc>
          <w:tcPr>
            <w:tcW w:w="793" w:type="pct"/>
            <w:shd w:val="clear" w:color="auto" w:fill="auto"/>
            <w:vAlign w:val="center"/>
          </w:tcPr>
          <w:p w14:paraId="71A3716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瑞数WAF</w:t>
            </w:r>
          </w:p>
        </w:tc>
        <w:tc>
          <w:tcPr>
            <w:tcW w:w="294" w:type="pct"/>
            <w:shd w:val="clear" w:color="auto" w:fill="auto"/>
            <w:vAlign w:val="center"/>
          </w:tcPr>
          <w:p w14:paraId="0B3E159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0B4962F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套</w:t>
            </w:r>
          </w:p>
        </w:tc>
        <w:tc>
          <w:tcPr>
            <w:tcW w:w="769" w:type="pct"/>
            <w:shd w:val="clear" w:color="auto" w:fill="auto"/>
            <w:vAlign w:val="center"/>
          </w:tcPr>
          <w:p w14:paraId="2753806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7886A9F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2E06195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2D9B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99AD11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18</w:t>
            </w:r>
          </w:p>
        </w:tc>
        <w:tc>
          <w:tcPr>
            <w:tcW w:w="793" w:type="pct"/>
            <w:shd w:val="clear" w:color="auto" w:fill="auto"/>
            <w:vAlign w:val="center"/>
          </w:tcPr>
          <w:p w14:paraId="1546FC1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信锐无线网络控制中心</w:t>
            </w:r>
          </w:p>
        </w:tc>
        <w:tc>
          <w:tcPr>
            <w:tcW w:w="294" w:type="pct"/>
            <w:shd w:val="clear" w:color="auto" w:fill="auto"/>
            <w:vAlign w:val="center"/>
          </w:tcPr>
          <w:p w14:paraId="2919E7F2">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1A0A4CD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7112698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13C05EE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7AE3F4A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2021年南通市公路事业发展中心视频会议室无纸化会议系统及谈话音视频建设项目</w:t>
            </w:r>
          </w:p>
        </w:tc>
      </w:tr>
      <w:tr w14:paraId="6967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7DF18D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19</w:t>
            </w:r>
          </w:p>
        </w:tc>
        <w:tc>
          <w:tcPr>
            <w:tcW w:w="793" w:type="pct"/>
            <w:shd w:val="clear" w:color="auto" w:fill="auto"/>
            <w:vAlign w:val="center"/>
          </w:tcPr>
          <w:p w14:paraId="386BAAF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内网日志审计</w:t>
            </w:r>
          </w:p>
        </w:tc>
        <w:tc>
          <w:tcPr>
            <w:tcW w:w="294" w:type="pct"/>
            <w:shd w:val="clear" w:color="auto" w:fill="auto"/>
            <w:vAlign w:val="center"/>
          </w:tcPr>
          <w:p w14:paraId="2D4B7DB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6670C3B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0425AD6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393BBFC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17D640B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2018年南通市公路管理处基层数据中心提升及安全运维升级项目  </w:t>
            </w:r>
          </w:p>
          <w:p w14:paraId="1A9BC43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采购编号:Z320601180838（XJ322）</w:t>
            </w:r>
          </w:p>
        </w:tc>
      </w:tr>
      <w:tr w14:paraId="165E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DCC26E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w:t>
            </w:r>
          </w:p>
        </w:tc>
        <w:tc>
          <w:tcPr>
            <w:tcW w:w="793" w:type="pct"/>
            <w:shd w:val="clear" w:color="auto" w:fill="auto"/>
            <w:vAlign w:val="center"/>
          </w:tcPr>
          <w:p w14:paraId="14176ED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内网数据库审计</w:t>
            </w:r>
          </w:p>
        </w:tc>
        <w:tc>
          <w:tcPr>
            <w:tcW w:w="294" w:type="pct"/>
            <w:shd w:val="clear" w:color="auto" w:fill="auto"/>
            <w:vAlign w:val="center"/>
          </w:tcPr>
          <w:p w14:paraId="3A6E25E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7C0C01F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45DBDDB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754798B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7CE73FAB">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2019年南通市公路管理处网络安全采购项目  </w:t>
            </w:r>
          </w:p>
          <w:p w14:paraId="735BF4B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项目编号：Z320601190507(XJ188）</w:t>
            </w:r>
          </w:p>
        </w:tc>
      </w:tr>
      <w:tr w14:paraId="4272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032E677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w:t>
            </w:r>
          </w:p>
        </w:tc>
        <w:tc>
          <w:tcPr>
            <w:tcW w:w="793" w:type="pct"/>
            <w:shd w:val="clear" w:color="auto" w:fill="auto"/>
            <w:vAlign w:val="center"/>
          </w:tcPr>
          <w:p w14:paraId="3D07359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全景灾备系统</w:t>
            </w:r>
          </w:p>
        </w:tc>
        <w:tc>
          <w:tcPr>
            <w:tcW w:w="294" w:type="pct"/>
            <w:shd w:val="clear" w:color="auto" w:fill="auto"/>
            <w:vAlign w:val="center"/>
          </w:tcPr>
          <w:p w14:paraId="0F8ABF04">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09324E1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716F1CD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7A64D91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04306B0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2021南通市公路事业发展中心数据中心改造及服务项目 采购编号:  Z320601210236(ZB064)</w:t>
            </w:r>
          </w:p>
        </w:tc>
      </w:tr>
      <w:tr w14:paraId="1BA8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009A208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w:t>
            </w:r>
          </w:p>
        </w:tc>
        <w:tc>
          <w:tcPr>
            <w:tcW w:w="793" w:type="pct"/>
            <w:shd w:val="clear" w:color="auto" w:fill="auto"/>
            <w:vAlign w:val="center"/>
          </w:tcPr>
          <w:p w14:paraId="6DF378D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内网虚拟化</w:t>
            </w:r>
          </w:p>
        </w:tc>
        <w:tc>
          <w:tcPr>
            <w:tcW w:w="294" w:type="pct"/>
            <w:shd w:val="clear" w:color="auto" w:fill="auto"/>
            <w:vAlign w:val="center"/>
          </w:tcPr>
          <w:p w14:paraId="145C5E1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69" w:type="pct"/>
            <w:shd w:val="clear" w:color="auto" w:fill="auto"/>
            <w:vAlign w:val="center"/>
          </w:tcPr>
          <w:p w14:paraId="1DF413B7">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6B65AD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407E5E6C">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66824D4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2017年南通市公路管理处虚拟化改造升级项目 </w:t>
            </w:r>
          </w:p>
          <w:p w14:paraId="424B8486">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项目编号：2017XJ4022</w:t>
            </w:r>
          </w:p>
        </w:tc>
      </w:tr>
      <w:tr w14:paraId="0183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6" w:type="pct"/>
            <w:shd w:val="clear" w:color="auto" w:fill="auto"/>
            <w:vAlign w:val="center"/>
          </w:tcPr>
          <w:p w14:paraId="69822F5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23</w:t>
            </w:r>
          </w:p>
        </w:tc>
        <w:tc>
          <w:tcPr>
            <w:tcW w:w="793" w:type="pct"/>
            <w:shd w:val="clear" w:color="auto" w:fill="auto"/>
            <w:vAlign w:val="center"/>
          </w:tcPr>
          <w:p w14:paraId="2CA0FFD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外网日志审计</w:t>
            </w:r>
          </w:p>
        </w:tc>
        <w:tc>
          <w:tcPr>
            <w:tcW w:w="294" w:type="pct"/>
            <w:shd w:val="clear" w:color="auto" w:fill="auto"/>
            <w:vAlign w:val="center"/>
          </w:tcPr>
          <w:p w14:paraId="16E9A94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60C3103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2EC51B75">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702FBFE0">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4A2A586E">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2019年南通市公路管理处网络安全采购项目  </w:t>
            </w:r>
          </w:p>
        </w:tc>
      </w:tr>
      <w:tr w14:paraId="52D3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15622B6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w:t>
            </w:r>
          </w:p>
        </w:tc>
        <w:tc>
          <w:tcPr>
            <w:tcW w:w="793" w:type="pct"/>
            <w:shd w:val="clear" w:color="auto" w:fill="auto"/>
            <w:vAlign w:val="center"/>
          </w:tcPr>
          <w:p w14:paraId="3FBCDEF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零信任</w:t>
            </w:r>
          </w:p>
        </w:tc>
        <w:tc>
          <w:tcPr>
            <w:tcW w:w="294" w:type="pct"/>
            <w:shd w:val="clear" w:color="auto" w:fill="auto"/>
            <w:vAlign w:val="center"/>
          </w:tcPr>
          <w:p w14:paraId="2C1C11D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69" w:type="pct"/>
            <w:shd w:val="clear" w:color="auto" w:fill="auto"/>
            <w:vAlign w:val="center"/>
          </w:tcPr>
          <w:p w14:paraId="747131C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64CFBC5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2E02DD2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5183C773">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2021年南通公路零信任安全架构体系应用研究</w:t>
            </w:r>
          </w:p>
        </w:tc>
      </w:tr>
      <w:tr w14:paraId="2C33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23FE9648">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25</w:t>
            </w:r>
          </w:p>
        </w:tc>
        <w:tc>
          <w:tcPr>
            <w:tcW w:w="793" w:type="pct"/>
            <w:shd w:val="clear" w:color="auto" w:fill="auto"/>
            <w:vAlign w:val="center"/>
          </w:tcPr>
          <w:p w14:paraId="151726E9">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态势感知平台</w:t>
            </w:r>
          </w:p>
        </w:tc>
        <w:tc>
          <w:tcPr>
            <w:tcW w:w="294" w:type="pct"/>
            <w:shd w:val="clear" w:color="auto" w:fill="auto"/>
            <w:vAlign w:val="center"/>
          </w:tcPr>
          <w:p w14:paraId="73E05B21">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69" w:type="pct"/>
            <w:shd w:val="clear" w:color="auto" w:fill="auto"/>
            <w:vAlign w:val="center"/>
          </w:tcPr>
          <w:p w14:paraId="4C16BB2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769" w:type="pct"/>
            <w:shd w:val="clear" w:color="auto" w:fill="auto"/>
            <w:vAlign w:val="center"/>
          </w:tcPr>
          <w:p w14:paraId="486A608F">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每月巡检一次</w:t>
            </w:r>
          </w:p>
        </w:tc>
        <w:tc>
          <w:tcPr>
            <w:tcW w:w="1081" w:type="pct"/>
            <w:shd w:val="clear" w:color="auto" w:fill="auto"/>
            <w:vAlign w:val="center"/>
          </w:tcPr>
          <w:p w14:paraId="0A98AC5D">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2026年1月1日至2026年12月31日</w:t>
            </w:r>
          </w:p>
        </w:tc>
        <w:tc>
          <w:tcPr>
            <w:tcW w:w="1504" w:type="pct"/>
            <w:shd w:val="clear" w:color="auto" w:fill="auto"/>
            <w:vAlign w:val="center"/>
          </w:tcPr>
          <w:p w14:paraId="4F7DD6AA">
            <w:pPr>
              <w:snapToGrid w:val="0"/>
              <w:ind w:left="0" w:leftChars="0" w:right="0" w:righ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2020年南通市公路事业发展中心专网安全改造项目项目采购编号:  Z320601200442(XJ143)</w:t>
            </w:r>
          </w:p>
        </w:tc>
      </w:tr>
    </w:tbl>
    <w:p w14:paraId="65CC5A8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（二）网络安全运维服务内容及要求</w:t>
      </w:r>
    </w:p>
    <w:p w14:paraId="2999E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网络安全</w:t>
      </w:r>
      <w:r>
        <w:rPr>
          <w:rFonts w:hint="eastAsia" w:ascii="宋体" w:hAnsi="宋体" w:eastAsia="宋体" w:cs="宋体"/>
          <w:sz w:val="24"/>
          <w:szCs w:val="24"/>
          <w:highlight w:val="none"/>
          <w:lang w:val="en-US" w:eastAsia="zh-CN"/>
        </w:rPr>
        <w:t>运维</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内容，详见表2。</w:t>
      </w:r>
    </w:p>
    <w:p w14:paraId="66C92B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w:t>
      </w:r>
    </w:p>
    <w:tbl>
      <w:tblPr>
        <w:tblStyle w:val="20"/>
        <w:tblW w:w="89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7"/>
        <w:gridCol w:w="1542"/>
        <w:gridCol w:w="5965"/>
        <w:gridCol w:w="1001"/>
      </w:tblGrid>
      <w:tr w14:paraId="17F4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0351B66B">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序号</w:t>
            </w:r>
          </w:p>
        </w:tc>
        <w:tc>
          <w:tcPr>
            <w:tcW w:w="1542" w:type="dxa"/>
            <w:vAlign w:val="center"/>
          </w:tcPr>
          <w:p w14:paraId="7187FC30">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服务名称</w:t>
            </w:r>
          </w:p>
        </w:tc>
        <w:tc>
          <w:tcPr>
            <w:tcW w:w="5965" w:type="dxa"/>
            <w:vAlign w:val="center"/>
          </w:tcPr>
          <w:p w14:paraId="519A6A3E">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服务内容</w:t>
            </w:r>
          </w:p>
        </w:tc>
        <w:tc>
          <w:tcPr>
            <w:tcW w:w="1001" w:type="dxa"/>
            <w:vAlign w:val="center"/>
          </w:tcPr>
          <w:p w14:paraId="44765579">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服务频率</w:t>
            </w:r>
          </w:p>
        </w:tc>
      </w:tr>
      <w:tr w14:paraId="52F1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trPr>
        <w:tc>
          <w:tcPr>
            <w:tcW w:w="397" w:type="dxa"/>
            <w:tcBorders>
              <w:top w:val="single" w:color="auto" w:sz="4" w:space="0"/>
              <w:left w:val="single" w:color="auto" w:sz="4" w:space="0"/>
              <w:bottom w:val="single" w:color="auto" w:sz="4" w:space="0"/>
              <w:right w:val="single" w:color="auto" w:sz="4" w:space="0"/>
            </w:tcBorders>
            <w:vAlign w:val="center"/>
          </w:tcPr>
          <w:p w14:paraId="15BD4B1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w:t>
            </w:r>
          </w:p>
        </w:tc>
        <w:tc>
          <w:tcPr>
            <w:tcW w:w="1542" w:type="dxa"/>
            <w:vAlign w:val="center"/>
          </w:tcPr>
          <w:p w14:paraId="3FACCFDA">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主机漏洞/弱口令扫描服务</w:t>
            </w:r>
          </w:p>
        </w:tc>
        <w:tc>
          <w:tcPr>
            <w:tcW w:w="5965" w:type="dxa"/>
            <w:vAlign w:val="center"/>
          </w:tcPr>
          <w:p w14:paraId="1B04270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对所有主机、网络设备、操作系统、数据库、中间件等进行常态化的漏洞与弱口令扫描，提供漏洞、弱口令扫描结果与整改建议</w:t>
            </w:r>
          </w:p>
        </w:tc>
        <w:tc>
          <w:tcPr>
            <w:tcW w:w="1001" w:type="dxa"/>
            <w:vAlign w:val="center"/>
          </w:tcPr>
          <w:p w14:paraId="6251C19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每季度按需</w:t>
            </w:r>
          </w:p>
        </w:tc>
      </w:tr>
      <w:tr w14:paraId="422B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68CF13F3">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w:t>
            </w:r>
          </w:p>
        </w:tc>
        <w:tc>
          <w:tcPr>
            <w:tcW w:w="1542" w:type="dxa"/>
            <w:vAlign w:val="center"/>
          </w:tcPr>
          <w:p w14:paraId="29284CE6">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应急演练</w:t>
            </w:r>
          </w:p>
        </w:tc>
        <w:tc>
          <w:tcPr>
            <w:tcW w:w="5965" w:type="dxa"/>
            <w:vAlign w:val="center"/>
          </w:tcPr>
          <w:p w14:paraId="530D616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每年按需提供网络安全应急演练服务，可选“网页挂马、网页篡改、勒索病毒、邮件钓鱼”等多类安全事件的应急演练</w:t>
            </w:r>
          </w:p>
        </w:tc>
        <w:tc>
          <w:tcPr>
            <w:tcW w:w="1001" w:type="dxa"/>
            <w:vAlign w:val="center"/>
          </w:tcPr>
          <w:p w14:paraId="75759A2D">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1F1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397" w:type="dxa"/>
            <w:tcBorders>
              <w:top w:val="single" w:color="auto" w:sz="4" w:space="0"/>
              <w:left w:val="single" w:color="auto" w:sz="4" w:space="0"/>
              <w:bottom w:val="single" w:color="auto" w:sz="4" w:space="0"/>
              <w:right w:val="single" w:color="auto" w:sz="4" w:space="0"/>
            </w:tcBorders>
            <w:vAlign w:val="center"/>
          </w:tcPr>
          <w:p w14:paraId="2784D3E5">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w:t>
            </w:r>
          </w:p>
        </w:tc>
        <w:tc>
          <w:tcPr>
            <w:tcW w:w="1542" w:type="dxa"/>
            <w:vAlign w:val="center"/>
          </w:tcPr>
          <w:p w14:paraId="5A6AF6B2">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内网主机资产测绘与梳理服务</w:t>
            </w:r>
          </w:p>
        </w:tc>
        <w:tc>
          <w:tcPr>
            <w:tcW w:w="5965" w:type="dxa"/>
            <w:vAlign w:val="center"/>
          </w:tcPr>
          <w:p w14:paraId="5F8D22B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探测存活的内网资产，包括服务器、终端、网络设备、摄像头等，跟踪资产变更趋势，形成可动态维护的资产台账</w:t>
            </w:r>
          </w:p>
        </w:tc>
        <w:tc>
          <w:tcPr>
            <w:tcW w:w="1001" w:type="dxa"/>
            <w:vAlign w:val="center"/>
          </w:tcPr>
          <w:p w14:paraId="279AF136">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3A8F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397" w:type="dxa"/>
            <w:tcBorders>
              <w:top w:val="single" w:color="auto" w:sz="4" w:space="0"/>
              <w:left w:val="single" w:color="auto" w:sz="4" w:space="0"/>
              <w:bottom w:val="single" w:color="auto" w:sz="4" w:space="0"/>
              <w:right w:val="single" w:color="auto" w:sz="4" w:space="0"/>
            </w:tcBorders>
            <w:vAlign w:val="center"/>
          </w:tcPr>
          <w:p w14:paraId="7A6C402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4</w:t>
            </w:r>
          </w:p>
        </w:tc>
        <w:tc>
          <w:tcPr>
            <w:tcW w:w="1542" w:type="dxa"/>
            <w:vAlign w:val="center"/>
          </w:tcPr>
          <w:p w14:paraId="0D8C1E67">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安全培训</w:t>
            </w:r>
          </w:p>
        </w:tc>
        <w:tc>
          <w:tcPr>
            <w:tcW w:w="5965" w:type="dxa"/>
            <w:vAlign w:val="center"/>
          </w:tcPr>
          <w:p w14:paraId="21A0889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对技术人员、一般员工、管理人员进行周期性的安全意识、安全技术、安全管理等内容进行选择性培训，加强整体的安全水平</w:t>
            </w:r>
          </w:p>
        </w:tc>
        <w:tc>
          <w:tcPr>
            <w:tcW w:w="1001" w:type="dxa"/>
            <w:vAlign w:val="center"/>
          </w:tcPr>
          <w:p w14:paraId="49128C0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43E8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1FEB8200">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5</w:t>
            </w:r>
          </w:p>
        </w:tc>
        <w:tc>
          <w:tcPr>
            <w:tcW w:w="1542" w:type="dxa"/>
            <w:vAlign w:val="center"/>
          </w:tcPr>
          <w:p w14:paraId="16B23661">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漏洞加固指导服务</w:t>
            </w:r>
          </w:p>
        </w:tc>
        <w:tc>
          <w:tcPr>
            <w:tcW w:w="5965" w:type="dxa"/>
            <w:vAlign w:val="center"/>
          </w:tcPr>
          <w:p w14:paraId="6691B38F">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基于攻防视角评估资产漏洞风险，识别可实际产生风险的漏洞，提供漏洞修复的优先级建议，减少漏洞整改工作量</w:t>
            </w:r>
          </w:p>
        </w:tc>
        <w:tc>
          <w:tcPr>
            <w:tcW w:w="1001" w:type="dxa"/>
            <w:vAlign w:val="center"/>
          </w:tcPr>
          <w:p w14:paraId="7F181B3C">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4A89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3" w:hRule="atLeast"/>
        </w:trPr>
        <w:tc>
          <w:tcPr>
            <w:tcW w:w="397" w:type="dxa"/>
            <w:tcBorders>
              <w:top w:val="single" w:color="auto" w:sz="4" w:space="0"/>
              <w:left w:val="single" w:color="auto" w:sz="4" w:space="0"/>
              <w:bottom w:val="single" w:color="auto" w:sz="4" w:space="0"/>
              <w:right w:val="single" w:color="auto" w:sz="4" w:space="0"/>
            </w:tcBorders>
            <w:vAlign w:val="center"/>
          </w:tcPr>
          <w:p w14:paraId="7A3DCA5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6</w:t>
            </w:r>
          </w:p>
        </w:tc>
        <w:tc>
          <w:tcPr>
            <w:tcW w:w="1542" w:type="dxa"/>
            <w:vAlign w:val="center"/>
          </w:tcPr>
          <w:p w14:paraId="7CFF2455">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整体安全咨询服务</w:t>
            </w:r>
          </w:p>
        </w:tc>
        <w:tc>
          <w:tcPr>
            <w:tcW w:w="5965" w:type="dxa"/>
            <w:vAlign w:val="center"/>
          </w:tcPr>
          <w:p w14:paraId="7A3F4599">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依据国家/国际信息安全标准、信息安全策略及行业发展动态，在对用户信息安全现状进行风险评估、差距分析的基础上，从安全技术、安全管理、安全运营三个角度构建短期、中期与长期的信息安全规划，将信息安全的单点风险控制转变为全面的安全规划，进而推动有效的信息安全建设并建立完整的信息安全保障体系</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协助梳理</w:t>
            </w:r>
            <w:r>
              <w:rPr>
                <w:rFonts w:hint="eastAsia" w:ascii="宋体" w:hAnsi="宋体" w:eastAsia="宋体" w:cs="宋体"/>
                <w:sz w:val="24"/>
                <w:szCs w:val="24"/>
                <w:highlight w:val="none"/>
                <w:u w:val="none"/>
                <w:lang w:val="en-US" w:eastAsia="zh-CN"/>
              </w:rPr>
              <w:t>完善</w:t>
            </w:r>
            <w:r>
              <w:rPr>
                <w:rFonts w:hint="eastAsia" w:ascii="宋体" w:hAnsi="宋体" w:eastAsia="宋体" w:cs="宋体"/>
                <w:sz w:val="24"/>
                <w:szCs w:val="24"/>
                <w:highlight w:val="none"/>
                <w:u w:val="none"/>
              </w:rPr>
              <w:t>现有信息安全管理制度</w:t>
            </w:r>
            <w:r>
              <w:rPr>
                <w:rFonts w:hint="eastAsia" w:ascii="宋体" w:hAnsi="宋体" w:eastAsia="宋体" w:cs="宋体"/>
                <w:sz w:val="24"/>
                <w:szCs w:val="24"/>
                <w:highlight w:val="none"/>
                <w:u w:val="none"/>
                <w:lang w:eastAsia="zh-CN"/>
              </w:rPr>
              <w:t>。</w:t>
            </w:r>
          </w:p>
        </w:tc>
        <w:tc>
          <w:tcPr>
            <w:tcW w:w="1001" w:type="dxa"/>
            <w:vAlign w:val="center"/>
          </w:tcPr>
          <w:p w14:paraId="62553773">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408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3931358A">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w:t>
            </w:r>
          </w:p>
        </w:tc>
        <w:tc>
          <w:tcPr>
            <w:tcW w:w="1542" w:type="dxa"/>
            <w:vAlign w:val="center"/>
          </w:tcPr>
          <w:p w14:paraId="57DF32FA">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重保值守服务</w:t>
            </w:r>
          </w:p>
        </w:tc>
        <w:tc>
          <w:tcPr>
            <w:tcW w:w="5965" w:type="dxa"/>
            <w:vAlign w:val="center"/>
          </w:tcPr>
          <w:p w14:paraId="413E8C16">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重点时期、节日提供专业团队技术、设备的保障</w:t>
            </w:r>
          </w:p>
        </w:tc>
        <w:tc>
          <w:tcPr>
            <w:tcW w:w="1001" w:type="dxa"/>
            <w:vAlign w:val="center"/>
          </w:tcPr>
          <w:p w14:paraId="37679FEF">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0C65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3F8B7548">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w:t>
            </w:r>
          </w:p>
        </w:tc>
        <w:tc>
          <w:tcPr>
            <w:tcW w:w="1542" w:type="dxa"/>
            <w:vAlign w:val="center"/>
          </w:tcPr>
          <w:p w14:paraId="4ADFC4C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设备安全巡检</w:t>
            </w:r>
          </w:p>
        </w:tc>
        <w:tc>
          <w:tcPr>
            <w:tcW w:w="5965" w:type="dxa"/>
            <w:vAlign w:val="center"/>
          </w:tcPr>
          <w:p w14:paraId="3230261D">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建设信息安全巡检机制，同时对巡检情况出具专业的巡检报告</w:t>
            </w:r>
          </w:p>
        </w:tc>
        <w:tc>
          <w:tcPr>
            <w:tcW w:w="1001" w:type="dxa"/>
            <w:vAlign w:val="center"/>
          </w:tcPr>
          <w:p w14:paraId="35BF1BD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1次/月</w:t>
            </w:r>
          </w:p>
        </w:tc>
      </w:tr>
    </w:tbl>
    <w:p w14:paraId="0B8F12D3">
      <w:pPr>
        <w:keepNext w:val="0"/>
        <w:keepLines w:val="0"/>
        <w:pageBreakBefore w:val="0"/>
        <w:widowControl w:val="0"/>
        <w:numPr>
          <w:ilvl w:val="255"/>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2、网络安全运维服务要求</w:t>
      </w:r>
    </w:p>
    <w:p w14:paraId="59A017C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提供项目咨询、新增互联网暴露面管理、WEB站点安全监测、漏洞加固辅助、事件告警通告、数据安全咨询、管理体系建设服务等。</w:t>
      </w:r>
    </w:p>
    <w:p w14:paraId="39E0C7F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提供安全上网dns防护和上网管控服务，防止用户中毒后私联僵尸主机。</w:t>
      </w:r>
    </w:p>
    <w:tbl>
      <w:tblPr>
        <w:tblStyle w:val="20"/>
        <w:tblpPr w:leftFromText="180" w:rightFromText="180" w:vertAnchor="text" w:tblpX="14395" w:tblpY="1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tblGrid>
      <w:tr w14:paraId="3373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511" w:type="dxa"/>
          </w:tcPr>
          <w:p w14:paraId="41C2A59B">
            <w:pPr>
              <w:keepNext w:val="0"/>
              <w:keepLines w:val="0"/>
              <w:pageBreakBefore w:val="0"/>
              <w:widowControl w:val="0"/>
              <w:numPr>
                <w:ilvl w:val="255"/>
                <w:numId w:val="0"/>
              </w:numPr>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tc>
      </w:tr>
    </w:tbl>
    <w:p w14:paraId="1519E0F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巡检要求：对市中心防火墙、探针、内外网应用服务器等设备做好月度安全扫描巡检并出具《巡检报告》。巡检清单详见</w:t>
      </w:r>
      <w:r>
        <w:rPr>
          <w:rFonts w:hint="eastAsia" w:ascii="宋体" w:hAnsi="宋体" w:eastAsia="宋体" w:cs="宋体"/>
          <w:sz w:val="24"/>
          <w:szCs w:val="24"/>
          <w:highlight w:val="none"/>
          <w:lang w:val="en-US" w:eastAsia="zh-CN"/>
        </w:rPr>
        <w:t>表1</w:t>
      </w:r>
      <w:r>
        <w:rPr>
          <w:rFonts w:hint="eastAsia" w:ascii="宋体" w:hAnsi="宋体" w:eastAsia="宋体" w:cs="宋体"/>
          <w:sz w:val="24"/>
          <w:szCs w:val="24"/>
          <w:highlight w:val="none"/>
        </w:rPr>
        <w:t>。</w:t>
      </w:r>
    </w:p>
    <w:p w14:paraId="21A57B5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提供市中心及8个分中心7×24小时应急响应服务；每年不少于1次网络安全方面的应急演练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每年不少于1次市中心及8个分中心硬件方面的资产梳理；每年不少于1次网络安全技术培训服务。</w:t>
      </w:r>
    </w:p>
    <w:p w14:paraId="3B610E60">
      <w:pPr>
        <w:snapToGrid w:val="0"/>
        <w:spacing w:line="360" w:lineRule="auto"/>
        <w:ind w:firstLine="480" w:firstLineChars="200"/>
        <w:contextualSpacing/>
        <w:rPr>
          <w:rFonts w:hint="eastAsia" w:ascii="宋体" w:cs="宋体"/>
          <w:sz w:val="24"/>
          <w:szCs w:val="24"/>
        </w:rPr>
      </w:pPr>
      <w:r>
        <w:rPr>
          <w:rFonts w:hint="eastAsia" w:ascii="宋体" w:hAnsi="宋体" w:eastAsia="宋体" w:cs="宋体"/>
          <w:sz w:val="24"/>
          <w:szCs w:val="24"/>
          <w:highlight w:val="none"/>
          <w:lang w:val="en-US" w:eastAsia="zh-CN"/>
        </w:rPr>
        <w:t>（5）2026年</w:t>
      </w:r>
      <w:r>
        <w:rPr>
          <w:rFonts w:hint="eastAsia" w:ascii="宋体" w:hAnsi="宋体" w:eastAsia="宋体" w:cs="宋体"/>
          <w:sz w:val="24"/>
          <w:szCs w:val="24"/>
          <w:highlight w:val="none"/>
        </w:rPr>
        <w:t>12月31 日前，完成当年度服务报告，报告内容包括全年安全运维服务内容和基础环境运维服务内容的汇总和改进优化建议。</w:t>
      </w:r>
    </w:p>
    <w:p w14:paraId="04B72CAB">
      <w:pPr>
        <w:spacing w:line="360" w:lineRule="auto"/>
        <w:ind w:firstLine="480" w:firstLineChars="200"/>
        <w:rPr>
          <w:rFonts w:hint="eastAsia" w:ascii="宋体" w:hAnsi="宋体" w:cs="宋体"/>
          <w:sz w:val="24"/>
          <w:szCs w:val="24"/>
        </w:rPr>
      </w:pPr>
      <w:r>
        <w:rPr>
          <w:rFonts w:hint="eastAsia" w:ascii="宋体" w:hAnsi="宋体" w:cs="宋体"/>
          <w:sz w:val="24"/>
          <w:szCs w:val="24"/>
        </w:rPr>
        <w:t>2、下列文件应作为本合同的组成部分：</w:t>
      </w:r>
    </w:p>
    <w:p w14:paraId="11C24257">
      <w:pPr>
        <w:spacing w:line="360" w:lineRule="auto"/>
        <w:ind w:firstLine="480" w:firstLineChars="200"/>
        <w:rPr>
          <w:rFonts w:hint="eastAsia" w:ascii="宋体" w:hAnsi="宋体" w:cs="宋体"/>
          <w:sz w:val="24"/>
          <w:szCs w:val="24"/>
        </w:rPr>
      </w:pPr>
      <w:r>
        <w:rPr>
          <w:rFonts w:hint="eastAsia" w:ascii="宋体" w:hAnsi="宋体" w:cs="宋体"/>
          <w:sz w:val="24"/>
          <w:szCs w:val="24"/>
        </w:rPr>
        <w:t>（1）合同协议书及附件（含补遗书等澄清文件，如果有）；</w:t>
      </w:r>
    </w:p>
    <w:p w14:paraId="10C122E9">
      <w:pPr>
        <w:spacing w:line="360" w:lineRule="auto"/>
        <w:ind w:firstLine="480" w:firstLineChars="200"/>
        <w:rPr>
          <w:rFonts w:hint="eastAsia" w:ascii="宋体" w:hAnsi="宋体" w:cs="宋体"/>
          <w:sz w:val="24"/>
          <w:szCs w:val="24"/>
        </w:rPr>
      </w:pPr>
      <w:r>
        <w:rPr>
          <w:rFonts w:hint="eastAsia" w:ascii="宋体" w:hAnsi="宋体" w:cs="宋体"/>
          <w:sz w:val="24"/>
          <w:szCs w:val="24"/>
        </w:rPr>
        <w:t>（2）成交通知书；</w:t>
      </w:r>
    </w:p>
    <w:p w14:paraId="3B1422EB">
      <w:pPr>
        <w:spacing w:line="360" w:lineRule="auto"/>
        <w:ind w:firstLine="480" w:firstLineChars="200"/>
        <w:rPr>
          <w:rFonts w:hint="eastAsia" w:ascii="宋体" w:hAnsi="宋体" w:cs="宋体"/>
          <w:sz w:val="24"/>
          <w:szCs w:val="24"/>
        </w:rPr>
      </w:pPr>
      <w:r>
        <w:rPr>
          <w:rFonts w:hint="eastAsia" w:ascii="宋体" w:hAnsi="宋体" w:cs="宋体"/>
          <w:sz w:val="24"/>
          <w:szCs w:val="24"/>
        </w:rPr>
        <w:t>（3）竞争性</w:t>
      </w:r>
      <w:r>
        <w:rPr>
          <w:rFonts w:hint="eastAsia" w:ascii="宋体" w:hAnsi="宋体" w:cs="宋体"/>
          <w:sz w:val="24"/>
          <w:szCs w:val="24"/>
          <w:lang w:val="en-US" w:eastAsia="zh-CN"/>
        </w:rPr>
        <w:t>磋商</w:t>
      </w:r>
      <w:r>
        <w:rPr>
          <w:rFonts w:hint="eastAsia" w:ascii="宋体" w:hAnsi="宋体" w:cs="宋体"/>
          <w:sz w:val="24"/>
          <w:szCs w:val="24"/>
        </w:rPr>
        <w:t>响应文件；</w:t>
      </w:r>
    </w:p>
    <w:p w14:paraId="5D3EE2CA">
      <w:pPr>
        <w:spacing w:line="360" w:lineRule="auto"/>
        <w:ind w:firstLine="480" w:firstLineChars="200"/>
        <w:rPr>
          <w:rFonts w:hint="eastAsia" w:ascii="宋体" w:hAnsi="宋体" w:cs="宋体"/>
          <w:sz w:val="24"/>
          <w:szCs w:val="24"/>
        </w:rPr>
      </w:pPr>
      <w:r>
        <w:rPr>
          <w:rFonts w:hint="eastAsia" w:ascii="宋体" w:hAnsi="宋体" w:cs="宋体"/>
          <w:sz w:val="24"/>
          <w:szCs w:val="24"/>
        </w:rPr>
        <w:t>（4）合同条款；</w:t>
      </w:r>
    </w:p>
    <w:p w14:paraId="1760169D">
      <w:pPr>
        <w:spacing w:line="360" w:lineRule="auto"/>
        <w:ind w:firstLine="480" w:firstLineChars="200"/>
        <w:rPr>
          <w:rFonts w:hint="eastAsia" w:ascii="宋体" w:hAnsi="宋体" w:cs="宋体"/>
          <w:sz w:val="24"/>
          <w:szCs w:val="24"/>
        </w:rPr>
      </w:pPr>
      <w:r>
        <w:rPr>
          <w:rFonts w:hint="eastAsia" w:ascii="宋体" w:hAnsi="宋体" w:cs="宋体"/>
          <w:sz w:val="24"/>
          <w:szCs w:val="24"/>
        </w:rPr>
        <w:t>（5）项目需求；</w:t>
      </w:r>
    </w:p>
    <w:p w14:paraId="65299347">
      <w:pPr>
        <w:spacing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磋商</w:t>
      </w:r>
      <w:r>
        <w:rPr>
          <w:rFonts w:hint="eastAsia" w:ascii="宋体" w:hAnsi="宋体" w:cs="宋体"/>
          <w:sz w:val="24"/>
          <w:szCs w:val="24"/>
        </w:rPr>
        <w:t>响应报价清单；</w:t>
      </w:r>
    </w:p>
    <w:p w14:paraId="2DB30D2A">
      <w:pPr>
        <w:spacing w:line="360" w:lineRule="auto"/>
        <w:ind w:firstLine="480" w:firstLineChars="200"/>
        <w:rPr>
          <w:rFonts w:hint="eastAsia" w:ascii="宋体" w:hAnsi="宋体" w:cs="宋体"/>
          <w:sz w:val="24"/>
          <w:szCs w:val="24"/>
        </w:rPr>
      </w:pPr>
      <w:r>
        <w:rPr>
          <w:rFonts w:hint="eastAsia" w:ascii="宋体" w:hAnsi="宋体" w:cs="宋体"/>
          <w:sz w:val="24"/>
          <w:szCs w:val="24"/>
        </w:rPr>
        <w:t>（7）项目主要参与人员的基本情况；</w:t>
      </w:r>
    </w:p>
    <w:p w14:paraId="1290D7B3">
      <w:pPr>
        <w:spacing w:line="360" w:lineRule="auto"/>
        <w:ind w:firstLine="480" w:firstLineChars="200"/>
        <w:rPr>
          <w:rFonts w:hint="eastAsia" w:ascii="宋体" w:hAnsi="宋体" w:cs="宋体"/>
          <w:sz w:val="24"/>
          <w:szCs w:val="24"/>
        </w:rPr>
      </w:pPr>
      <w:r>
        <w:rPr>
          <w:rFonts w:hint="eastAsia" w:ascii="宋体" w:hAnsi="宋体" w:cs="宋体"/>
          <w:sz w:val="24"/>
          <w:szCs w:val="24"/>
        </w:rPr>
        <w:t>（8）构成合同的其它文件。</w:t>
      </w:r>
    </w:p>
    <w:p w14:paraId="188788B7">
      <w:pPr>
        <w:spacing w:line="360" w:lineRule="auto"/>
        <w:ind w:firstLine="480" w:firstLineChars="200"/>
        <w:rPr>
          <w:rFonts w:hint="eastAsia" w:ascii="宋体" w:hAnsi="宋体" w:cs="宋体"/>
          <w:sz w:val="24"/>
          <w:szCs w:val="24"/>
        </w:rPr>
      </w:pPr>
      <w:r>
        <w:rPr>
          <w:rFonts w:hint="eastAsia" w:ascii="宋体" w:hAnsi="宋体" w:cs="宋体"/>
          <w:sz w:val="24"/>
          <w:szCs w:val="24"/>
        </w:rPr>
        <w:t>上述文件应认为是互为补充和解释的，但如有不明确或不一致之处，以上面所列顺序在前者为准。</w:t>
      </w:r>
    </w:p>
    <w:p w14:paraId="552BDC19">
      <w:pPr>
        <w:spacing w:line="360" w:lineRule="auto"/>
        <w:ind w:firstLine="480" w:firstLineChars="200"/>
        <w:rPr>
          <w:rFonts w:hint="eastAsia" w:ascii="宋体" w:hAnsi="宋体" w:cs="宋体"/>
          <w:sz w:val="24"/>
          <w:szCs w:val="24"/>
        </w:rPr>
      </w:pPr>
      <w:r>
        <w:rPr>
          <w:rFonts w:hint="eastAsia" w:ascii="宋体" w:hAnsi="宋体" w:cs="宋体"/>
          <w:sz w:val="24"/>
          <w:szCs w:val="24"/>
        </w:rPr>
        <w:t>3、服务周期：服务期为12个月。2026年1月底前，对市公路中心(包含下属8个分中心)的外网出口防火墙、内网防火墙、服务器区防火墙、中心无线防火墙XDR、探针、中心终端 EDR 完成软硬件维保服务授权，安全接入服务授权工作。</w:t>
      </w:r>
    </w:p>
    <w:p w14:paraId="43D19A1E">
      <w:pPr>
        <w:spacing w:line="360" w:lineRule="auto"/>
        <w:ind w:firstLine="480" w:firstLineChars="200"/>
        <w:rPr>
          <w:rFonts w:hint="eastAsia" w:ascii="宋体" w:hAnsi="宋体" w:cs="宋体"/>
          <w:sz w:val="24"/>
          <w:szCs w:val="24"/>
        </w:rPr>
      </w:pPr>
      <w:r>
        <w:rPr>
          <w:rFonts w:hint="eastAsia" w:ascii="宋体" w:hAnsi="宋体" w:cs="宋体"/>
          <w:sz w:val="24"/>
          <w:szCs w:val="24"/>
        </w:rPr>
        <w:t>服务期满，完成当年度基础环境及安全运维服务工作，并提交当年度服务报告。</w:t>
      </w:r>
    </w:p>
    <w:p w14:paraId="36D1C849">
      <w:pPr>
        <w:spacing w:line="360" w:lineRule="auto"/>
        <w:ind w:firstLine="480" w:firstLineChars="200"/>
        <w:rPr>
          <w:rFonts w:hint="eastAsia" w:ascii="宋体" w:hAnsi="宋体" w:cs="宋体"/>
          <w:sz w:val="24"/>
          <w:szCs w:val="24"/>
        </w:rPr>
      </w:pPr>
      <w:r>
        <w:rPr>
          <w:rFonts w:hint="eastAsia" w:ascii="宋体" w:hAnsi="宋体" w:cs="宋体"/>
          <w:sz w:val="24"/>
          <w:szCs w:val="24"/>
        </w:rPr>
        <w:t>4、甲方和乙方双方的责任和义务及违约条款遵照合同条款的规定。</w:t>
      </w:r>
    </w:p>
    <w:p w14:paraId="1F3DA188">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5、合同价格</w:t>
      </w:r>
    </w:p>
    <w:p w14:paraId="12662B46">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本合同为总价合同，合同总价为人民币（大写）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b/>
          <w:sz w:val="24"/>
          <w:szCs w:val="24"/>
        </w:rPr>
        <w:t>¥</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0ECA8EAA">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支付方式：签订合同15日内支付预付款为签约合同价的30%。2026年6月底前支付签约合同价的30%。服务期满且完成全部服务并通过验收后付清尾款。</w:t>
      </w:r>
    </w:p>
    <w:p w14:paraId="09EF8791">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注：</w:t>
      </w:r>
    </w:p>
    <w:p w14:paraId="2B24FF1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）每次付款须按合同扣减违约金和赔偿款；</w:t>
      </w:r>
    </w:p>
    <w:p w14:paraId="39EF569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付款前供应商须提供等额合规发票及相关申请资料，否则采购人可以拒付；</w:t>
      </w:r>
    </w:p>
    <w:p w14:paraId="6B4FC23D">
      <w:pPr>
        <w:tabs>
          <w:tab w:val="left" w:pos="1800"/>
        </w:tabs>
        <w:spacing w:line="360" w:lineRule="auto"/>
        <w:ind w:firstLine="480" w:firstLineChars="200"/>
        <w:rPr>
          <w:rFonts w:hint="eastAsia" w:ascii="宋体" w:hAnsi="宋体" w:cs="宋体"/>
          <w:sz w:val="24"/>
          <w:szCs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所有付款均不计利息。</w:t>
      </w:r>
    </w:p>
    <w:p w14:paraId="6B7DBC94">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6、乙方</w:t>
      </w:r>
      <w:r>
        <w:rPr>
          <w:rFonts w:ascii="Garamond" w:hAnsi="Garamond"/>
          <w:sz w:val="24"/>
          <w:szCs w:val="24"/>
        </w:rPr>
        <w:t>承诺按照本合同的规定履行技术服务</w:t>
      </w:r>
      <w:r>
        <w:rPr>
          <w:rFonts w:hint="eastAsia" w:ascii="Garamond" w:hAnsi="Garamond"/>
          <w:sz w:val="24"/>
          <w:szCs w:val="24"/>
        </w:rPr>
        <w:t>，</w:t>
      </w:r>
      <w:r>
        <w:rPr>
          <w:rFonts w:hint="eastAsia" w:ascii="宋体" w:hAnsi="宋体" w:cs="宋体"/>
          <w:sz w:val="24"/>
          <w:szCs w:val="24"/>
        </w:rPr>
        <w:t>投入本项目人员见本合同协议书附件。</w:t>
      </w:r>
    </w:p>
    <w:p w14:paraId="368ADE14">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7、本合同协议书未尽事宜由双方协商解决。</w:t>
      </w:r>
    </w:p>
    <w:p w14:paraId="53BE9C0C">
      <w:pPr>
        <w:spacing w:line="360" w:lineRule="auto"/>
        <w:ind w:firstLine="480" w:firstLineChars="200"/>
        <w:rPr>
          <w:rFonts w:hint="eastAsia" w:ascii="宋体" w:hAnsi="宋体" w:cs="宋体"/>
          <w:sz w:val="24"/>
          <w:szCs w:val="24"/>
        </w:rPr>
      </w:pPr>
      <w:r>
        <w:rPr>
          <w:rFonts w:hint="eastAsia" w:ascii="宋体" w:hAnsi="宋体" w:cs="宋体"/>
          <w:sz w:val="24"/>
          <w:szCs w:val="24"/>
        </w:rPr>
        <w:t>8、本合同在履行过程中发生的争议，由双方当事人协商解决，协商不成的，按下列第（1）种方式解决：</w:t>
      </w:r>
    </w:p>
    <w:p w14:paraId="397F6F49">
      <w:pPr>
        <w:spacing w:line="360" w:lineRule="auto"/>
        <w:ind w:firstLine="480" w:firstLineChars="200"/>
        <w:rPr>
          <w:rFonts w:hint="eastAsia" w:ascii="宋体" w:hAnsi="宋体" w:cs="宋体"/>
          <w:sz w:val="24"/>
          <w:szCs w:val="24"/>
        </w:rPr>
      </w:pPr>
      <w:r>
        <w:rPr>
          <w:rFonts w:hint="eastAsia" w:ascii="宋体" w:hAnsi="宋体" w:cs="宋体"/>
          <w:sz w:val="24"/>
          <w:szCs w:val="24"/>
        </w:rPr>
        <w:t>（1）提交南通仲裁委员会仲裁；</w:t>
      </w:r>
    </w:p>
    <w:p w14:paraId="17319F28">
      <w:pPr>
        <w:spacing w:line="360" w:lineRule="auto"/>
        <w:ind w:firstLine="480" w:firstLineChars="200"/>
        <w:rPr>
          <w:rFonts w:hint="eastAsia" w:ascii="宋体" w:hAnsi="宋体" w:cs="宋体"/>
          <w:sz w:val="24"/>
          <w:szCs w:val="24"/>
        </w:rPr>
      </w:pPr>
      <w:r>
        <w:rPr>
          <w:rFonts w:hint="eastAsia" w:ascii="宋体" w:hAnsi="宋体" w:cs="宋体"/>
          <w:sz w:val="24"/>
          <w:szCs w:val="24"/>
        </w:rPr>
        <w:t>（2）依法向南通市人民法院起诉。</w:t>
      </w:r>
    </w:p>
    <w:p w14:paraId="01FFC110">
      <w:pPr>
        <w:spacing w:line="360" w:lineRule="auto"/>
        <w:ind w:firstLine="480" w:firstLineChars="200"/>
        <w:rPr>
          <w:rFonts w:hint="eastAsia" w:ascii="宋体" w:hAnsi="宋体" w:cs="宋体"/>
          <w:sz w:val="24"/>
          <w:szCs w:val="24"/>
        </w:rPr>
      </w:pPr>
      <w:r>
        <w:rPr>
          <w:rFonts w:hint="eastAsia" w:ascii="宋体" w:hAnsi="宋体" w:cs="宋体"/>
          <w:sz w:val="24"/>
          <w:szCs w:val="24"/>
        </w:rPr>
        <w:t>9、本协议书由双方法定代表人或其授权的代理人签字并加盖公章后生效。服务费用结清后</w:t>
      </w:r>
      <w:r>
        <w:rPr>
          <w:rFonts w:hint="eastAsia" w:ascii="宋体" w:hAnsi="宋体" w:cs="宋体"/>
          <w:sz w:val="24"/>
          <w:lang w:val="en-US" w:eastAsia="zh-CN"/>
        </w:rPr>
        <w:t>终止</w:t>
      </w:r>
      <w:r>
        <w:rPr>
          <w:rFonts w:hint="eastAsia" w:ascii="宋体" w:hAnsi="宋体" w:cs="宋体"/>
          <w:sz w:val="24"/>
          <w:szCs w:val="24"/>
        </w:rPr>
        <w:t>。</w:t>
      </w:r>
    </w:p>
    <w:p w14:paraId="4A0DC721">
      <w:pPr>
        <w:spacing w:line="360" w:lineRule="auto"/>
        <w:ind w:firstLine="480" w:firstLineChars="200"/>
        <w:rPr>
          <w:rFonts w:hint="eastAsia" w:ascii="宋体" w:hAnsi="宋体" w:cs="宋体"/>
          <w:sz w:val="24"/>
          <w:szCs w:val="24"/>
        </w:rPr>
      </w:pPr>
      <w:r>
        <w:rPr>
          <w:rFonts w:hint="eastAsia" w:ascii="宋体" w:hAnsi="宋体" w:cs="宋体"/>
          <w:sz w:val="24"/>
          <w:szCs w:val="24"/>
        </w:rPr>
        <w:t>10、本协议书一式</w:t>
      </w:r>
      <w:r>
        <w:rPr>
          <w:rFonts w:hint="eastAsia" w:ascii="宋体" w:hAnsi="宋体" w:cs="宋体"/>
          <w:sz w:val="24"/>
          <w:szCs w:val="24"/>
          <w:u w:val="single"/>
        </w:rPr>
        <w:t xml:space="preserve">    </w:t>
      </w:r>
      <w:r>
        <w:rPr>
          <w:rFonts w:hint="eastAsia" w:ascii="宋体" w:hAnsi="宋体" w:cs="宋体"/>
          <w:sz w:val="24"/>
          <w:szCs w:val="24"/>
        </w:rPr>
        <w:t xml:space="preserve">份，合同双方各执 </w:t>
      </w:r>
      <w:r>
        <w:rPr>
          <w:rFonts w:hint="eastAsia" w:ascii="宋体" w:hAnsi="宋体" w:cs="宋体"/>
          <w:sz w:val="24"/>
          <w:szCs w:val="24"/>
          <w:u w:val="single"/>
        </w:rPr>
        <w:t xml:space="preserve">    </w:t>
      </w:r>
      <w:r>
        <w:rPr>
          <w:rFonts w:hint="eastAsia" w:ascii="宋体" w:hAnsi="宋体" w:cs="宋体"/>
          <w:sz w:val="24"/>
          <w:szCs w:val="24"/>
        </w:rPr>
        <w:t>份。</w:t>
      </w:r>
    </w:p>
    <w:p w14:paraId="1B616A62">
      <w:pPr>
        <w:spacing w:line="360" w:lineRule="auto"/>
        <w:ind w:firstLine="480" w:firstLineChars="200"/>
        <w:rPr>
          <w:rFonts w:hint="eastAsia" w:ascii="宋体" w:hAnsi="宋体" w:cs="宋体"/>
          <w:sz w:val="24"/>
          <w:szCs w:val="24"/>
        </w:rPr>
      </w:pPr>
      <w:r>
        <w:rPr>
          <w:rFonts w:hint="eastAsia" w:ascii="宋体" w:hAnsi="宋体" w:cs="宋体"/>
          <w:sz w:val="24"/>
          <w:szCs w:val="24"/>
        </w:rPr>
        <w:t>附件：投入本项目人员名单</w:t>
      </w:r>
    </w:p>
    <w:p w14:paraId="2DC1AA74">
      <w:pPr>
        <w:spacing w:line="360" w:lineRule="auto"/>
        <w:ind w:firstLine="480" w:firstLineChars="200"/>
        <w:rPr>
          <w:rFonts w:hint="eastAsia" w:ascii="宋体" w:hAnsi="宋体" w:cs="宋体"/>
          <w:sz w:val="24"/>
          <w:szCs w:val="24"/>
        </w:rPr>
      </w:pPr>
    </w:p>
    <w:p w14:paraId="49B777EA">
      <w:pPr>
        <w:spacing w:line="360" w:lineRule="auto"/>
        <w:ind w:firstLine="200"/>
        <w:rPr>
          <w:rFonts w:hint="eastAsia" w:ascii="宋体" w:hAnsi="宋体" w:cs="宋体"/>
          <w:sz w:val="24"/>
          <w:szCs w:val="24"/>
          <w:u w:val="single"/>
        </w:rPr>
      </w:pPr>
      <w:r>
        <w:rPr>
          <w:rFonts w:hint="eastAsia" w:ascii="宋体" w:hAnsi="宋体" w:cs="宋体"/>
          <w:sz w:val="24"/>
          <w:szCs w:val="24"/>
        </w:rPr>
        <w:t>甲方:</w:t>
      </w:r>
      <w:r>
        <w:rPr>
          <w:rFonts w:hint="eastAsia" w:ascii="宋体" w:hAnsi="宋体" w:cs="宋体"/>
          <w:sz w:val="24"/>
          <w:szCs w:val="24"/>
          <w:u w:val="single"/>
        </w:rPr>
        <w:t xml:space="preserve"> （全称）         （盖章）  </w:t>
      </w:r>
      <w:r>
        <w:rPr>
          <w:rFonts w:hint="eastAsia" w:ascii="宋体" w:hAnsi="宋体" w:cs="宋体"/>
          <w:sz w:val="24"/>
          <w:szCs w:val="24"/>
        </w:rPr>
        <w:t>　      乙方:</w:t>
      </w:r>
      <w:r>
        <w:rPr>
          <w:rFonts w:hint="eastAsia" w:ascii="宋体" w:hAnsi="宋体" w:cs="宋体"/>
          <w:sz w:val="24"/>
          <w:szCs w:val="24"/>
          <w:u w:val="single"/>
        </w:rPr>
        <w:t xml:space="preserve"> （全称） （盖章）         </w:t>
      </w:r>
    </w:p>
    <w:p w14:paraId="61B65CB5">
      <w:pPr>
        <w:spacing w:line="360" w:lineRule="auto"/>
        <w:ind w:firstLine="200"/>
        <w:jc w:val="left"/>
        <w:rPr>
          <w:rFonts w:hint="eastAsia" w:ascii="宋体" w:hAnsi="宋体" w:cs="宋体"/>
          <w:sz w:val="24"/>
          <w:szCs w:val="24"/>
        </w:rPr>
      </w:pPr>
      <w:r>
        <w:rPr>
          <w:rFonts w:hint="eastAsia" w:ascii="宋体" w:hAnsi="宋体" w:cs="宋体"/>
          <w:sz w:val="24"/>
          <w:szCs w:val="24"/>
        </w:rPr>
        <w:t>法定代表人                               法定代表人</w:t>
      </w:r>
    </w:p>
    <w:p w14:paraId="7B0E95DF">
      <w:pPr>
        <w:spacing w:line="360" w:lineRule="auto"/>
        <w:ind w:firstLine="200"/>
        <w:jc w:val="left"/>
        <w:rPr>
          <w:rFonts w:hint="eastAsia" w:ascii="宋体" w:hAnsi="宋体" w:cs="宋体"/>
          <w:sz w:val="24"/>
          <w:szCs w:val="24"/>
          <w:u w:val="single"/>
        </w:rPr>
      </w:pPr>
      <w:r>
        <w:rPr>
          <w:rFonts w:hint="eastAsia" w:ascii="宋体" w:hAnsi="宋体" w:cs="宋体"/>
          <w:sz w:val="24"/>
          <w:szCs w:val="24"/>
        </w:rPr>
        <w:t>或其委托代理人：</w:t>
      </w:r>
      <w:r>
        <w:rPr>
          <w:rFonts w:hint="eastAsia" w:ascii="宋体" w:hAnsi="宋体" w:cs="宋体"/>
          <w:sz w:val="24"/>
          <w:szCs w:val="24"/>
          <w:u w:val="single"/>
        </w:rPr>
        <w:t>（签字）</w:t>
      </w:r>
      <w:r>
        <w:rPr>
          <w:rFonts w:hint="eastAsia" w:ascii="宋体" w:hAnsi="宋体" w:cs="宋体"/>
          <w:sz w:val="24"/>
          <w:szCs w:val="24"/>
        </w:rPr>
        <w:t xml:space="preserve">                 或其委托代理人：</w:t>
      </w:r>
      <w:r>
        <w:rPr>
          <w:rFonts w:hint="eastAsia" w:ascii="宋体" w:hAnsi="宋体" w:cs="宋体"/>
          <w:sz w:val="24"/>
          <w:szCs w:val="24"/>
          <w:u w:val="single"/>
        </w:rPr>
        <w:t>（签字）</w:t>
      </w:r>
    </w:p>
    <w:p w14:paraId="3FF2521E">
      <w:pPr>
        <w:spacing w:line="360" w:lineRule="auto"/>
        <w:ind w:firstLine="200"/>
        <w:jc w:val="left"/>
        <w:rPr>
          <w:rFonts w:hint="eastAsia" w:ascii="宋体" w:hAnsi="宋体" w:cs="宋体"/>
          <w:sz w:val="24"/>
          <w:szCs w:val="24"/>
        </w:rPr>
      </w:pPr>
    </w:p>
    <w:p w14:paraId="507D2067">
      <w:pPr>
        <w:tabs>
          <w:tab w:val="left" w:pos="4395"/>
          <w:tab w:val="left" w:pos="4678"/>
          <w:tab w:val="left" w:pos="4820"/>
        </w:tabs>
        <w:spacing w:line="360" w:lineRule="auto"/>
        <w:ind w:firstLine="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5F3084F">
      <w:pPr>
        <w:spacing w:line="300" w:lineRule="auto"/>
        <w:rPr>
          <w:rFonts w:hint="eastAsia" w:ascii="宋体" w:hAnsi="宋体" w:cs="宋体"/>
          <w:sz w:val="24"/>
        </w:rPr>
      </w:pPr>
    </w:p>
    <w:p w14:paraId="5A69029A">
      <w:pPr>
        <w:spacing w:line="360" w:lineRule="auto"/>
        <w:rPr>
          <w:rFonts w:ascii="宋体" w:hAnsi="宋体" w:eastAsia="宋体" w:cs="宋体"/>
          <w:b/>
          <w:color w:val="auto"/>
          <w:sz w:val="24"/>
          <w:szCs w:val="20"/>
          <w:highlight w:val="none"/>
        </w:rPr>
      </w:pPr>
      <w:r>
        <w:rPr>
          <w:rFonts w:hint="eastAsia" w:ascii="宋体" w:hAnsi="宋体" w:cs="宋体"/>
          <w:sz w:val="24"/>
        </w:rPr>
        <w:br w:type="page"/>
      </w:r>
      <w:r>
        <w:rPr>
          <w:rFonts w:hint="eastAsia" w:ascii="宋体" w:hAnsi="宋体" w:eastAsia="宋体" w:cs="宋体"/>
          <w:b/>
          <w:color w:val="auto"/>
          <w:sz w:val="24"/>
          <w:szCs w:val="20"/>
          <w:highlight w:val="none"/>
        </w:rPr>
        <w:t>附件1</w:t>
      </w:r>
    </w:p>
    <w:p w14:paraId="6F7B7876">
      <w:pPr>
        <w:spacing w:line="300" w:lineRule="auto"/>
        <w:jc w:val="center"/>
        <w:rPr>
          <w:rFonts w:ascii="宋体" w:hAnsi="宋体" w:eastAsia="宋体" w:cs="Times New Roman"/>
          <w:bCs/>
          <w:color w:val="auto"/>
          <w:sz w:val="32"/>
          <w:szCs w:val="32"/>
          <w:highlight w:val="none"/>
        </w:rPr>
      </w:pPr>
      <w:r>
        <w:rPr>
          <w:rFonts w:hint="eastAsia" w:ascii="宋体" w:hAnsi="宋体" w:eastAsia="宋体" w:cs="Times New Roman"/>
          <w:bCs/>
          <w:color w:val="auto"/>
          <w:sz w:val="32"/>
          <w:szCs w:val="32"/>
          <w:highlight w:val="none"/>
        </w:rPr>
        <w:t>投入本项目主要人员情况汇总表</w:t>
      </w:r>
    </w:p>
    <w:tbl>
      <w:tblPr>
        <w:tblStyle w:val="1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724F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556E32DB">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序号</w:t>
            </w:r>
          </w:p>
        </w:tc>
        <w:tc>
          <w:tcPr>
            <w:tcW w:w="1024" w:type="dxa"/>
            <w:vMerge w:val="restart"/>
            <w:noWrap/>
            <w:vAlign w:val="center"/>
          </w:tcPr>
          <w:p w14:paraId="3EBD9B61">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在本</w:t>
            </w:r>
            <w:r>
              <w:rPr>
                <w:rFonts w:hint="eastAsia" w:ascii="Arial" w:hAnsi="Arial" w:eastAsia="宋体" w:cs="Arial"/>
                <w:color w:val="auto"/>
                <w:kern w:val="0"/>
                <w:sz w:val="20"/>
                <w:highlight w:val="none"/>
              </w:rPr>
              <w:t>项目</w:t>
            </w:r>
            <w:r>
              <w:rPr>
                <w:rFonts w:ascii="Arial" w:hAnsi="Arial" w:eastAsia="宋体" w:cs="Arial"/>
                <w:color w:val="auto"/>
                <w:kern w:val="0"/>
                <w:sz w:val="20"/>
                <w:highlight w:val="none"/>
              </w:rPr>
              <w:t>任职</w:t>
            </w:r>
          </w:p>
        </w:tc>
        <w:tc>
          <w:tcPr>
            <w:tcW w:w="900" w:type="dxa"/>
            <w:vMerge w:val="restart"/>
            <w:noWrap/>
            <w:vAlign w:val="center"/>
          </w:tcPr>
          <w:p w14:paraId="22F1403A">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姓名</w:t>
            </w:r>
          </w:p>
        </w:tc>
        <w:tc>
          <w:tcPr>
            <w:tcW w:w="540" w:type="dxa"/>
            <w:vMerge w:val="restart"/>
            <w:noWrap/>
            <w:vAlign w:val="center"/>
          </w:tcPr>
          <w:p w14:paraId="6A97FD19">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学历</w:t>
            </w:r>
          </w:p>
        </w:tc>
        <w:tc>
          <w:tcPr>
            <w:tcW w:w="900" w:type="dxa"/>
            <w:vMerge w:val="restart"/>
            <w:noWrap/>
            <w:vAlign w:val="center"/>
          </w:tcPr>
          <w:p w14:paraId="60B8C1AD">
            <w:pPr>
              <w:widowControl/>
              <w:jc w:val="center"/>
              <w:textAlignment w:val="bottom"/>
              <w:rPr>
                <w:rFonts w:ascii="Arial" w:hAnsi="Arial" w:eastAsia="宋体" w:cs="Arial"/>
                <w:color w:val="auto"/>
                <w:kern w:val="0"/>
                <w:sz w:val="20"/>
                <w:highlight w:val="none"/>
              </w:rPr>
            </w:pPr>
            <w:r>
              <w:rPr>
                <w:rFonts w:ascii="Arial" w:hAnsi="Arial" w:eastAsia="宋体" w:cs="Arial"/>
                <w:color w:val="auto"/>
                <w:kern w:val="0"/>
                <w:sz w:val="20"/>
                <w:highlight w:val="none"/>
              </w:rPr>
              <w:t>技术</w:t>
            </w:r>
          </w:p>
          <w:p w14:paraId="7011855C">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职称</w:t>
            </w:r>
          </w:p>
        </w:tc>
        <w:tc>
          <w:tcPr>
            <w:tcW w:w="720" w:type="dxa"/>
            <w:vMerge w:val="restart"/>
            <w:noWrap/>
            <w:vAlign w:val="center"/>
          </w:tcPr>
          <w:p w14:paraId="23B6C3CD">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专业</w:t>
            </w:r>
          </w:p>
        </w:tc>
        <w:tc>
          <w:tcPr>
            <w:tcW w:w="2160" w:type="dxa"/>
            <w:gridSpan w:val="2"/>
            <w:noWrap/>
            <w:vAlign w:val="center"/>
          </w:tcPr>
          <w:p w14:paraId="6153B4D6">
            <w:pPr>
              <w:widowControl/>
              <w:jc w:val="center"/>
              <w:textAlignment w:val="bottom"/>
              <w:rPr>
                <w:rFonts w:ascii="Arial" w:hAnsi="Arial" w:eastAsia="宋体" w:cs="Arial"/>
                <w:color w:val="auto"/>
                <w:kern w:val="0"/>
                <w:sz w:val="20"/>
                <w:highlight w:val="none"/>
              </w:rPr>
            </w:pPr>
            <w:r>
              <w:rPr>
                <w:rFonts w:hint="eastAsia" w:ascii="Arial" w:hAnsi="Arial" w:eastAsia="宋体" w:cs="Arial"/>
                <w:color w:val="auto"/>
                <w:kern w:val="0"/>
                <w:sz w:val="20"/>
                <w:highlight w:val="none"/>
              </w:rPr>
              <w:t>执业或职业资格证明</w:t>
            </w:r>
          </w:p>
        </w:tc>
        <w:tc>
          <w:tcPr>
            <w:tcW w:w="1800" w:type="dxa"/>
            <w:vMerge w:val="restart"/>
            <w:noWrap/>
            <w:vAlign w:val="center"/>
          </w:tcPr>
          <w:p w14:paraId="4FA55314">
            <w:pPr>
              <w:widowControl/>
              <w:jc w:val="center"/>
              <w:textAlignment w:val="bottom"/>
              <w:rPr>
                <w:rFonts w:ascii="Arial" w:hAnsi="Arial" w:eastAsia="宋体" w:cs="Arial"/>
                <w:color w:val="auto"/>
                <w:sz w:val="20"/>
                <w:highlight w:val="none"/>
              </w:rPr>
            </w:pPr>
            <w:r>
              <w:rPr>
                <w:rFonts w:hint="eastAsia" w:ascii="Arial" w:hAnsi="Arial" w:eastAsia="宋体" w:cs="Arial"/>
                <w:color w:val="auto"/>
                <w:kern w:val="0"/>
                <w:sz w:val="20"/>
                <w:highlight w:val="none"/>
              </w:rPr>
              <w:t>身份证号</w:t>
            </w:r>
          </w:p>
        </w:tc>
        <w:tc>
          <w:tcPr>
            <w:tcW w:w="720" w:type="dxa"/>
            <w:vMerge w:val="restart"/>
            <w:noWrap/>
            <w:vAlign w:val="center"/>
          </w:tcPr>
          <w:p w14:paraId="74C0349F">
            <w:pPr>
              <w:widowControl/>
              <w:jc w:val="center"/>
              <w:textAlignment w:val="bottom"/>
              <w:rPr>
                <w:rFonts w:ascii="Arial" w:hAnsi="Arial" w:eastAsia="宋体" w:cs="Arial"/>
                <w:color w:val="auto"/>
                <w:sz w:val="20"/>
                <w:highlight w:val="none"/>
              </w:rPr>
            </w:pPr>
            <w:r>
              <w:rPr>
                <w:rFonts w:hint="eastAsia" w:ascii="Arial" w:hAnsi="Arial" w:eastAsia="宋体" w:cs="Arial"/>
                <w:color w:val="auto"/>
                <w:sz w:val="20"/>
                <w:highlight w:val="none"/>
              </w:rPr>
              <w:t>社保</w:t>
            </w:r>
          </w:p>
          <w:p w14:paraId="63688123">
            <w:pPr>
              <w:widowControl/>
              <w:jc w:val="center"/>
              <w:textAlignment w:val="bottom"/>
              <w:rPr>
                <w:rFonts w:ascii="Arial" w:hAnsi="Arial" w:eastAsia="宋体" w:cs="Arial"/>
                <w:color w:val="auto"/>
                <w:sz w:val="20"/>
                <w:highlight w:val="none"/>
              </w:rPr>
            </w:pPr>
            <w:r>
              <w:rPr>
                <w:rFonts w:hint="eastAsia" w:ascii="Arial" w:hAnsi="Arial" w:eastAsia="宋体" w:cs="Arial"/>
                <w:color w:val="auto"/>
                <w:sz w:val="20"/>
                <w:highlight w:val="none"/>
              </w:rPr>
              <w:t>缴费单位</w:t>
            </w:r>
          </w:p>
        </w:tc>
        <w:tc>
          <w:tcPr>
            <w:tcW w:w="720" w:type="dxa"/>
            <w:vMerge w:val="restart"/>
            <w:noWrap/>
            <w:vAlign w:val="center"/>
          </w:tcPr>
          <w:p w14:paraId="0A1083DF">
            <w:pPr>
              <w:widowControl/>
              <w:jc w:val="center"/>
              <w:textAlignment w:val="bottom"/>
              <w:rPr>
                <w:rFonts w:ascii="Arial" w:hAnsi="Arial" w:eastAsia="宋体" w:cs="Arial"/>
                <w:color w:val="auto"/>
                <w:sz w:val="20"/>
                <w:highlight w:val="none"/>
              </w:rPr>
            </w:pPr>
            <w:r>
              <w:rPr>
                <w:rFonts w:hint="eastAsia" w:ascii="Arial" w:hAnsi="Arial" w:eastAsia="宋体" w:cs="Arial"/>
                <w:color w:val="auto"/>
                <w:sz w:val="20"/>
                <w:highlight w:val="none"/>
              </w:rPr>
              <w:t>备注</w:t>
            </w:r>
          </w:p>
        </w:tc>
      </w:tr>
      <w:tr w14:paraId="1423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09853DB3">
            <w:pPr>
              <w:spacing w:line="300" w:lineRule="auto"/>
              <w:jc w:val="center"/>
              <w:rPr>
                <w:rFonts w:ascii="黑体" w:hAnsi="Times New Roman" w:eastAsia="黑体" w:cs="Times New Roman"/>
                <w:b/>
                <w:color w:val="auto"/>
                <w:sz w:val="24"/>
                <w:highlight w:val="none"/>
              </w:rPr>
            </w:pPr>
          </w:p>
        </w:tc>
        <w:tc>
          <w:tcPr>
            <w:tcW w:w="1024" w:type="dxa"/>
            <w:vMerge w:val="continue"/>
            <w:noWrap/>
            <w:vAlign w:val="center"/>
          </w:tcPr>
          <w:p w14:paraId="0EE6F32E">
            <w:pPr>
              <w:spacing w:line="300" w:lineRule="auto"/>
              <w:jc w:val="center"/>
              <w:rPr>
                <w:rFonts w:ascii="黑体" w:hAnsi="Times New Roman" w:eastAsia="黑体" w:cs="Times New Roman"/>
                <w:b/>
                <w:color w:val="auto"/>
                <w:sz w:val="24"/>
                <w:highlight w:val="none"/>
              </w:rPr>
            </w:pPr>
          </w:p>
        </w:tc>
        <w:tc>
          <w:tcPr>
            <w:tcW w:w="900" w:type="dxa"/>
            <w:vMerge w:val="continue"/>
            <w:noWrap/>
            <w:vAlign w:val="center"/>
          </w:tcPr>
          <w:p w14:paraId="1BE6BBCA">
            <w:pPr>
              <w:spacing w:line="300" w:lineRule="auto"/>
              <w:jc w:val="center"/>
              <w:rPr>
                <w:rFonts w:ascii="黑体" w:hAnsi="Times New Roman" w:eastAsia="黑体" w:cs="Times New Roman"/>
                <w:b/>
                <w:color w:val="auto"/>
                <w:sz w:val="24"/>
                <w:highlight w:val="none"/>
              </w:rPr>
            </w:pPr>
          </w:p>
        </w:tc>
        <w:tc>
          <w:tcPr>
            <w:tcW w:w="540" w:type="dxa"/>
            <w:vMerge w:val="continue"/>
            <w:noWrap/>
            <w:vAlign w:val="center"/>
          </w:tcPr>
          <w:p w14:paraId="7141F941">
            <w:pPr>
              <w:spacing w:line="300" w:lineRule="auto"/>
              <w:jc w:val="center"/>
              <w:rPr>
                <w:rFonts w:ascii="黑体" w:hAnsi="Times New Roman" w:eastAsia="黑体" w:cs="Times New Roman"/>
                <w:b/>
                <w:color w:val="auto"/>
                <w:sz w:val="24"/>
                <w:highlight w:val="none"/>
              </w:rPr>
            </w:pPr>
          </w:p>
        </w:tc>
        <w:tc>
          <w:tcPr>
            <w:tcW w:w="900" w:type="dxa"/>
            <w:vMerge w:val="continue"/>
            <w:noWrap/>
            <w:vAlign w:val="center"/>
          </w:tcPr>
          <w:p w14:paraId="32D63222">
            <w:pPr>
              <w:spacing w:line="300" w:lineRule="auto"/>
              <w:jc w:val="center"/>
              <w:rPr>
                <w:rFonts w:ascii="黑体" w:hAnsi="Times New Roman" w:eastAsia="黑体" w:cs="Times New Roman"/>
                <w:b/>
                <w:color w:val="auto"/>
                <w:sz w:val="24"/>
                <w:highlight w:val="none"/>
              </w:rPr>
            </w:pPr>
          </w:p>
        </w:tc>
        <w:tc>
          <w:tcPr>
            <w:tcW w:w="720" w:type="dxa"/>
            <w:vMerge w:val="continue"/>
            <w:noWrap/>
            <w:vAlign w:val="center"/>
          </w:tcPr>
          <w:p w14:paraId="3BE685AD">
            <w:pPr>
              <w:spacing w:line="300" w:lineRule="auto"/>
              <w:jc w:val="center"/>
              <w:rPr>
                <w:rFonts w:ascii="黑体" w:hAnsi="Times New Roman" w:eastAsia="黑体" w:cs="Times New Roman"/>
                <w:b/>
                <w:color w:val="auto"/>
                <w:sz w:val="24"/>
                <w:highlight w:val="none"/>
              </w:rPr>
            </w:pPr>
          </w:p>
        </w:tc>
        <w:tc>
          <w:tcPr>
            <w:tcW w:w="900" w:type="dxa"/>
            <w:noWrap/>
            <w:vAlign w:val="center"/>
          </w:tcPr>
          <w:p w14:paraId="26599A4A">
            <w:pPr>
              <w:jc w:val="center"/>
              <w:rPr>
                <w:rFonts w:ascii="Arial" w:hAnsi="Arial" w:eastAsia="宋体" w:cs="Arial"/>
                <w:color w:val="auto"/>
                <w:kern w:val="0"/>
                <w:sz w:val="20"/>
                <w:highlight w:val="none"/>
              </w:rPr>
            </w:pPr>
            <w:r>
              <w:rPr>
                <w:rFonts w:hint="eastAsia" w:ascii="Arial" w:hAnsi="Arial" w:eastAsia="宋体" w:cs="Arial"/>
                <w:color w:val="auto"/>
                <w:kern w:val="0"/>
                <w:sz w:val="20"/>
                <w:highlight w:val="none"/>
              </w:rPr>
              <w:t>证书</w:t>
            </w:r>
          </w:p>
          <w:p w14:paraId="21D76964">
            <w:pPr>
              <w:jc w:val="center"/>
              <w:rPr>
                <w:rFonts w:ascii="Arial" w:hAnsi="Arial" w:eastAsia="宋体" w:cs="Arial"/>
                <w:color w:val="auto"/>
                <w:kern w:val="0"/>
                <w:sz w:val="20"/>
                <w:highlight w:val="none"/>
              </w:rPr>
            </w:pPr>
            <w:r>
              <w:rPr>
                <w:rFonts w:hint="eastAsia" w:ascii="Arial" w:hAnsi="Arial" w:eastAsia="宋体" w:cs="Arial"/>
                <w:color w:val="auto"/>
                <w:kern w:val="0"/>
                <w:sz w:val="20"/>
                <w:highlight w:val="none"/>
              </w:rPr>
              <w:t>名称</w:t>
            </w:r>
          </w:p>
        </w:tc>
        <w:tc>
          <w:tcPr>
            <w:tcW w:w="1260" w:type="dxa"/>
            <w:noWrap/>
            <w:vAlign w:val="center"/>
          </w:tcPr>
          <w:p w14:paraId="01337F18">
            <w:pPr>
              <w:spacing w:line="300" w:lineRule="auto"/>
              <w:jc w:val="center"/>
              <w:rPr>
                <w:rFonts w:ascii="Arial" w:hAnsi="Arial" w:eastAsia="宋体" w:cs="Arial"/>
                <w:color w:val="auto"/>
                <w:kern w:val="0"/>
                <w:sz w:val="20"/>
                <w:highlight w:val="none"/>
              </w:rPr>
            </w:pPr>
            <w:r>
              <w:rPr>
                <w:rFonts w:hint="eastAsia" w:ascii="Arial" w:hAnsi="Arial" w:eastAsia="宋体" w:cs="Arial"/>
                <w:color w:val="auto"/>
                <w:kern w:val="0"/>
                <w:sz w:val="20"/>
                <w:highlight w:val="none"/>
              </w:rPr>
              <w:t>证 号</w:t>
            </w:r>
          </w:p>
        </w:tc>
        <w:tc>
          <w:tcPr>
            <w:tcW w:w="1800" w:type="dxa"/>
            <w:vMerge w:val="continue"/>
            <w:noWrap/>
            <w:vAlign w:val="center"/>
          </w:tcPr>
          <w:p w14:paraId="38F9D444">
            <w:pPr>
              <w:spacing w:line="300" w:lineRule="auto"/>
              <w:jc w:val="center"/>
              <w:rPr>
                <w:rFonts w:ascii="黑体" w:hAnsi="Times New Roman" w:eastAsia="黑体" w:cs="Times New Roman"/>
                <w:b/>
                <w:color w:val="auto"/>
                <w:sz w:val="24"/>
                <w:highlight w:val="none"/>
              </w:rPr>
            </w:pPr>
          </w:p>
        </w:tc>
        <w:tc>
          <w:tcPr>
            <w:tcW w:w="720" w:type="dxa"/>
            <w:vMerge w:val="continue"/>
            <w:noWrap/>
            <w:vAlign w:val="center"/>
          </w:tcPr>
          <w:p w14:paraId="24161B5E">
            <w:pPr>
              <w:widowControl/>
              <w:jc w:val="center"/>
              <w:textAlignment w:val="bottom"/>
              <w:rPr>
                <w:rFonts w:ascii="黑体" w:hAnsi="Times New Roman" w:eastAsia="黑体" w:cs="Times New Roman"/>
                <w:b/>
                <w:color w:val="auto"/>
                <w:sz w:val="24"/>
                <w:highlight w:val="none"/>
              </w:rPr>
            </w:pPr>
          </w:p>
        </w:tc>
        <w:tc>
          <w:tcPr>
            <w:tcW w:w="720" w:type="dxa"/>
            <w:vMerge w:val="continue"/>
            <w:noWrap/>
            <w:vAlign w:val="center"/>
          </w:tcPr>
          <w:p w14:paraId="6D77A144">
            <w:pPr>
              <w:spacing w:line="300" w:lineRule="auto"/>
              <w:jc w:val="center"/>
              <w:rPr>
                <w:rFonts w:ascii="黑体" w:hAnsi="Times New Roman" w:eastAsia="黑体" w:cs="Times New Roman"/>
                <w:b/>
                <w:color w:val="auto"/>
                <w:sz w:val="24"/>
                <w:highlight w:val="none"/>
              </w:rPr>
            </w:pPr>
          </w:p>
        </w:tc>
      </w:tr>
      <w:tr w14:paraId="2214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CB29EE6">
            <w:pPr>
              <w:spacing w:line="300" w:lineRule="auto"/>
              <w:jc w:val="center"/>
              <w:rPr>
                <w:rFonts w:ascii="黑体" w:hAnsi="Times New Roman" w:eastAsia="黑体" w:cs="Times New Roman"/>
                <w:b/>
                <w:color w:val="auto"/>
                <w:sz w:val="24"/>
                <w:highlight w:val="none"/>
              </w:rPr>
            </w:pPr>
          </w:p>
        </w:tc>
        <w:tc>
          <w:tcPr>
            <w:tcW w:w="1024" w:type="dxa"/>
            <w:noWrap/>
            <w:vAlign w:val="center"/>
          </w:tcPr>
          <w:p w14:paraId="26F3CF17">
            <w:pPr>
              <w:spacing w:line="300" w:lineRule="auto"/>
              <w:jc w:val="center"/>
              <w:rPr>
                <w:rFonts w:ascii="黑体" w:hAnsi="Times New Roman" w:eastAsia="黑体" w:cs="Times New Roman"/>
                <w:b/>
                <w:color w:val="auto"/>
                <w:sz w:val="24"/>
                <w:highlight w:val="none"/>
              </w:rPr>
            </w:pPr>
          </w:p>
        </w:tc>
        <w:tc>
          <w:tcPr>
            <w:tcW w:w="900" w:type="dxa"/>
            <w:noWrap/>
            <w:vAlign w:val="center"/>
          </w:tcPr>
          <w:p w14:paraId="75866C6D">
            <w:pPr>
              <w:spacing w:line="300" w:lineRule="auto"/>
              <w:jc w:val="center"/>
              <w:rPr>
                <w:rFonts w:ascii="黑体" w:hAnsi="Times New Roman" w:eastAsia="黑体" w:cs="Times New Roman"/>
                <w:b/>
                <w:color w:val="auto"/>
                <w:sz w:val="24"/>
                <w:highlight w:val="none"/>
              </w:rPr>
            </w:pPr>
          </w:p>
        </w:tc>
        <w:tc>
          <w:tcPr>
            <w:tcW w:w="540" w:type="dxa"/>
            <w:noWrap/>
            <w:vAlign w:val="center"/>
          </w:tcPr>
          <w:p w14:paraId="31000874">
            <w:pPr>
              <w:spacing w:line="300" w:lineRule="auto"/>
              <w:jc w:val="center"/>
              <w:rPr>
                <w:rFonts w:ascii="黑体" w:hAnsi="Times New Roman" w:eastAsia="黑体" w:cs="Times New Roman"/>
                <w:b/>
                <w:color w:val="auto"/>
                <w:sz w:val="24"/>
                <w:highlight w:val="none"/>
              </w:rPr>
            </w:pPr>
          </w:p>
        </w:tc>
        <w:tc>
          <w:tcPr>
            <w:tcW w:w="900" w:type="dxa"/>
            <w:noWrap/>
            <w:vAlign w:val="center"/>
          </w:tcPr>
          <w:p w14:paraId="4EB2615B">
            <w:pPr>
              <w:spacing w:line="300" w:lineRule="auto"/>
              <w:jc w:val="center"/>
              <w:rPr>
                <w:rFonts w:ascii="黑体" w:hAnsi="Times New Roman" w:eastAsia="黑体" w:cs="Times New Roman"/>
                <w:b/>
                <w:color w:val="auto"/>
                <w:sz w:val="24"/>
                <w:highlight w:val="none"/>
              </w:rPr>
            </w:pPr>
          </w:p>
        </w:tc>
        <w:tc>
          <w:tcPr>
            <w:tcW w:w="720" w:type="dxa"/>
            <w:noWrap/>
            <w:vAlign w:val="center"/>
          </w:tcPr>
          <w:p w14:paraId="45F8A6FE">
            <w:pPr>
              <w:spacing w:line="300" w:lineRule="auto"/>
              <w:jc w:val="center"/>
              <w:rPr>
                <w:rFonts w:ascii="黑体" w:hAnsi="Times New Roman" w:eastAsia="黑体" w:cs="Times New Roman"/>
                <w:b/>
                <w:color w:val="auto"/>
                <w:sz w:val="24"/>
                <w:highlight w:val="none"/>
              </w:rPr>
            </w:pPr>
          </w:p>
        </w:tc>
        <w:tc>
          <w:tcPr>
            <w:tcW w:w="900" w:type="dxa"/>
            <w:noWrap/>
            <w:vAlign w:val="center"/>
          </w:tcPr>
          <w:p w14:paraId="32409A6E">
            <w:pPr>
              <w:spacing w:line="300" w:lineRule="auto"/>
              <w:jc w:val="center"/>
              <w:rPr>
                <w:rFonts w:ascii="黑体" w:hAnsi="Times New Roman" w:eastAsia="黑体" w:cs="Times New Roman"/>
                <w:b/>
                <w:color w:val="auto"/>
                <w:sz w:val="24"/>
                <w:highlight w:val="none"/>
              </w:rPr>
            </w:pPr>
          </w:p>
        </w:tc>
        <w:tc>
          <w:tcPr>
            <w:tcW w:w="1260" w:type="dxa"/>
            <w:noWrap/>
            <w:vAlign w:val="center"/>
          </w:tcPr>
          <w:p w14:paraId="69049284">
            <w:pPr>
              <w:spacing w:line="300" w:lineRule="auto"/>
              <w:jc w:val="center"/>
              <w:rPr>
                <w:rFonts w:ascii="黑体" w:hAnsi="Times New Roman" w:eastAsia="黑体" w:cs="Times New Roman"/>
                <w:b/>
                <w:color w:val="auto"/>
                <w:sz w:val="24"/>
                <w:highlight w:val="none"/>
              </w:rPr>
            </w:pPr>
          </w:p>
        </w:tc>
        <w:tc>
          <w:tcPr>
            <w:tcW w:w="1800" w:type="dxa"/>
            <w:noWrap/>
            <w:vAlign w:val="center"/>
          </w:tcPr>
          <w:p w14:paraId="187965F3">
            <w:pPr>
              <w:spacing w:line="300" w:lineRule="auto"/>
              <w:jc w:val="center"/>
              <w:rPr>
                <w:rFonts w:ascii="黑体" w:hAnsi="Times New Roman" w:eastAsia="黑体" w:cs="Times New Roman"/>
                <w:b/>
                <w:color w:val="auto"/>
                <w:sz w:val="24"/>
                <w:highlight w:val="none"/>
              </w:rPr>
            </w:pPr>
          </w:p>
        </w:tc>
        <w:tc>
          <w:tcPr>
            <w:tcW w:w="720" w:type="dxa"/>
            <w:noWrap/>
            <w:vAlign w:val="center"/>
          </w:tcPr>
          <w:p w14:paraId="34644AD8">
            <w:pPr>
              <w:spacing w:line="300" w:lineRule="auto"/>
              <w:jc w:val="center"/>
              <w:rPr>
                <w:rFonts w:ascii="黑体" w:hAnsi="Times New Roman" w:eastAsia="黑体" w:cs="Times New Roman"/>
                <w:b/>
                <w:color w:val="auto"/>
                <w:sz w:val="24"/>
                <w:highlight w:val="none"/>
              </w:rPr>
            </w:pPr>
          </w:p>
        </w:tc>
        <w:tc>
          <w:tcPr>
            <w:tcW w:w="720" w:type="dxa"/>
            <w:noWrap/>
            <w:vAlign w:val="center"/>
          </w:tcPr>
          <w:p w14:paraId="4C9CE5A5">
            <w:pPr>
              <w:spacing w:line="300" w:lineRule="auto"/>
              <w:jc w:val="center"/>
              <w:rPr>
                <w:rFonts w:ascii="黑体" w:hAnsi="Times New Roman" w:eastAsia="黑体" w:cs="Times New Roman"/>
                <w:b/>
                <w:color w:val="auto"/>
                <w:sz w:val="24"/>
                <w:highlight w:val="none"/>
              </w:rPr>
            </w:pPr>
          </w:p>
        </w:tc>
      </w:tr>
      <w:tr w14:paraId="0A44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30D88E00">
            <w:pPr>
              <w:spacing w:line="300" w:lineRule="auto"/>
              <w:jc w:val="center"/>
              <w:rPr>
                <w:rFonts w:ascii="黑体" w:hAnsi="Times New Roman" w:eastAsia="黑体" w:cs="Times New Roman"/>
                <w:b/>
                <w:color w:val="auto"/>
                <w:sz w:val="24"/>
                <w:highlight w:val="none"/>
              </w:rPr>
            </w:pPr>
          </w:p>
        </w:tc>
        <w:tc>
          <w:tcPr>
            <w:tcW w:w="1024" w:type="dxa"/>
            <w:noWrap/>
            <w:vAlign w:val="center"/>
          </w:tcPr>
          <w:p w14:paraId="45605248">
            <w:pPr>
              <w:spacing w:line="300" w:lineRule="auto"/>
              <w:jc w:val="center"/>
              <w:rPr>
                <w:rFonts w:ascii="黑体" w:hAnsi="Times New Roman" w:eastAsia="黑体" w:cs="Times New Roman"/>
                <w:b/>
                <w:color w:val="auto"/>
                <w:sz w:val="24"/>
                <w:highlight w:val="none"/>
              </w:rPr>
            </w:pPr>
          </w:p>
        </w:tc>
        <w:tc>
          <w:tcPr>
            <w:tcW w:w="900" w:type="dxa"/>
            <w:noWrap/>
            <w:vAlign w:val="center"/>
          </w:tcPr>
          <w:p w14:paraId="2FD71E7A">
            <w:pPr>
              <w:spacing w:line="300" w:lineRule="auto"/>
              <w:jc w:val="center"/>
              <w:rPr>
                <w:rFonts w:ascii="黑体" w:hAnsi="Times New Roman" w:eastAsia="黑体" w:cs="Times New Roman"/>
                <w:b/>
                <w:color w:val="auto"/>
                <w:sz w:val="24"/>
                <w:highlight w:val="none"/>
              </w:rPr>
            </w:pPr>
          </w:p>
        </w:tc>
        <w:tc>
          <w:tcPr>
            <w:tcW w:w="540" w:type="dxa"/>
            <w:noWrap/>
            <w:vAlign w:val="center"/>
          </w:tcPr>
          <w:p w14:paraId="7A9626F3">
            <w:pPr>
              <w:spacing w:line="300" w:lineRule="auto"/>
              <w:jc w:val="center"/>
              <w:rPr>
                <w:rFonts w:ascii="黑体" w:hAnsi="Times New Roman" w:eastAsia="黑体" w:cs="Times New Roman"/>
                <w:b/>
                <w:color w:val="auto"/>
                <w:sz w:val="24"/>
                <w:highlight w:val="none"/>
              </w:rPr>
            </w:pPr>
          </w:p>
        </w:tc>
        <w:tc>
          <w:tcPr>
            <w:tcW w:w="900" w:type="dxa"/>
            <w:noWrap/>
            <w:vAlign w:val="center"/>
          </w:tcPr>
          <w:p w14:paraId="167F774C">
            <w:pPr>
              <w:spacing w:line="300" w:lineRule="auto"/>
              <w:jc w:val="center"/>
              <w:rPr>
                <w:rFonts w:ascii="黑体" w:hAnsi="Times New Roman" w:eastAsia="黑体" w:cs="Times New Roman"/>
                <w:b/>
                <w:color w:val="auto"/>
                <w:sz w:val="24"/>
                <w:highlight w:val="none"/>
              </w:rPr>
            </w:pPr>
          </w:p>
        </w:tc>
        <w:tc>
          <w:tcPr>
            <w:tcW w:w="720" w:type="dxa"/>
            <w:noWrap/>
            <w:vAlign w:val="center"/>
          </w:tcPr>
          <w:p w14:paraId="5E0FF367">
            <w:pPr>
              <w:spacing w:line="300" w:lineRule="auto"/>
              <w:jc w:val="center"/>
              <w:rPr>
                <w:rFonts w:ascii="黑体" w:hAnsi="Times New Roman" w:eastAsia="黑体" w:cs="Times New Roman"/>
                <w:b/>
                <w:color w:val="auto"/>
                <w:sz w:val="24"/>
                <w:highlight w:val="none"/>
              </w:rPr>
            </w:pPr>
          </w:p>
        </w:tc>
        <w:tc>
          <w:tcPr>
            <w:tcW w:w="900" w:type="dxa"/>
            <w:noWrap/>
            <w:vAlign w:val="center"/>
          </w:tcPr>
          <w:p w14:paraId="1A2649EB">
            <w:pPr>
              <w:spacing w:line="300" w:lineRule="auto"/>
              <w:jc w:val="center"/>
              <w:rPr>
                <w:rFonts w:ascii="黑体" w:hAnsi="Times New Roman" w:eastAsia="黑体" w:cs="Times New Roman"/>
                <w:b/>
                <w:color w:val="auto"/>
                <w:sz w:val="24"/>
                <w:highlight w:val="none"/>
              </w:rPr>
            </w:pPr>
          </w:p>
        </w:tc>
        <w:tc>
          <w:tcPr>
            <w:tcW w:w="1260" w:type="dxa"/>
            <w:noWrap/>
            <w:vAlign w:val="center"/>
          </w:tcPr>
          <w:p w14:paraId="033F64C4">
            <w:pPr>
              <w:spacing w:line="300" w:lineRule="auto"/>
              <w:jc w:val="center"/>
              <w:rPr>
                <w:rFonts w:ascii="黑体" w:hAnsi="Times New Roman" w:eastAsia="黑体" w:cs="Times New Roman"/>
                <w:b/>
                <w:color w:val="auto"/>
                <w:sz w:val="24"/>
                <w:highlight w:val="none"/>
              </w:rPr>
            </w:pPr>
          </w:p>
        </w:tc>
        <w:tc>
          <w:tcPr>
            <w:tcW w:w="1800" w:type="dxa"/>
            <w:noWrap/>
            <w:vAlign w:val="center"/>
          </w:tcPr>
          <w:p w14:paraId="3550AEF5">
            <w:pPr>
              <w:spacing w:line="300" w:lineRule="auto"/>
              <w:jc w:val="center"/>
              <w:rPr>
                <w:rFonts w:ascii="黑体" w:hAnsi="Times New Roman" w:eastAsia="黑体" w:cs="Times New Roman"/>
                <w:b/>
                <w:color w:val="auto"/>
                <w:sz w:val="24"/>
                <w:highlight w:val="none"/>
              </w:rPr>
            </w:pPr>
          </w:p>
        </w:tc>
        <w:tc>
          <w:tcPr>
            <w:tcW w:w="720" w:type="dxa"/>
            <w:noWrap/>
            <w:vAlign w:val="center"/>
          </w:tcPr>
          <w:p w14:paraId="65FEA481">
            <w:pPr>
              <w:spacing w:line="300" w:lineRule="auto"/>
              <w:jc w:val="center"/>
              <w:rPr>
                <w:rFonts w:ascii="黑体" w:hAnsi="Times New Roman" w:eastAsia="黑体" w:cs="Times New Roman"/>
                <w:b/>
                <w:color w:val="auto"/>
                <w:sz w:val="24"/>
                <w:highlight w:val="none"/>
              </w:rPr>
            </w:pPr>
          </w:p>
        </w:tc>
        <w:tc>
          <w:tcPr>
            <w:tcW w:w="720" w:type="dxa"/>
            <w:noWrap/>
            <w:vAlign w:val="center"/>
          </w:tcPr>
          <w:p w14:paraId="1FB1FD49">
            <w:pPr>
              <w:spacing w:line="300" w:lineRule="auto"/>
              <w:jc w:val="center"/>
              <w:rPr>
                <w:rFonts w:ascii="黑体" w:hAnsi="Times New Roman" w:eastAsia="黑体" w:cs="Times New Roman"/>
                <w:b/>
                <w:color w:val="auto"/>
                <w:sz w:val="24"/>
                <w:highlight w:val="none"/>
              </w:rPr>
            </w:pPr>
          </w:p>
        </w:tc>
      </w:tr>
      <w:tr w14:paraId="52E4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0AC63B8">
            <w:pPr>
              <w:spacing w:line="300" w:lineRule="auto"/>
              <w:jc w:val="center"/>
              <w:rPr>
                <w:rFonts w:ascii="黑体" w:hAnsi="Times New Roman" w:eastAsia="黑体" w:cs="Times New Roman"/>
                <w:b/>
                <w:color w:val="auto"/>
                <w:sz w:val="24"/>
                <w:highlight w:val="none"/>
              </w:rPr>
            </w:pPr>
          </w:p>
        </w:tc>
        <w:tc>
          <w:tcPr>
            <w:tcW w:w="1024" w:type="dxa"/>
            <w:noWrap/>
            <w:vAlign w:val="center"/>
          </w:tcPr>
          <w:p w14:paraId="42368310">
            <w:pPr>
              <w:spacing w:line="300" w:lineRule="auto"/>
              <w:jc w:val="center"/>
              <w:rPr>
                <w:rFonts w:ascii="黑体" w:hAnsi="Times New Roman" w:eastAsia="黑体" w:cs="Times New Roman"/>
                <w:b/>
                <w:color w:val="auto"/>
                <w:sz w:val="24"/>
                <w:highlight w:val="none"/>
              </w:rPr>
            </w:pPr>
          </w:p>
        </w:tc>
        <w:tc>
          <w:tcPr>
            <w:tcW w:w="900" w:type="dxa"/>
            <w:noWrap/>
            <w:vAlign w:val="center"/>
          </w:tcPr>
          <w:p w14:paraId="019A5CF0">
            <w:pPr>
              <w:spacing w:line="300" w:lineRule="auto"/>
              <w:jc w:val="center"/>
              <w:rPr>
                <w:rFonts w:ascii="黑体" w:hAnsi="Times New Roman" w:eastAsia="黑体" w:cs="Times New Roman"/>
                <w:b/>
                <w:color w:val="auto"/>
                <w:sz w:val="24"/>
                <w:highlight w:val="none"/>
              </w:rPr>
            </w:pPr>
          </w:p>
        </w:tc>
        <w:tc>
          <w:tcPr>
            <w:tcW w:w="540" w:type="dxa"/>
            <w:noWrap/>
            <w:vAlign w:val="center"/>
          </w:tcPr>
          <w:p w14:paraId="04652CBB">
            <w:pPr>
              <w:spacing w:line="300" w:lineRule="auto"/>
              <w:jc w:val="center"/>
              <w:rPr>
                <w:rFonts w:ascii="黑体" w:hAnsi="Times New Roman" w:eastAsia="黑体" w:cs="Times New Roman"/>
                <w:b/>
                <w:color w:val="auto"/>
                <w:sz w:val="24"/>
                <w:highlight w:val="none"/>
              </w:rPr>
            </w:pPr>
          </w:p>
        </w:tc>
        <w:tc>
          <w:tcPr>
            <w:tcW w:w="900" w:type="dxa"/>
            <w:noWrap/>
            <w:vAlign w:val="center"/>
          </w:tcPr>
          <w:p w14:paraId="04E6B13B">
            <w:pPr>
              <w:spacing w:line="300" w:lineRule="auto"/>
              <w:jc w:val="center"/>
              <w:rPr>
                <w:rFonts w:ascii="黑体" w:hAnsi="Times New Roman" w:eastAsia="黑体" w:cs="Times New Roman"/>
                <w:b/>
                <w:color w:val="auto"/>
                <w:sz w:val="24"/>
                <w:highlight w:val="none"/>
              </w:rPr>
            </w:pPr>
          </w:p>
        </w:tc>
        <w:tc>
          <w:tcPr>
            <w:tcW w:w="720" w:type="dxa"/>
            <w:noWrap/>
            <w:vAlign w:val="center"/>
          </w:tcPr>
          <w:p w14:paraId="2737148A">
            <w:pPr>
              <w:spacing w:line="300" w:lineRule="auto"/>
              <w:jc w:val="center"/>
              <w:rPr>
                <w:rFonts w:ascii="黑体" w:hAnsi="Times New Roman" w:eastAsia="黑体" w:cs="Times New Roman"/>
                <w:b/>
                <w:color w:val="auto"/>
                <w:sz w:val="24"/>
                <w:highlight w:val="none"/>
              </w:rPr>
            </w:pPr>
          </w:p>
        </w:tc>
        <w:tc>
          <w:tcPr>
            <w:tcW w:w="900" w:type="dxa"/>
            <w:noWrap/>
            <w:vAlign w:val="center"/>
          </w:tcPr>
          <w:p w14:paraId="29FF1856">
            <w:pPr>
              <w:spacing w:line="300" w:lineRule="auto"/>
              <w:jc w:val="center"/>
              <w:rPr>
                <w:rFonts w:ascii="黑体" w:hAnsi="Times New Roman" w:eastAsia="黑体" w:cs="Times New Roman"/>
                <w:b/>
                <w:color w:val="auto"/>
                <w:sz w:val="24"/>
                <w:highlight w:val="none"/>
              </w:rPr>
            </w:pPr>
          </w:p>
        </w:tc>
        <w:tc>
          <w:tcPr>
            <w:tcW w:w="1260" w:type="dxa"/>
            <w:noWrap/>
            <w:vAlign w:val="center"/>
          </w:tcPr>
          <w:p w14:paraId="062D1C8F">
            <w:pPr>
              <w:spacing w:line="300" w:lineRule="auto"/>
              <w:jc w:val="center"/>
              <w:rPr>
                <w:rFonts w:ascii="黑体" w:hAnsi="Times New Roman" w:eastAsia="黑体" w:cs="Times New Roman"/>
                <w:b/>
                <w:color w:val="auto"/>
                <w:sz w:val="24"/>
                <w:highlight w:val="none"/>
              </w:rPr>
            </w:pPr>
          </w:p>
        </w:tc>
        <w:tc>
          <w:tcPr>
            <w:tcW w:w="1800" w:type="dxa"/>
            <w:noWrap/>
            <w:vAlign w:val="center"/>
          </w:tcPr>
          <w:p w14:paraId="6F87A240">
            <w:pPr>
              <w:spacing w:line="300" w:lineRule="auto"/>
              <w:jc w:val="center"/>
              <w:rPr>
                <w:rFonts w:ascii="黑体" w:hAnsi="Times New Roman" w:eastAsia="黑体" w:cs="Times New Roman"/>
                <w:b/>
                <w:color w:val="auto"/>
                <w:sz w:val="24"/>
                <w:highlight w:val="none"/>
              </w:rPr>
            </w:pPr>
          </w:p>
        </w:tc>
        <w:tc>
          <w:tcPr>
            <w:tcW w:w="720" w:type="dxa"/>
            <w:noWrap/>
            <w:vAlign w:val="center"/>
          </w:tcPr>
          <w:p w14:paraId="79398050">
            <w:pPr>
              <w:spacing w:line="300" w:lineRule="auto"/>
              <w:jc w:val="center"/>
              <w:rPr>
                <w:rFonts w:ascii="黑体" w:hAnsi="Times New Roman" w:eastAsia="黑体" w:cs="Times New Roman"/>
                <w:b/>
                <w:color w:val="auto"/>
                <w:sz w:val="24"/>
                <w:highlight w:val="none"/>
              </w:rPr>
            </w:pPr>
          </w:p>
        </w:tc>
        <w:tc>
          <w:tcPr>
            <w:tcW w:w="720" w:type="dxa"/>
            <w:noWrap/>
            <w:vAlign w:val="center"/>
          </w:tcPr>
          <w:p w14:paraId="1AA3DDDA">
            <w:pPr>
              <w:spacing w:line="300" w:lineRule="auto"/>
              <w:jc w:val="center"/>
              <w:rPr>
                <w:rFonts w:ascii="黑体" w:hAnsi="Times New Roman" w:eastAsia="黑体" w:cs="Times New Roman"/>
                <w:b/>
                <w:color w:val="auto"/>
                <w:sz w:val="24"/>
                <w:highlight w:val="none"/>
              </w:rPr>
            </w:pPr>
          </w:p>
        </w:tc>
      </w:tr>
      <w:tr w14:paraId="3685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96D9CEF">
            <w:pPr>
              <w:spacing w:line="300" w:lineRule="auto"/>
              <w:jc w:val="center"/>
              <w:rPr>
                <w:rFonts w:ascii="黑体" w:hAnsi="Times New Roman" w:eastAsia="黑体" w:cs="Times New Roman"/>
                <w:b/>
                <w:color w:val="auto"/>
                <w:sz w:val="24"/>
                <w:highlight w:val="none"/>
              </w:rPr>
            </w:pPr>
          </w:p>
        </w:tc>
        <w:tc>
          <w:tcPr>
            <w:tcW w:w="1024" w:type="dxa"/>
            <w:noWrap/>
            <w:vAlign w:val="center"/>
          </w:tcPr>
          <w:p w14:paraId="0F1D087B">
            <w:pPr>
              <w:spacing w:line="300" w:lineRule="auto"/>
              <w:jc w:val="center"/>
              <w:rPr>
                <w:rFonts w:ascii="黑体" w:hAnsi="Times New Roman" w:eastAsia="黑体" w:cs="Times New Roman"/>
                <w:b/>
                <w:color w:val="auto"/>
                <w:sz w:val="24"/>
                <w:highlight w:val="none"/>
              </w:rPr>
            </w:pPr>
          </w:p>
        </w:tc>
        <w:tc>
          <w:tcPr>
            <w:tcW w:w="900" w:type="dxa"/>
            <w:noWrap/>
            <w:vAlign w:val="center"/>
          </w:tcPr>
          <w:p w14:paraId="21A4C7FB">
            <w:pPr>
              <w:spacing w:line="300" w:lineRule="auto"/>
              <w:jc w:val="center"/>
              <w:rPr>
                <w:rFonts w:ascii="黑体" w:hAnsi="Times New Roman" w:eastAsia="黑体" w:cs="Times New Roman"/>
                <w:b/>
                <w:color w:val="auto"/>
                <w:sz w:val="24"/>
                <w:highlight w:val="none"/>
              </w:rPr>
            </w:pPr>
          </w:p>
        </w:tc>
        <w:tc>
          <w:tcPr>
            <w:tcW w:w="540" w:type="dxa"/>
            <w:noWrap/>
            <w:vAlign w:val="center"/>
          </w:tcPr>
          <w:p w14:paraId="236317AF">
            <w:pPr>
              <w:spacing w:line="300" w:lineRule="auto"/>
              <w:jc w:val="center"/>
              <w:rPr>
                <w:rFonts w:ascii="黑体" w:hAnsi="Times New Roman" w:eastAsia="黑体" w:cs="Times New Roman"/>
                <w:b/>
                <w:color w:val="auto"/>
                <w:sz w:val="24"/>
                <w:highlight w:val="none"/>
              </w:rPr>
            </w:pPr>
          </w:p>
        </w:tc>
        <w:tc>
          <w:tcPr>
            <w:tcW w:w="900" w:type="dxa"/>
            <w:noWrap/>
            <w:vAlign w:val="center"/>
          </w:tcPr>
          <w:p w14:paraId="254E1FD9">
            <w:pPr>
              <w:spacing w:line="300" w:lineRule="auto"/>
              <w:jc w:val="center"/>
              <w:rPr>
                <w:rFonts w:ascii="黑体" w:hAnsi="Times New Roman" w:eastAsia="黑体" w:cs="Times New Roman"/>
                <w:b/>
                <w:color w:val="auto"/>
                <w:sz w:val="24"/>
                <w:highlight w:val="none"/>
              </w:rPr>
            </w:pPr>
          </w:p>
        </w:tc>
        <w:tc>
          <w:tcPr>
            <w:tcW w:w="720" w:type="dxa"/>
            <w:noWrap/>
            <w:vAlign w:val="center"/>
          </w:tcPr>
          <w:p w14:paraId="75B95345">
            <w:pPr>
              <w:spacing w:line="300" w:lineRule="auto"/>
              <w:jc w:val="center"/>
              <w:rPr>
                <w:rFonts w:ascii="黑体" w:hAnsi="Times New Roman" w:eastAsia="黑体" w:cs="Times New Roman"/>
                <w:b/>
                <w:color w:val="auto"/>
                <w:sz w:val="24"/>
                <w:highlight w:val="none"/>
              </w:rPr>
            </w:pPr>
          </w:p>
        </w:tc>
        <w:tc>
          <w:tcPr>
            <w:tcW w:w="900" w:type="dxa"/>
            <w:noWrap/>
            <w:vAlign w:val="center"/>
          </w:tcPr>
          <w:p w14:paraId="122983C5">
            <w:pPr>
              <w:spacing w:line="300" w:lineRule="auto"/>
              <w:jc w:val="center"/>
              <w:rPr>
                <w:rFonts w:ascii="黑体" w:hAnsi="Times New Roman" w:eastAsia="黑体" w:cs="Times New Roman"/>
                <w:b/>
                <w:color w:val="auto"/>
                <w:sz w:val="24"/>
                <w:highlight w:val="none"/>
              </w:rPr>
            </w:pPr>
          </w:p>
        </w:tc>
        <w:tc>
          <w:tcPr>
            <w:tcW w:w="1260" w:type="dxa"/>
            <w:noWrap/>
            <w:vAlign w:val="center"/>
          </w:tcPr>
          <w:p w14:paraId="2DBD9F79">
            <w:pPr>
              <w:spacing w:line="300" w:lineRule="auto"/>
              <w:jc w:val="center"/>
              <w:rPr>
                <w:rFonts w:ascii="黑体" w:hAnsi="Times New Roman" w:eastAsia="黑体" w:cs="Times New Roman"/>
                <w:b/>
                <w:color w:val="auto"/>
                <w:sz w:val="24"/>
                <w:highlight w:val="none"/>
              </w:rPr>
            </w:pPr>
          </w:p>
        </w:tc>
        <w:tc>
          <w:tcPr>
            <w:tcW w:w="1800" w:type="dxa"/>
            <w:noWrap/>
            <w:vAlign w:val="center"/>
          </w:tcPr>
          <w:p w14:paraId="7D72A960">
            <w:pPr>
              <w:spacing w:line="300" w:lineRule="auto"/>
              <w:jc w:val="center"/>
              <w:rPr>
                <w:rFonts w:ascii="黑体" w:hAnsi="Times New Roman" w:eastAsia="黑体" w:cs="Times New Roman"/>
                <w:b/>
                <w:color w:val="auto"/>
                <w:sz w:val="24"/>
                <w:highlight w:val="none"/>
              </w:rPr>
            </w:pPr>
          </w:p>
        </w:tc>
        <w:tc>
          <w:tcPr>
            <w:tcW w:w="720" w:type="dxa"/>
            <w:noWrap/>
            <w:vAlign w:val="center"/>
          </w:tcPr>
          <w:p w14:paraId="51BC4072">
            <w:pPr>
              <w:spacing w:line="300" w:lineRule="auto"/>
              <w:jc w:val="center"/>
              <w:rPr>
                <w:rFonts w:ascii="黑体" w:hAnsi="Times New Roman" w:eastAsia="黑体" w:cs="Times New Roman"/>
                <w:b/>
                <w:color w:val="auto"/>
                <w:sz w:val="24"/>
                <w:highlight w:val="none"/>
              </w:rPr>
            </w:pPr>
          </w:p>
        </w:tc>
        <w:tc>
          <w:tcPr>
            <w:tcW w:w="720" w:type="dxa"/>
            <w:noWrap/>
            <w:vAlign w:val="center"/>
          </w:tcPr>
          <w:p w14:paraId="4DCBDE89">
            <w:pPr>
              <w:spacing w:line="300" w:lineRule="auto"/>
              <w:jc w:val="center"/>
              <w:rPr>
                <w:rFonts w:ascii="黑体" w:hAnsi="Times New Roman" w:eastAsia="黑体" w:cs="Times New Roman"/>
                <w:b/>
                <w:color w:val="auto"/>
                <w:sz w:val="24"/>
                <w:highlight w:val="none"/>
              </w:rPr>
            </w:pPr>
          </w:p>
        </w:tc>
      </w:tr>
      <w:tr w14:paraId="3EFC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C30E71D">
            <w:pPr>
              <w:spacing w:line="300" w:lineRule="auto"/>
              <w:jc w:val="center"/>
              <w:rPr>
                <w:rFonts w:ascii="黑体" w:hAnsi="Times New Roman" w:eastAsia="黑体" w:cs="Times New Roman"/>
                <w:b/>
                <w:color w:val="auto"/>
                <w:sz w:val="24"/>
                <w:highlight w:val="none"/>
              </w:rPr>
            </w:pPr>
          </w:p>
        </w:tc>
        <w:tc>
          <w:tcPr>
            <w:tcW w:w="1024" w:type="dxa"/>
            <w:noWrap/>
            <w:vAlign w:val="center"/>
          </w:tcPr>
          <w:p w14:paraId="2A11A5F7">
            <w:pPr>
              <w:spacing w:line="300" w:lineRule="auto"/>
              <w:jc w:val="center"/>
              <w:rPr>
                <w:rFonts w:ascii="黑体" w:hAnsi="Times New Roman" w:eastAsia="黑体" w:cs="Times New Roman"/>
                <w:b/>
                <w:color w:val="auto"/>
                <w:sz w:val="24"/>
                <w:highlight w:val="none"/>
              </w:rPr>
            </w:pPr>
          </w:p>
        </w:tc>
        <w:tc>
          <w:tcPr>
            <w:tcW w:w="900" w:type="dxa"/>
            <w:noWrap/>
            <w:vAlign w:val="center"/>
          </w:tcPr>
          <w:p w14:paraId="4A12AB53">
            <w:pPr>
              <w:spacing w:line="300" w:lineRule="auto"/>
              <w:jc w:val="center"/>
              <w:rPr>
                <w:rFonts w:ascii="黑体" w:hAnsi="Times New Roman" w:eastAsia="黑体" w:cs="Times New Roman"/>
                <w:b/>
                <w:color w:val="auto"/>
                <w:sz w:val="24"/>
                <w:highlight w:val="none"/>
              </w:rPr>
            </w:pPr>
          </w:p>
        </w:tc>
        <w:tc>
          <w:tcPr>
            <w:tcW w:w="540" w:type="dxa"/>
            <w:noWrap/>
            <w:vAlign w:val="center"/>
          </w:tcPr>
          <w:p w14:paraId="3085BCBD">
            <w:pPr>
              <w:spacing w:line="300" w:lineRule="auto"/>
              <w:jc w:val="center"/>
              <w:rPr>
                <w:rFonts w:ascii="黑体" w:hAnsi="Times New Roman" w:eastAsia="黑体" w:cs="Times New Roman"/>
                <w:b/>
                <w:color w:val="auto"/>
                <w:sz w:val="24"/>
                <w:highlight w:val="none"/>
              </w:rPr>
            </w:pPr>
          </w:p>
        </w:tc>
        <w:tc>
          <w:tcPr>
            <w:tcW w:w="900" w:type="dxa"/>
            <w:noWrap/>
            <w:vAlign w:val="center"/>
          </w:tcPr>
          <w:p w14:paraId="465B5F7A">
            <w:pPr>
              <w:spacing w:line="300" w:lineRule="auto"/>
              <w:jc w:val="center"/>
              <w:rPr>
                <w:rFonts w:ascii="黑体" w:hAnsi="Times New Roman" w:eastAsia="黑体" w:cs="Times New Roman"/>
                <w:b/>
                <w:color w:val="auto"/>
                <w:sz w:val="24"/>
                <w:highlight w:val="none"/>
              </w:rPr>
            </w:pPr>
          </w:p>
        </w:tc>
        <w:tc>
          <w:tcPr>
            <w:tcW w:w="720" w:type="dxa"/>
            <w:noWrap/>
            <w:vAlign w:val="center"/>
          </w:tcPr>
          <w:p w14:paraId="10E6527E">
            <w:pPr>
              <w:spacing w:line="300" w:lineRule="auto"/>
              <w:jc w:val="center"/>
              <w:rPr>
                <w:rFonts w:ascii="黑体" w:hAnsi="Times New Roman" w:eastAsia="黑体" w:cs="Times New Roman"/>
                <w:b/>
                <w:color w:val="auto"/>
                <w:sz w:val="24"/>
                <w:highlight w:val="none"/>
              </w:rPr>
            </w:pPr>
          </w:p>
        </w:tc>
        <w:tc>
          <w:tcPr>
            <w:tcW w:w="900" w:type="dxa"/>
            <w:noWrap/>
            <w:vAlign w:val="center"/>
          </w:tcPr>
          <w:p w14:paraId="78B187EA">
            <w:pPr>
              <w:spacing w:line="300" w:lineRule="auto"/>
              <w:jc w:val="center"/>
              <w:rPr>
                <w:rFonts w:ascii="黑体" w:hAnsi="Times New Roman" w:eastAsia="黑体" w:cs="Times New Roman"/>
                <w:b/>
                <w:color w:val="auto"/>
                <w:sz w:val="24"/>
                <w:highlight w:val="none"/>
              </w:rPr>
            </w:pPr>
          </w:p>
        </w:tc>
        <w:tc>
          <w:tcPr>
            <w:tcW w:w="1260" w:type="dxa"/>
            <w:noWrap/>
            <w:vAlign w:val="center"/>
          </w:tcPr>
          <w:p w14:paraId="300C31CF">
            <w:pPr>
              <w:spacing w:line="300" w:lineRule="auto"/>
              <w:jc w:val="center"/>
              <w:rPr>
                <w:rFonts w:ascii="黑体" w:hAnsi="Times New Roman" w:eastAsia="黑体" w:cs="Times New Roman"/>
                <w:b/>
                <w:color w:val="auto"/>
                <w:sz w:val="24"/>
                <w:highlight w:val="none"/>
              </w:rPr>
            </w:pPr>
          </w:p>
        </w:tc>
        <w:tc>
          <w:tcPr>
            <w:tcW w:w="1800" w:type="dxa"/>
            <w:noWrap/>
            <w:vAlign w:val="center"/>
          </w:tcPr>
          <w:p w14:paraId="707DBA0A">
            <w:pPr>
              <w:spacing w:line="300" w:lineRule="auto"/>
              <w:jc w:val="center"/>
              <w:rPr>
                <w:rFonts w:ascii="黑体" w:hAnsi="Times New Roman" w:eastAsia="黑体" w:cs="Times New Roman"/>
                <w:b/>
                <w:color w:val="auto"/>
                <w:sz w:val="24"/>
                <w:highlight w:val="none"/>
              </w:rPr>
            </w:pPr>
          </w:p>
        </w:tc>
        <w:tc>
          <w:tcPr>
            <w:tcW w:w="720" w:type="dxa"/>
            <w:noWrap/>
            <w:vAlign w:val="center"/>
          </w:tcPr>
          <w:p w14:paraId="31E3E193">
            <w:pPr>
              <w:spacing w:line="300" w:lineRule="auto"/>
              <w:jc w:val="center"/>
              <w:rPr>
                <w:rFonts w:ascii="黑体" w:hAnsi="Times New Roman" w:eastAsia="黑体" w:cs="Times New Roman"/>
                <w:b/>
                <w:color w:val="auto"/>
                <w:sz w:val="24"/>
                <w:highlight w:val="none"/>
              </w:rPr>
            </w:pPr>
          </w:p>
        </w:tc>
        <w:tc>
          <w:tcPr>
            <w:tcW w:w="720" w:type="dxa"/>
            <w:noWrap/>
            <w:vAlign w:val="center"/>
          </w:tcPr>
          <w:p w14:paraId="28CAF09F">
            <w:pPr>
              <w:spacing w:line="300" w:lineRule="auto"/>
              <w:jc w:val="center"/>
              <w:rPr>
                <w:rFonts w:ascii="黑体" w:hAnsi="Times New Roman" w:eastAsia="黑体" w:cs="Times New Roman"/>
                <w:b/>
                <w:color w:val="auto"/>
                <w:sz w:val="24"/>
                <w:highlight w:val="none"/>
              </w:rPr>
            </w:pPr>
          </w:p>
        </w:tc>
      </w:tr>
      <w:tr w14:paraId="45A2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F4D6057">
            <w:pPr>
              <w:spacing w:line="300" w:lineRule="auto"/>
              <w:jc w:val="center"/>
              <w:rPr>
                <w:rFonts w:ascii="黑体" w:hAnsi="Times New Roman" w:eastAsia="黑体" w:cs="Times New Roman"/>
                <w:b/>
                <w:color w:val="auto"/>
                <w:sz w:val="24"/>
                <w:highlight w:val="none"/>
              </w:rPr>
            </w:pPr>
          </w:p>
        </w:tc>
        <w:tc>
          <w:tcPr>
            <w:tcW w:w="1024" w:type="dxa"/>
            <w:noWrap/>
            <w:vAlign w:val="center"/>
          </w:tcPr>
          <w:p w14:paraId="65C850E8">
            <w:pPr>
              <w:spacing w:line="300" w:lineRule="auto"/>
              <w:jc w:val="center"/>
              <w:rPr>
                <w:rFonts w:ascii="黑体" w:hAnsi="Times New Roman" w:eastAsia="黑体" w:cs="Times New Roman"/>
                <w:b/>
                <w:color w:val="auto"/>
                <w:sz w:val="24"/>
                <w:highlight w:val="none"/>
              </w:rPr>
            </w:pPr>
          </w:p>
        </w:tc>
        <w:tc>
          <w:tcPr>
            <w:tcW w:w="900" w:type="dxa"/>
            <w:noWrap/>
            <w:vAlign w:val="center"/>
          </w:tcPr>
          <w:p w14:paraId="3946CA12">
            <w:pPr>
              <w:spacing w:line="300" w:lineRule="auto"/>
              <w:jc w:val="center"/>
              <w:rPr>
                <w:rFonts w:ascii="黑体" w:hAnsi="Times New Roman" w:eastAsia="黑体" w:cs="Times New Roman"/>
                <w:b/>
                <w:color w:val="auto"/>
                <w:sz w:val="24"/>
                <w:highlight w:val="none"/>
              </w:rPr>
            </w:pPr>
          </w:p>
        </w:tc>
        <w:tc>
          <w:tcPr>
            <w:tcW w:w="540" w:type="dxa"/>
            <w:noWrap/>
            <w:vAlign w:val="center"/>
          </w:tcPr>
          <w:p w14:paraId="4F204301">
            <w:pPr>
              <w:spacing w:line="300" w:lineRule="auto"/>
              <w:jc w:val="center"/>
              <w:rPr>
                <w:rFonts w:ascii="黑体" w:hAnsi="Times New Roman" w:eastAsia="黑体" w:cs="Times New Roman"/>
                <w:b/>
                <w:color w:val="auto"/>
                <w:sz w:val="24"/>
                <w:highlight w:val="none"/>
              </w:rPr>
            </w:pPr>
          </w:p>
        </w:tc>
        <w:tc>
          <w:tcPr>
            <w:tcW w:w="900" w:type="dxa"/>
            <w:noWrap/>
            <w:vAlign w:val="center"/>
          </w:tcPr>
          <w:p w14:paraId="1412716C">
            <w:pPr>
              <w:spacing w:line="300" w:lineRule="auto"/>
              <w:jc w:val="center"/>
              <w:rPr>
                <w:rFonts w:ascii="黑体" w:hAnsi="Times New Roman" w:eastAsia="黑体" w:cs="Times New Roman"/>
                <w:b/>
                <w:color w:val="auto"/>
                <w:sz w:val="24"/>
                <w:highlight w:val="none"/>
              </w:rPr>
            </w:pPr>
          </w:p>
        </w:tc>
        <w:tc>
          <w:tcPr>
            <w:tcW w:w="720" w:type="dxa"/>
            <w:noWrap/>
            <w:vAlign w:val="center"/>
          </w:tcPr>
          <w:p w14:paraId="2161CD62">
            <w:pPr>
              <w:spacing w:line="300" w:lineRule="auto"/>
              <w:jc w:val="center"/>
              <w:rPr>
                <w:rFonts w:ascii="黑体" w:hAnsi="Times New Roman" w:eastAsia="黑体" w:cs="Times New Roman"/>
                <w:b/>
                <w:color w:val="auto"/>
                <w:sz w:val="24"/>
                <w:highlight w:val="none"/>
              </w:rPr>
            </w:pPr>
          </w:p>
        </w:tc>
        <w:tc>
          <w:tcPr>
            <w:tcW w:w="900" w:type="dxa"/>
            <w:noWrap/>
            <w:vAlign w:val="center"/>
          </w:tcPr>
          <w:p w14:paraId="5E03DEC3">
            <w:pPr>
              <w:spacing w:line="300" w:lineRule="auto"/>
              <w:jc w:val="center"/>
              <w:rPr>
                <w:rFonts w:ascii="黑体" w:hAnsi="Times New Roman" w:eastAsia="黑体" w:cs="Times New Roman"/>
                <w:b/>
                <w:color w:val="auto"/>
                <w:sz w:val="24"/>
                <w:highlight w:val="none"/>
              </w:rPr>
            </w:pPr>
          </w:p>
        </w:tc>
        <w:tc>
          <w:tcPr>
            <w:tcW w:w="1260" w:type="dxa"/>
            <w:noWrap/>
            <w:vAlign w:val="center"/>
          </w:tcPr>
          <w:p w14:paraId="53EE42F0">
            <w:pPr>
              <w:spacing w:line="300" w:lineRule="auto"/>
              <w:jc w:val="center"/>
              <w:rPr>
                <w:rFonts w:ascii="黑体" w:hAnsi="Times New Roman" w:eastAsia="黑体" w:cs="Times New Roman"/>
                <w:b/>
                <w:color w:val="auto"/>
                <w:sz w:val="24"/>
                <w:highlight w:val="none"/>
              </w:rPr>
            </w:pPr>
          </w:p>
        </w:tc>
        <w:tc>
          <w:tcPr>
            <w:tcW w:w="1800" w:type="dxa"/>
            <w:noWrap/>
            <w:vAlign w:val="center"/>
          </w:tcPr>
          <w:p w14:paraId="44A7EF16">
            <w:pPr>
              <w:spacing w:line="300" w:lineRule="auto"/>
              <w:jc w:val="center"/>
              <w:rPr>
                <w:rFonts w:ascii="黑体" w:hAnsi="Times New Roman" w:eastAsia="黑体" w:cs="Times New Roman"/>
                <w:b/>
                <w:color w:val="auto"/>
                <w:sz w:val="24"/>
                <w:highlight w:val="none"/>
              </w:rPr>
            </w:pPr>
          </w:p>
        </w:tc>
        <w:tc>
          <w:tcPr>
            <w:tcW w:w="720" w:type="dxa"/>
            <w:noWrap/>
            <w:vAlign w:val="center"/>
          </w:tcPr>
          <w:p w14:paraId="46E520F6">
            <w:pPr>
              <w:spacing w:line="300" w:lineRule="auto"/>
              <w:jc w:val="center"/>
              <w:rPr>
                <w:rFonts w:ascii="黑体" w:hAnsi="Times New Roman" w:eastAsia="黑体" w:cs="Times New Roman"/>
                <w:b/>
                <w:color w:val="auto"/>
                <w:sz w:val="24"/>
                <w:highlight w:val="none"/>
              </w:rPr>
            </w:pPr>
          </w:p>
        </w:tc>
        <w:tc>
          <w:tcPr>
            <w:tcW w:w="720" w:type="dxa"/>
            <w:noWrap/>
            <w:vAlign w:val="center"/>
          </w:tcPr>
          <w:p w14:paraId="2E76EFA7">
            <w:pPr>
              <w:spacing w:line="300" w:lineRule="auto"/>
              <w:jc w:val="center"/>
              <w:rPr>
                <w:rFonts w:ascii="黑体" w:hAnsi="Times New Roman" w:eastAsia="黑体" w:cs="Times New Roman"/>
                <w:b/>
                <w:color w:val="auto"/>
                <w:sz w:val="24"/>
                <w:highlight w:val="none"/>
              </w:rPr>
            </w:pPr>
          </w:p>
        </w:tc>
      </w:tr>
      <w:tr w14:paraId="6A36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D379A02">
            <w:pPr>
              <w:spacing w:line="300" w:lineRule="auto"/>
              <w:jc w:val="center"/>
              <w:rPr>
                <w:rFonts w:ascii="黑体" w:hAnsi="Times New Roman" w:eastAsia="黑体" w:cs="Times New Roman"/>
                <w:b/>
                <w:color w:val="auto"/>
                <w:sz w:val="24"/>
                <w:highlight w:val="none"/>
              </w:rPr>
            </w:pPr>
          </w:p>
        </w:tc>
        <w:tc>
          <w:tcPr>
            <w:tcW w:w="1024" w:type="dxa"/>
            <w:noWrap/>
            <w:vAlign w:val="center"/>
          </w:tcPr>
          <w:p w14:paraId="539A564F">
            <w:pPr>
              <w:spacing w:line="300" w:lineRule="auto"/>
              <w:jc w:val="center"/>
              <w:rPr>
                <w:rFonts w:ascii="黑体" w:hAnsi="Times New Roman" w:eastAsia="黑体" w:cs="Times New Roman"/>
                <w:b/>
                <w:color w:val="auto"/>
                <w:sz w:val="24"/>
                <w:highlight w:val="none"/>
              </w:rPr>
            </w:pPr>
          </w:p>
        </w:tc>
        <w:tc>
          <w:tcPr>
            <w:tcW w:w="900" w:type="dxa"/>
            <w:noWrap/>
            <w:vAlign w:val="center"/>
          </w:tcPr>
          <w:p w14:paraId="11EE4D31">
            <w:pPr>
              <w:spacing w:line="300" w:lineRule="auto"/>
              <w:jc w:val="center"/>
              <w:rPr>
                <w:rFonts w:ascii="黑体" w:hAnsi="Times New Roman" w:eastAsia="黑体" w:cs="Times New Roman"/>
                <w:b/>
                <w:color w:val="auto"/>
                <w:sz w:val="24"/>
                <w:highlight w:val="none"/>
              </w:rPr>
            </w:pPr>
          </w:p>
        </w:tc>
        <w:tc>
          <w:tcPr>
            <w:tcW w:w="540" w:type="dxa"/>
            <w:noWrap/>
            <w:vAlign w:val="center"/>
          </w:tcPr>
          <w:p w14:paraId="477C7947">
            <w:pPr>
              <w:spacing w:line="300" w:lineRule="auto"/>
              <w:jc w:val="center"/>
              <w:rPr>
                <w:rFonts w:ascii="黑体" w:hAnsi="Times New Roman" w:eastAsia="黑体" w:cs="Times New Roman"/>
                <w:b/>
                <w:color w:val="auto"/>
                <w:sz w:val="24"/>
                <w:highlight w:val="none"/>
              </w:rPr>
            </w:pPr>
          </w:p>
        </w:tc>
        <w:tc>
          <w:tcPr>
            <w:tcW w:w="900" w:type="dxa"/>
            <w:noWrap/>
            <w:vAlign w:val="center"/>
          </w:tcPr>
          <w:p w14:paraId="65D88F20">
            <w:pPr>
              <w:spacing w:line="300" w:lineRule="auto"/>
              <w:jc w:val="center"/>
              <w:rPr>
                <w:rFonts w:ascii="黑体" w:hAnsi="Times New Roman" w:eastAsia="黑体" w:cs="Times New Roman"/>
                <w:b/>
                <w:color w:val="auto"/>
                <w:sz w:val="24"/>
                <w:highlight w:val="none"/>
              </w:rPr>
            </w:pPr>
          </w:p>
        </w:tc>
        <w:tc>
          <w:tcPr>
            <w:tcW w:w="720" w:type="dxa"/>
            <w:noWrap/>
            <w:vAlign w:val="center"/>
          </w:tcPr>
          <w:p w14:paraId="7AA7E2D7">
            <w:pPr>
              <w:spacing w:line="300" w:lineRule="auto"/>
              <w:jc w:val="center"/>
              <w:rPr>
                <w:rFonts w:ascii="黑体" w:hAnsi="Times New Roman" w:eastAsia="黑体" w:cs="Times New Roman"/>
                <w:b/>
                <w:color w:val="auto"/>
                <w:sz w:val="24"/>
                <w:highlight w:val="none"/>
              </w:rPr>
            </w:pPr>
          </w:p>
        </w:tc>
        <w:tc>
          <w:tcPr>
            <w:tcW w:w="900" w:type="dxa"/>
            <w:noWrap/>
            <w:vAlign w:val="center"/>
          </w:tcPr>
          <w:p w14:paraId="1B71B56B">
            <w:pPr>
              <w:spacing w:line="300" w:lineRule="auto"/>
              <w:jc w:val="center"/>
              <w:rPr>
                <w:rFonts w:ascii="黑体" w:hAnsi="Times New Roman" w:eastAsia="黑体" w:cs="Times New Roman"/>
                <w:b/>
                <w:color w:val="auto"/>
                <w:sz w:val="24"/>
                <w:highlight w:val="none"/>
              </w:rPr>
            </w:pPr>
          </w:p>
        </w:tc>
        <w:tc>
          <w:tcPr>
            <w:tcW w:w="1260" w:type="dxa"/>
            <w:noWrap/>
            <w:vAlign w:val="center"/>
          </w:tcPr>
          <w:p w14:paraId="389F554E">
            <w:pPr>
              <w:spacing w:line="300" w:lineRule="auto"/>
              <w:jc w:val="center"/>
              <w:rPr>
                <w:rFonts w:ascii="黑体" w:hAnsi="Times New Roman" w:eastAsia="黑体" w:cs="Times New Roman"/>
                <w:b/>
                <w:color w:val="auto"/>
                <w:sz w:val="24"/>
                <w:highlight w:val="none"/>
              </w:rPr>
            </w:pPr>
          </w:p>
        </w:tc>
        <w:tc>
          <w:tcPr>
            <w:tcW w:w="1800" w:type="dxa"/>
            <w:noWrap/>
            <w:vAlign w:val="center"/>
          </w:tcPr>
          <w:p w14:paraId="680688F2">
            <w:pPr>
              <w:spacing w:line="300" w:lineRule="auto"/>
              <w:jc w:val="center"/>
              <w:rPr>
                <w:rFonts w:ascii="黑体" w:hAnsi="Times New Roman" w:eastAsia="黑体" w:cs="Times New Roman"/>
                <w:b/>
                <w:color w:val="auto"/>
                <w:sz w:val="24"/>
                <w:highlight w:val="none"/>
              </w:rPr>
            </w:pPr>
          </w:p>
        </w:tc>
        <w:tc>
          <w:tcPr>
            <w:tcW w:w="720" w:type="dxa"/>
            <w:noWrap/>
            <w:vAlign w:val="center"/>
          </w:tcPr>
          <w:p w14:paraId="009113A5">
            <w:pPr>
              <w:spacing w:line="300" w:lineRule="auto"/>
              <w:jc w:val="center"/>
              <w:rPr>
                <w:rFonts w:ascii="黑体" w:hAnsi="Times New Roman" w:eastAsia="黑体" w:cs="Times New Roman"/>
                <w:b/>
                <w:color w:val="auto"/>
                <w:sz w:val="24"/>
                <w:highlight w:val="none"/>
              </w:rPr>
            </w:pPr>
          </w:p>
        </w:tc>
        <w:tc>
          <w:tcPr>
            <w:tcW w:w="720" w:type="dxa"/>
            <w:noWrap/>
            <w:vAlign w:val="center"/>
          </w:tcPr>
          <w:p w14:paraId="4D7B454D">
            <w:pPr>
              <w:spacing w:line="300" w:lineRule="auto"/>
              <w:jc w:val="center"/>
              <w:rPr>
                <w:rFonts w:ascii="黑体" w:hAnsi="Times New Roman" w:eastAsia="黑体" w:cs="Times New Roman"/>
                <w:b/>
                <w:color w:val="auto"/>
                <w:sz w:val="24"/>
                <w:highlight w:val="none"/>
              </w:rPr>
            </w:pPr>
          </w:p>
        </w:tc>
      </w:tr>
      <w:tr w14:paraId="44A9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1EF631D">
            <w:pPr>
              <w:spacing w:line="300" w:lineRule="auto"/>
              <w:jc w:val="center"/>
              <w:rPr>
                <w:rFonts w:ascii="黑体" w:hAnsi="Times New Roman" w:eastAsia="黑体" w:cs="Times New Roman"/>
                <w:b/>
                <w:color w:val="auto"/>
                <w:sz w:val="24"/>
                <w:highlight w:val="none"/>
              </w:rPr>
            </w:pPr>
          </w:p>
        </w:tc>
        <w:tc>
          <w:tcPr>
            <w:tcW w:w="1024" w:type="dxa"/>
            <w:noWrap/>
            <w:vAlign w:val="center"/>
          </w:tcPr>
          <w:p w14:paraId="743DD60C">
            <w:pPr>
              <w:spacing w:line="300" w:lineRule="auto"/>
              <w:jc w:val="center"/>
              <w:rPr>
                <w:rFonts w:ascii="黑体" w:hAnsi="Times New Roman" w:eastAsia="黑体" w:cs="Times New Roman"/>
                <w:b/>
                <w:color w:val="auto"/>
                <w:sz w:val="24"/>
                <w:highlight w:val="none"/>
              </w:rPr>
            </w:pPr>
          </w:p>
        </w:tc>
        <w:tc>
          <w:tcPr>
            <w:tcW w:w="900" w:type="dxa"/>
            <w:noWrap/>
            <w:vAlign w:val="center"/>
          </w:tcPr>
          <w:p w14:paraId="31C86FC3">
            <w:pPr>
              <w:spacing w:line="300" w:lineRule="auto"/>
              <w:jc w:val="center"/>
              <w:rPr>
                <w:rFonts w:ascii="黑体" w:hAnsi="Times New Roman" w:eastAsia="黑体" w:cs="Times New Roman"/>
                <w:b/>
                <w:color w:val="auto"/>
                <w:sz w:val="24"/>
                <w:highlight w:val="none"/>
              </w:rPr>
            </w:pPr>
          </w:p>
        </w:tc>
        <w:tc>
          <w:tcPr>
            <w:tcW w:w="540" w:type="dxa"/>
            <w:noWrap/>
            <w:vAlign w:val="center"/>
          </w:tcPr>
          <w:p w14:paraId="7B2FC7E9">
            <w:pPr>
              <w:spacing w:line="300" w:lineRule="auto"/>
              <w:jc w:val="center"/>
              <w:rPr>
                <w:rFonts w:ascii="黑体" w:hAnsi="Times New Roman" w:eastAsia="黑体" w:cs="Times New Roman"/>
                <w:b/>
                <w:color w:val="auto"/>
                <w:sz w:val="24"/>
                <w:highlight w:val="none"/>
              </w:rPr>
            </w:pPr>
          </w:p>
        </w:tc>
        <w:tc>
          <w:tcPr>
            <w:tcW w:w="900" w:type="dxa"/>
            <w:noWrap/>
            <w:vAlign w:val="center"/>
          </w:tcPr>
          <w:p w14:paraId="015C2B0B">
            <w:pPr>
              <w:spacing w:line="300" w:lineRule="auto"/>
              <w:jc w:val="center"/>
              <w:rPr>
                <w:rFonts w:ascii="黑体" w:hAnsi="Times New Roman" w:eastAsia="黑体" w:cs="Times New Roman"/>
                <w:b/>
                <w:color w:val="auto"/>
                <w:sz w:val="24"/>
                <w:highlight w:val="none"/>
              </w:rPr>
            </w:pPr>
          </w:p>
        </w:tc>
        <w:tc>
          <w:tcPr>
            <w:tcW w:w="720" w:type="dxa"/>
            <w:noWrap/>
            <w:vAlign w:val="center"/>
          </w:tcPr>
          <w:p w14:paraId="4930E8D1">
            <w:pPr>
              <w:spacing w:line="300" w:lineRule="auto"/>
              <w:jc w:val="center"/>
              <w:rPr>
                <w:rFonts w:ascii="黑体" w:hAnsi="Times New Roman" w:eastAsia="黑体" w:cs="Times New Roman"/>
                <w:b/>
                <w:color w:val="auto"/>
                <w:sz w:val="24"/>
                <w:highlight w:val="none"/>
              </w:rPr>
            </w:pPr>
          </w:p>
        </w:tc>
        <w:tc>
          <w:tcPr>
            <w:tcW w:w="900" w:type="dxa"/>
            <w:noWrap/>
            <w:vAlign w:val="center"/>
          </w:tcPr>
          <w:p w14:paraId="34A2F716">
            <w:pPr>
              <w:spacing w:line="300" w:lineRule="auto"/>
              <w:jc w:val="center"/>
              <w:rPr>
                <w:rFonts w:ascii="黑体" w:hAnsi="Times New Roman" w:eastAsia="黑体" w:cs="Times New Roman"/>
                <w:b/>
                <w:color w:val="auto"/>
                <w:sz w:val="24"/>
                <w:highlight w:val="none"/>
              </w:rPr>
            </w:pPr>
          </w:p>
        </w:tc>
        <w:tc>
          <w:tcPr>
            <w:tcW w:w="1260" w:type="dxa"/>
            <w:noWrap/>
            <w:vAlign w:val="center"/>
          </w:tcPr>
          <w:p w14:paraId="78691712">
            <w:pPr>
              <w:spacing w:line="300" w:lineRule="auto"/>
              <w:jc w:val="center"/>
              <w:rPr>
                <w:rFonts w:ascii="黑体" w:hAnsi="Times New Roman" w:eastAsia="黑体" w:cs="Times New Roman"/>
                <w:b/>
                <w:color w:val="auto"/>
                <w:sz w:val="24"/>
                <w:highlight w:val="none"/>
              </w:rPr>
            </w:pPr>
          </w:p>
        </w:tc>
        <w:tc>
          <w:tcPr>
            <w:tcW w:w="1800" w:type="dxa"/>
            <w:noWrap/>
            <w:vAlign w:val="center"/>
          </w:tcPr>
          <w:p w14:paraId="51740D32">
            <w:pPr>
              <w:spacing w:line="300" w:lineRule="auto"/>
              <w:jc w:val="center"/>
              <w:rPr>
                <w:rFonts w:ascii="黑体" w:hAnsi="Times New Roman" w:eastAsia="黑体" w:cs="Times New Roman"/>
                <w:b/>
                <w:color w:val="auto"/>
                <w:sz w:val="24"/>
                <w:highlight w:val="none"/>
              </w:rPr>
            </w:pPr>
          </w:p>
        </w:tc>
        <w:tc>
          <w:tcPr>
            <w:tcW w:w="720" w:type="dxa"/>
            <w:noWrap/>
            <w:vAlign w:val="center"/>
          </w:tcPr>
          <w:p w14:paraId="3CFE0B04">
            <w:pPr>
              <w:spacing w:line="300" w:lineRule="auto"/>
              <w:jc w:val="center"/>
              <w:rPr>
                <w:rFonts w:ascii="黑体" w:hAnsi="Times New Roman" w:eastAsia="黑体" w:cs="Times New Roman"/>
                <w:b/>
                <w:color w:val="auto"/>
                <w:sz w:val="24"/>
                <w:highlight w:val="none"/>
              </w:rPr>
            </w:pPr>
          </w:p>
        </w:tc>
        <w:tc>
          <w:tcPr>
            <w:tcW w:w="720" w:type="dxa"/>
            <w:noWrap/>
            <w:vAlign w:val="center"/>
          </w:tcPr>
          <w:p w14:paraId="0771F27A">
            <w:pPr>
              <w:spacing w:line="300" w:lineRule="auto"/>
              <w:jc w:val="center"/>
              <w:rPr>
                <w:rFonts w:ascii="黑体" w:hAnsi="Times New Roman" w:eastAsia="黑体" w:cs="Times New Roman"/>
                <w:b/>
                <w:color w:val="auto"/>
                <w:sz w:val="24"/>
                <w:highlight w:val="none"/>
              </w:rPr>
            </w:pPr>
          </w:p>
        </w:tc>
      </w:tr>
    </w:tbl>
    <w:p w14:paraId="3091899E">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5C016EBA">
      <w:pPr>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w:t>
      </w:r>
      <w:r>
        <w:rPr>
          <w:rFonts w:hint="eastAsia" w:ascii="宋体" w:hAnsi="宋体" w:eastAsia="宋体" w:cs="宋体"/>
          <w:b/>
          <w:color w:val="auto"/>
          <w:sz w:val="24"/>
          <w:szCs w:val="20"/>
          <w:highlight w:val="none"/>
          <w:lang w:val="en-US" w:eastAsia="zh-CN"/>
        </w:rPr>
        <w:t>件</w:t>
      </w:r>
      <w:r>
        <w:rPr>
          <w:rFonts w:hint="eastAsia" w:ascii="宋体" w:hAnsi="宋体" w:eastAsia="宋体" w:cs="宋体"/>
          <w:b/>
          <w:color w:val="auto"/>
          <w:sz w:val="24"/>
          <w:szCs w:val="20"/>
          <w:highlight w:val="none"/>
        </w:rPr>
        <w:t>2</w:t>
      </w:r>
    </w:p>
    <w:p w14:paraId="708D5D33">
      <w:pPr>
        <w:tabs>
          <w:tab w:val="left" w:pos="7155"/>
        </w:tabs>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供应商二次报价单</w:t>
      </w:r>
    </w:p>
    <w:p w14:paraId="26F9F780">
      <w:pPr>
        <w:jc w:val="left"/>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6CC1C18">
      <w:pPr>
        <w:spacing w:line="360" w:lineRule="auto"/>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附件3</w:t>
      </w:r>
    </w:p>
    <w:p w14:paraId="70E4753E">
      <w:pPr>
        <w:tabs>
          <w:tab w:val="left" w:pos="7155"/>
        </w:tabs>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供应商分项报价明细表</w:t>
      </w:r>
    </w:p>
    <w:p w14:paraId="00CCC63F">
      <w:pPr>
        <w:tabs>
          <w:tab w:val="left" w:pos="1035"/>
        </w:tabs>
        <w:spacing w:line="460" w:lineRule="exact"/>
        <w:rPr>
          <w:rFonts w:hint="eastAsia" w:ascii="宋体" w:hAnsi="宋体" w:cs="宋体"/>
          <w:b/>
          <w:sz w:val="24"/>
        </w:rPr>
      </w:pPr>
      <w:r>
        <w:rPr>
          <w:rFonts w:hint="eastAsia" w:ascii="宋体" w:hAnsi="宋体" w:eastAsia="宋体" w:cs="宋体"/>
          <w:color w:val="auto"/>
          <w:sz w:val="24"/>
          <w:highlight w:val="none"/>
        </w:rPr>
        <w:br w:type="page"/>
      </w:r>
      <w:r>
        <w:rPr>
          <w:rFonts w:hint="eastAsia" w:ascii="宋体" w:hAnsi="宋体" w:cs="宋体"/>
          <w:b/>
          <w:sz w:val="24"/>
        </w:rPr>
        <w:t>附件二： 廉政合同</w:t>
      </w:r>
    </w:p>
    <w:p w14:paraId="32BE8C48">
      <w:pPr>
        <w:tabs>
          <w:tab w:val="left" w:pos="1035"/>
        </w:tabs>
        <w:spacing w:line="460" w:lineRule="exact"/>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2026年南通市公路事业发展中心基础环境与安全运维服务项目</w:t>
      </w:r>
    </w:p>
    <w:p w14:paraId="77AD3CE2">
      <w:pPr>
        <w:tabs>
          <w:tab w:val="left" w:pos="1035"/>
        </w:tabs>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廉政合同</w:t>
      </w:r>
    </w:p>
    <w:p w14:paraId="1C4702BA">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根据交通</w:t>
      </w:r>
      <w:r>
        <w:rPr>
          <w:rFonts w:hint="eastAsia"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rPr>
        <w:t>部《关于在交通基础设施建设中加强廉政建设的若干意见》以及有关工程建设、廉政建设的规定，为做好工程建设中的党风廉政建设，保证工程建设高效优质，保证建设资金的安全和有效使用以及投资效益，甲方</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与乙方</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特订立如下合同。</w:t>
      </w:r>
    </w:p>
    <w:p w14:paraId="4F1C30E6">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第一条</w:t>
      </w:r>
      <w:r>
        <w:rPr>
          <w:rFonts w:hint="eastAsia" w:ascii="宋体" w:hAnsi="宋体" w:eastAsia="宋体" w:cs="宋体"/>
          <w:color w:val="auto"/>
          <w:sz w:val="24"/>
          <w:szCs w:val="24"/>
          <w:highlight w:val="none"/>
        </w:rPr>
        <w:t>甲乙双方的权利和义务</w:t>
      </w:r>
    </w:p>
    <w:p w14:paraId="618BE0D1">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（一）严格遵守国家有关法律法规及交通运输部的有关规定。</w:t>
      </w:r>
    </w:p>
    <w:p w14:paraId="169FD518">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的合同文件，自觉按合同办事。</w:t>
      </w:r>
    </w:p>
    <w:p w14:paraId="49F0C800">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（三）双方的业务活动坚持公开、公正、诚信、透明的原则（除法律认定的商业秘密和合同文件另有规定之外），不得损害国家和集体利益，违反工程建设管理规章制度。</w:t>
      </w:r>
    </w:p>
    <w:p w14:paraId="2010C9DE">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（四）建立健全廉政制度，开展廉政教育，设立廉政告示牌，公布举报电话，监督并认真查处违法违纪行为。</w:t>
      </w:r>
    </w:p>
    <w:p w14:paraId="22E58881">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（五）发现对方在业务活动中有违反廉政规定的行为，有及时提醒对方纠正的权利和义务。</w:t>
      </w:r>
    </w:p>
    <w:p w14:paraId="4762BA32">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（六）发现对方严重违反本合同义务条款的行为，有向其上级有关部门举报、建议给予处理并要求告知处理结果的权利。影响合同履行的，可按照合同中关于合同解除的约定处理。</w:t>
      </w:r>
    </w:p>
    <w:p w14:paraId="6DDC0C84">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第二条</w:t>
      </w:r>
      <w:r>
        <w:rPr>
          <w:rFonts w:hint="eastAsia" w:ascii="宋体" w:hAnsi="宋体" w:eastAsia="宋体" w:cs="宋体"/>
          <w:color w:val="auto"/>
          <w:sz w:val="24"/>
          <w:szCs w:val="24"/>
          <w:highlight w:val="none"/>
        </w:rPr>
        <w:t>甲方的义务</w:t>
      </w:r>
    </w:p>
    <w:p w14:paraId="22BF812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（一）甲方作为工程项目的建设单位，认真履行合同规定的甲方责任。</w:t>
      </w:r>
    </w:p>
    <w:p w14:paraId="794C21D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（二）甲方及其工作人员不得索要或接受乙方的礼金、有价证券和贵重物品，不得在乙方报销任何应由甲方或个人支付的费用等。</w:t>
      </w:r>
    </w:p>
    <w:p w14:paraId="797C0DA9">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（三）甲方工作人员不得参加乙方安排的超标准宴请和娱乐活动；不得接受乙方提供的通讯工具、交通工具和高档办公用品等。</w:t>
      </w:r>
    </w:p>
    <w:p w14:paraId="4A25D2CE">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（四）甲方及其工作人员不得要求或者接受乙方为其住房装修、婚丧嫁娶活动、配偶子女的工作安排以及出国出境、旅游等提供方便等。</w:t>
      </w:r>
    </w:p>
    <w:p w14:paraId="34A7302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（五）甲方工作人员的配偶、子女不得从事与甲方工程有关的项目。</w:t>
      </w:r>
    </w:p>
    <w:p w14:paraId="5A675746">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第三条</w:t>
      </w:r>
      <w:r>
        <w:rPr>
          <w:rFonts w:hint="eastAsia" w:ascii="宋体" w:hAnsi="宋体" w:eastAsia="宋体" w:cs="宋体"/>
          <w:color w:val="auto"/>
          <w:sz w:val="24"/>
          <w:szCs w:val="24"/>
          <w:highlight w:val="none"/>
        </w:rPr>
        <w:t>乙方的义务</w:t>
      </w:r>
    </w:p>
    <w:p w14:paraId="761120F5">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（一）乙方不得以任何理由向甲方及其工作人员行贿或馈赠礼金、有价证券、贵重礼品。</w:t>
      </w:r>
    </w:p>
    <w:p w14:paraId="467ED8BE">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（二）乙方不得以任何名义为甲方及其工作人员报销应由甲方单位或个人支付的任何费用。</w:t>
      </w:r>
    </w:p>
    <w:p w14:paraId="56A0F387">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（三）乙方不得以任何理由安排甲方工作人员参加超标准宴请及娱乐活动。</w:t>
      </w:r>
    </w:p>
    <w:p w14:paraId="2655EF8A">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（四）乙方不得为甲方单位和个人购置或提供通讯工具、交通工具和高档办公用品等。</w:t>
      </w:r>
    </w:p>
    <w:p w14:paraId="3C1AAB08">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（五）乙方及其工作人员不得索取或接受工作关系单位的礼金、有价证券和贵重物品，不得在工作关系报销任何应由乙方或个人支付的费用。</w:t>
      </w:r>
    </w:p>
    <w:p w14:paraId="1010FBA9">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（六）乙方及其工作人员必须严格按照规程办事，不得损害甲方利益。</w:t>
      </w:r>
    </w:p>
    <w:p w14:paraId="48F5E0B1">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第四条</w:t>
      </w:r>
      <w:r>
        <w:rPr>
          <w:rFonts w:hint="eastAsia" w:ascii="宋体" w:hAnsi="宋体" w:eastAsia="宋体" w:cs="宋体"/>
          <w:color w:val="auto"/>
          <w:sz w:val="24"/>
          <w:szCs w:val="24"/>
          <w:highlight w:val="none"/>
        </w:rPr>
        <w:t>违约责任</w:t>
      </w:r>
    </w:p>
    <w:p w14:paraId="33255DDD">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（一）甲方及其工作人员违反本合同第一、二条；按管理权限，依据有关规定给予党纪、政纪或组织处理；涉嫌犯罪的，移交司法机关追究刑事责任；给乙方单位造成经济损失的，应予以赔偿。</w:t>
      </w:r>
    </w:p>
    <w:p w14:paraId="346848A1">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FD30ABF">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第五条</w:t>
      </w:r>
      <w:r>
        <w:rPr>
          <w:rFonts w:hint="eastAsia" w:ascii="宋体" w:hAnsi="宋体" w:eastAsia="宋体" w:cs="宋体"/>
          <w:color w:val="auto"/>
          <w:sz w:val="24"/>
          <w:szCs w:val="24"/>
          <w:highlight w:val="none"/>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0FFD85B">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第六条</w:t>
      </w:r>
      <w:r>
        <w:rPr>
          <w:rFonts w:hint="eastAsia" w:ascii="宋体" w:hAnsi="宋体" w:eastAsia="宋体" w:cs="宋体"/>
          <w:color w:val="auto"/>
          <w:sz w:val="24"/>
          <w:szCs w:val="24"/>
          <w:highlight w:val="none"/>
        </w:rPr>
        <w:t>本合同有效期为甲乙双方签署之日起至该工程项目所有工作内容完成并经甲方验收合格后</w:t>
      </w:r>
      <w:r>
        <w:rPr>
          <w:rFonts w:hint="eastAsia" w:ascii="宋体" w:hAnsi="宋体" w:cs="宋体"/>
          <w:color w:val="auto"/>
          <w:sz w:val="24"/>
          <w:szCs w:val="24"/>
          <w:highlight w:val="none"/>
          <w:lang w:val="en-US" w:eastAsia="zh-CN"/>
        </w:rPr>
        <w:t>终止</w:t>
      </w:r>
      <w:r>
        <w:rPr>
          <w:rFonts w:hint="eastAsia" w:ascii="宋体" w:hAnsi="宋体" w:eastAsia="宋体" w:cs="宋体"/>
          <w:color w:val="auto"/>
          <w:sz w:val="24"/>
          <w:szCs w:val="24"/>
          <w:highlight w:val="none"/>
        </w:rPr>
        <w:t>。</w:t>
      </w:r>
    </w:p>
    <w:p w14:paraId="77C77D0B">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第七条</w:t>
      </w:r>
      <w:r>
        <w:rPr>
          <w:rFonts w:hint="eastAsia" w:ascii="宋体" w:hAnsi="宋体" w:eastAsia="宋体" w:cs="宋体"/>
          <w:color w:val="auto"/>
          <w:sz w:val="24"/>
          <w:szCs w:val="24"/>
          <w:highlight w:val="none"/>
        </w:rPr>
        <w:t>本合同作为</w:t>
      </w:r>
      <w:r>
        <w:rPr>
          <w:rFonts w:hint="eastAsia" w:ascii="宋体" w:hAnsi="宋体" w:eastAsia="宋体" w:cs="宋体"/>
          <w:color w:val="auto"/>
          <w:sz w:val="24"/>
          <w:szCs w:val="24"/>
          <w:highlight w:val="none"/>
          <w:lang w:eastAsia="zh-CN"/>
        </w:rPr>
        <w:t>2026年南通市公路事业发展中心基础环境与安全运维服务项目</w:t>
      </w:r>
      <w:r>
        <w:rPr>
          <w:rFonts w:hint="eastAsia" w:ascii="宋体" w:hAnsi="宋体" w:eastAsia="宋体" w:cs="宋体"/>
          <w:color w:val="auto"/>
          <w:sz w:val="24"/>
          <w:szCs w:val="24"/>
          <w:highlight w:val="none"/>
        </w:rPr>
        <w:t>合同的附件，与</w:t>
      </w:r>
      <w:r>
        <w:rPr>
          <w:rFonts w:hint="eastAsia" w:ascii="宋体" w:hAnsi="宋体" w:eastAsia="宋体" w:cs="宋体"/>
          <w:color w:val="auto"/>
          <w:sz w:val="24"/>
          <w:szCs w:val="24"/>
          <w:highlight w:val="none"/>
          <w:lang w:eastAsia="zh-CN"/>
        </w:rPr>
        <w:t>2026年南通市公路事业发展中心基础环境与安全运维服务项目</w:t>
      </w:r>
      <w:r>
        <w:rPr>
          <w:rFonts w:hint="eastAsia" w:ascii="宋体" w:hAnsi="宋体" w:eastAsia="宋体" w:cs="宋体"/>
          <w:color w:val="auto"/>
          <w:sz w:val="24"/>
          <w:szCs w:val="24"/>
          <w:highlight w:val="none"/>
        </w:rPr>
        <w:t>合同具有同等的法律效力，经合同双方签署立即生效。</w:t>
      </w:r>
    </w:p>
    <w:p w14:paraId="050F90B0">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第八条</w:t>
      </w:r>
      <w:r>
        <w:rPr>
          <w:rFonts w:hint="eastAsia" w:ascii="宋体" w:hAnsi="宋体" w:eastAsia="宋体" w:cs="宋体"/>
          <w:color w:val="auto"/>
          <w:sz w:val="24"/>
          <w:szCs w:val="24"/>
          <w:highlight w:val="none"/>
        </w:rPr>
        <w:t>本合同一式六份，双方各执三份。</w:t>
      </w:r>
    </w:p>
    <w:p w14:paraId="11E402BF">
      <w:pPr>
        <w:spacing w:line="360" w:lineRule="auto"/>
        <w:rPr>
          <w:rFonts w:ascii="宋体" w:hAnsi="宋体" w:eastAsia="宋体" w:cs="宋体"/>
          <w:color w:val="auto"/>
          <w:sz w:val="24"/>
          <w:szCs w:val="24"/>
          <w:highlight w:val="none"/>
        </w:rPr>
      </w:pPr>
    </w:p>
    <w:p w14:paraId="2EB94C6E">
      <w:pPr>
        <w:spacing w:line="360" w:lineRule="auto"/>
        <w:rPr>
          <w:rFonts w:ascii="宋体" w:hAnsi="宋体" w:eastAsia="宋体" w:cs="宋体"/>
          <w:color w:val="auto"/>
          <w:sz w:val="24"/>
          <w:szCs w:val="24"/>
          <w:highlight w:val="none"/>
        </w:rPr>
      </w:pPr>
    </w:p>
    <w:p w14:paraId="615350A7">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（盖单位章）                     乙方：（盖单位章）</w:t>
      </w:r>
    </w:p>
    <w:p w14:paraId="658E4C6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F9BC7CA">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或其委托代理人：（签字或盖章）          或其委托代理人：（签字或盖章）</w:t>
      </w:r>
    </w:p>
    <w:p w14:paraId="13974861">
      <w:pPr>
        <w:spacing w:line="360" w:lineRule="auto"/>
        <w:jc w:val="left"/>
        <w:rPr>
          <w:rFonts w:ascii="宋体" w:hAnsi="宋体" w:eastAsia="宋体" w:cs="宋体"/>
          <w:color w:val="auto"/>
          <w:sz w:val="24"/>
          <w:szCs w:val="24"/>
          <w:highlight w:val="none"/>
        </w:rPr>
      </w:pPr>
    </w:p>
    <w:p w14:paraId="148DBECF">
      <w:pPr>
        <w:spacing w:line="360" w:lineRule="auto"/>
        <w:ind w:firstLine="480"/>
        <w:rPr>
          <w:rFonts w:ascii="宋体" w:hAnsi="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w:t>
      </w:r>
    </w:p>
    <w:p w14:paraId="05AAABED">
      <w:pPr>
        <w:rPr>
          <w:rFonts w:ascii="宋体" w:hAnsi="宋体" w:cs="宋体"/>
          <w:color w:val="auto"/>
          <w:sz w:val="36"/>
          <w:szCs w:val="36"/>
          <w:highlight w:val="none"/>
        </w:rPr>
        <w:sectPr>
          <w:footerReference r:id="rId4" w:type="default"/>
          <w:pgSz w:w="11905" w:h="16838"/>
          <w:pgMar w:top="1429" w:right="1429" w:bottom="1429" w:left="1429" w:header="850" w:footer="992" w:gutter="0"/>
          <w:cols w:space="0" w:num="1"/>
          <w:rtlGutter w:val="0"/>
          <w:docGrid w:linePitch="360" w:charSpace="0"/>
        </w:sectPr>
      </w:pPr>
    </w:p>
    <w:p w14:paraId="4673903E">
      <w:pPr>
        <w:adjustRightInd w:val="0"/>
        <w:snapToGrid w:val="0"/>
        <w:spacing w:line="360" w:lineRule="auto"/>
        <w:ind w:firstLine="723" w:firstLineChars="200"/>
        <w:jc w:val="center"/>
        <w:rPr>
          <w:rFonts w:ascii="宋体" w:hAnsi="宋体" w:cs="宋体"/>
          <w:color w:val="auto"/>
          <w:sz w:val="28"/>
          <w:szCs w:val="28"/>
          <w:highlight w:val="none"/>
        </w:rPr>
      </w:pPr>
      <w:r>
        <w:rPr>
          <w:rFonts w:hint="eastAsia" w:ascii="宋体" w:hAnsi="宋体" w:cs="宋体"/>
          <w:b/>
          <w:color w:val="auto"/>
          <w:sz w:val="36"/>
          <w:szCs w:val="36"/>
          <w:highlight w:val="none"/>
        </w:rPr>
        <w:t>第六部分  质疑提出和处理</w:t>
      </w:r>
    </w:p>
    <w:p w14:paraId="6B2A19E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一、质疑的提出</w:t>
      </w:r>
    </w:p>
    <w:p w14:paraId="2D1DB9C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（一）质疑人的身份要求      </w:t>
      </w:r>
    </w:p>
    <w:p w14:paraId="5BD3135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1.提出质疑的供应商应当是参与所质疑项目采购活动的供应商。</w:t>
      </w:r>
    </w:p>
    <w:p w14:paraId="4085FF5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4B31452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（二）质疑提出的格式要求   </w:t>
      </w:r>
    </w:p>
    <w:p w14:paraId="5BA596E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w:t>
      </w:r>
      <w:r>
        <w:rPr>
          <w:rFonts w:hint="eastAsia" w:ascii="宋体" w:hAnsi="宋体" w:cs="宋体"/>
          <w:color w:val="auto"/>
          <w:kern w:val="0"/>
          <w:sz w:val="24"/>
          <w:highlight w:val="none"/>
        </w:rPr>
        <w:t>应</w:t>
      </w:r>
      <w:r>
        <w:rPr>
          <w:rFonts w:hint="eastAsia" w:ascii="宋体" w:hAnsi="宋体" w:cs="宋体"/>
          <w:color w:val="auto"/>
          <w:kern w:val="0"/>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C4C318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2.质疑函应包括：    </w:t>
      </w:r>
    </w:p>
    <w:p w14:paraId="35FF914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（1）质疑供应商的名称、地址、邮编、联系人及联系电话；</w:t>
      </w:r>
    </w:p>
    <w:p w14:paraId="7E9FB8F5">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（2）具体、明确的质疑事项及明确的请求；</w:t>
      </w:r>
    </w:p>
    <w:p w14:paraId="147EBFB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（3）质疑的事实依据和必要的法律依据；</w:t>
      </w:r>
    </w:p>
    <w:p w14:paraId="2A3F41F6">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（4）提起质疑的日期；</w:t>
      </w:r>
    </w:p>
    <w:p w14:paraId="2A8E337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（5）认为自己合法权益受到损害或可能受到损害的相关证据材料；                            </w:t>
      </w:r>
    </w:p>
    <w:p w14:paraId="2D43CE9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zh-CN"/>
        </w:rPr>
        <w:t>将不予受理。质疑人委托代理质疑的，应当向采购人提交授权委托书，并载明委托代理的具体权限和事项。</w:t>
      </w:r>
    </w:p>
    <w:p w14:paraId="69FD88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3.质疑函需遵循的原则：</w:t>
      </w:r>
    </w:p>
    <w:p w14:paraId="2A95D43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人不具有法定调查、认定权限。</w:t>
      </w:r>
    </w:p>
    <w:p w14:paraId="68D26BB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（三）质疑提出的时效要求</w:t>
      </w:r>
    </w:p>
    <w:p w14:paraId="5405C96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3946406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（1）对可以质疑的采购文件提出质疑的，为收到采购文件之日或者采购文件公告期限届满之日；</w:t>
      </w:r>
    </w:p>
    <w:p w14:paraId="75672A2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（2）对采购过程提出质疑的，为各采购程序环节结束之日；</w:t>
      </w:r>
    </w:p>
    <w:p w14:paraId="4BB8533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（3）对成交或者成交结果提出质疑的，为成交或者成交结果公告期限届满之日。                 </w:t>
      </w:r>
    </w:p>
    <w:p w14:paraId="0E64F7E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供应商认为采购文件使自己的权益受到损害的，可以按照</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公告第八项要求向采购人提出质疑；供应商认为采购过程和采购结果使自己的权益受到损害的，可以以书面形式向采购人或采购人提出质疑。</w:t>
      </w:r>
    </w:p>
    <w:p w14:paraId="0F5C401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2.供应商应在法定质疑期一次性提出针对同一采购程序环节的质疑。                         </w:t>
      </w:r>
    </w:p>
    <w:p w14:paraId="6995FEC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二、《质疑函》的受理和答复</w:t>
      </w:r>
    </w:p>
    <w:p w14:paraId="46E4E4D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采购人收到质疑函后，将对质疑的形式和内容进行审查，如质疑函内容、格式不符合规定，采购人将告知质疑人进行补正。</w:t>
      </w:r>
    </w:p>
    <w:p w14:paraId="729BE34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 质疑人应当在法定质疑期限内进行补正并重新提交质疑函，拒不补正或者在法定期限内未重新提交质疑函的，为无效质疑，采购人将不予受理。</w:t>
      </w:r>
    </w:p>
    <w:p w14:paraId="4219EB9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3.采购人或采购代理机构答复供应商质疑应当采用书面方式并依法送达，质疑供应商或其委托代理人拒绝签收的视为已经送达。</w:t>
      </w:r>
    </w:p>
    <w:p w14:paraId="5CEB9FE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三、质疑处理</w:t>
      </w:r>
    </w:p>
    <w:p w14:paraId="4AD88EA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质疑成立的处理</w:t>
      </w:r>
    </w:p>
    <w:p w14:paraId="370B262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（1）对于内容、格式符合规定的质疑函，采购人在收到磋商供应商的书面质疑后七个工作日内作出书面答复，但答复的内容不得涉及商业秘密。                       </w:t>
      </w:r>
    </w:p>
    <w:p w14:paraId="5B28198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1F1D288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2082224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质疑答复导致成交、成交结果改变的，采购人或者采购代理机构应当将有关情况书面报告本级财政部门。</w:t>
      </w:r>
    </w:p>
    <w:p w14:paraId="36E49C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2.质疑不成立的处理</w:t>
      </w:r>
    </w:p>
    <w:p w14:paraId="22CE6F5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若质疑不成立，或者成立未对成交、成交结果构成影响的，继续开展采购活动。                  </w:t>
      </w:r>
    </w:p>
    <w:p w14:paraId="65C188B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3.虚假质疑的处理          </w:t>
      </w:r>
    </w:p>
    <w:p w14:paraId="16770E63">
      <w:pPr>
        <w:pStyle w:val="8"/>
        <w:adjustRightInd w:val="0"/>
        <w:snapToGrid w:val="0"/>
        <w:spacing w:after="0" w:line="360" w:lineRule="auto"/>
        <w:ind w:left="0" w:leftChars="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14:paraId="1ED3AA60">
      <w:pPr>
        <w:autoSpaceDE w:val="0"/>
        <w:autoSpaceDN w:val="0"/>
        <w:adjustRightInd w:val="0"/>
        <w:snapToGrid w:val="0"/>
        <w:spacing w:line="300" w:lineRule="auto"/>
        <w:contextualSpacing/>
        <w:rPr>
          <w:rFonts w:ascii="宋体" w:hAnsi="宋体" w:cs="宋体"/>
          <w:color w:val="auto"/>
          <w:sz w:val="28"/>
          <w:szCs w:val="28"/>
          <w:highlight w:val="none"/>
          <w:lang w:val="zh-CN"/>
        </w:rPr>
      </w:pPr>
    </w:p>
    <w:p w14:paraId="7C2133C9">
      <w:pPr>
        <w:autoSpaceDE w:val="0"/>
        <w:autoSpaceDN w:val="0"/>
        <w:adjustRightInd w:val="0"/>
        <w:snapToGrid w:val="0"/>
        <w:spacing w:line="300" w:lineRule="auto"/>
        <w:ind w:left="3630" w:right="210" w:hanging="3092"/>
        <w:outlineLvl w:val="0"/>
        <w:rPr>
          <w:rFonts w:ascii="宋体" w:hAnsi="宋体" w:cs="宋体"/>
          <w:color w:val="auto"/>
          <w:sz w:val="28"/>
          <w:szCs w:val="28"/>
          <w:highlight w:val="none"/>
          <w:lang w:val="zh-CN"/>
        </w:rPr>
      </w:pPr>
    </w:p>
    <w:p w14:paraId="63D28D1E">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C4A786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4E2EF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4D3A24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3DE074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572317B">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5ADA923">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9F497E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282A7C1">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BA2BA35">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3E1C0D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3241A3F">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B157812">
      <w:pPr>
        <w:widowControl/>
        <w:jc w:val="center"/>
        <w:rPr>
          <w:rFonts w:ascii="宋体" w:hAnsi="宋体" w:cs="宋体"/>
          <w:bCs/>
          <w:color w:val="auto"/>
          <w:sz w:val="44"/>
          <w:szCs w:val="44"/>
          <w:highlight w:val="none"/>
        </w:rPr>
      </w:pPr>
      <w:r>
        <w:rPr>
          <w:rFonts w:hint="eastAsia" w:ascii="宋体" w:hAnsi="宋体" w:cs="宋体"/>
          <w:b/>
          <w:bCs/>
          <w:color w:val="auto"/>
          <w:sz w:val="36"/>
          <w:szCs w:val="36"/>
          <w:highlight w:val="none"/>
          <w:lang w:val="zh-CN"/>
        </w:rPr>
        <w:br w:type="page"/>
      </w:r>
      <w:r>
        <w:rPr>
          <w:rFonts w:hint="eastAsia" w:ascii="宋体" w:hAnsi="宋体" w:cs="宋体"/>
          <w:bCs/>
          <w:color w:val="auto"/>
          <w:sz w:val="44"/>
          <w:szCs w:val="44"/>
          <w:highlight w:val="none"/>
        </w:rPr>
        <w:t>质疑函范本</w:t>
      </w:r>
    </w:p>
    <w:p w14:paraId="5856EB40">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F75B5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275C5A5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F0A13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             联系电话：</w:t>
      </w:r>
    </w:p>
    <w:p w14:paraId="6CD365B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6F58E7C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2A559C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4B04EB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67E2F5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67CFE2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26B13684">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A585F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0E6ABE56">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42E9FAC">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6A5ACCA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38029908">
      <w:pPr>
        <w:adjustRightInd w:val="0"/>
        <w:snapToGrid w:val="0"/>
        <w:spacing w:line="360" w:lineRule="auto"/>
        <w:rPr>
          <w:rFonts w:ascii="宋体" w:hAnsi="宋体" w:cs="宋体"/>
          <w:color w:val="auto"/>
          <w:sz w:val="24"/>
          <w:highlight w:val="none"/>
        </w:rPr>
      </w:pPr>
    </w:p>
    <w:p w14:paraId="622A43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52981C5D">
      <w:pPr>
        <w:adjustRightInd w:val="0"/>
        <w:snapToGrid w:val="0"/>
        <w:spacing w:line="360" w:lineRule="auto"/>
        <w:rPr>
          <w:rFonts w:ascii="宋体" w:hAnsi="宋体" w:cs="宋体"/>
          <w:color w:val="auto"/>
          <w:sz w:val="24"/>
          <w:highlight w:val="none"/>
          <w:u w:val="dotted"/>
        </w:rPr>
      </w:pPr>
    </w:p>
    <w:p w14:paraId="09A6C7C2">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709400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409DA41">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C0E4A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1FB956D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236764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506F85F">
      <w:pPr>
        <w:adjustRightInd w:val="0"/>
        <w:snapToGrid w:val="0"/>
        <w:spacing w:line="360" w:lineRule="auto"/>
        <w:rPr>
          <w:rFonts w:ascii="宋体" w:hAnsi="宋体" w:cs="宋体"/>
          <w:color w:val="auto"/>
          <w:sz w:val="32"/>
          <w:szCs w:val="32"/>
          <w:highlight w:val="none"/>
        </w:rPr>
      </w:pPr>
    </w:p>
    <w:p w14:paraId="717AD1B5">
      <w:pPr>
        <w:adjustRightInd w:val="0"/>
        <w:snapToGrid w:val="0"/>
        <w:spacing w:line="360" w:lineRule="auto"/>
        <w:rPr>
          <w:rFonts w:ascii="宋体" w:hAnsi="宋体" w:cs="宋体"/>
          <w:b/>
          <w:color w:val="auto"/>
          <w:sz w:val="32"/>
          <w:szCs w:val="32"/>
          <w:highlight w:val="none"/>
        </w:rPr>
      </w:pPr>
    </w:p>
    <w:p w14:paraId="50C8805D">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AC5A27B">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458EA00">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5548B6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0EED58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0C66E8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40B876C">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AB7C5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C569D3">
      <w:pPr>
        <w:widowControl/>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DDE8299">
      <w:pPr>
        <w:autoSpaceDE w:val="0"/>
        <w:autoSpaceDN w:val="0"/>
        <w:adjustRightInd w:val="0"/>
        <w:snapToGrid w:val="0"/>
        <w:ind w:left="4513" w:right="210" w:hanging="4513"/>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第七部分  响应文件组成</w:t>
      </w:r>
    </w:p>
    <w:p w14:paraId="63DDACC4">
      <w:pPr>
        <w:snapToGrid w:val="0"/>
        <w:spacing w:line="440" w:lineRule="exact"/>
        <w:ind w:firstLine="458" w:firstLineChars="200"/>
        <w:jc w:val="left"/>
        <w:rPr>
          <w:rFonts w:ascii="宋体" w:hAnsi="宋体" w:cs="宋体"/>
          <w:b/>
          <w:color w:val="auto"/>
          <w:spacing w:val="-6"/>
          <w:sz w:val="24"/>
          <w:highlight w:val="none"/>
        </w:rPr>
      </w:pPr>
      <w:r>
        <w:rPr>
          <w:rFonts w:hint="eastAsia" w:ascii="宋体" w:hAnsi="宋体" w:cs="宋体"/>
          <w:b/>
          <w:color w:val="auto"/>
          <w:spacing w:val="-6"/>
          <w:sz w:val="24"/>
          <w:highlight w:val="none"/>
        </w:rPr>
        <w:t>响应文件由资格审查、商务技术文件、价格响应文件、电子版响应文件四</w:t>
      </w:r>
      <w:r>
        <w:rPr>
          <w:rFonts w:hint="eastAsia" w:ascii="宋体" w:hAnsi="宋体" w:cs="宋体"/>
          <w:b/>
          <w:color w:val="auto"/>
          <w:sz w:val="24"/>
          <w:highlight w:val="none"/>
        </w:rPr>
        <w:t>部分组成</w:t>
      </w:r>
      <w:r>
        <w:rPr>
          <w:rFonts w:hint="eastAsia" w:ascii="宋体" w:hAnsi="宋体" w:cs="宋体"/>
          <w:b/>
          <w:color w:val="auto"/>
          <w:spacing w:val="-6"/>
          <w:sz w:val="24"/>
          <w:highlight w:val="none"/>
        </w:rPr>
        <w:t>。</w:t>
      </w:r>
    </w:p>
    <w:p w14:paraId="3F704D21">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一、资格审查</w:t>
      </w:r>
    </w:p>
    <w:p w14:paraId="6C67BE4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1.资格声明函原件；</w:t>
      </w:r>
    </w:p>
    <w:p w14:paraId="3BE2378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2.授权委托书或法定代表人身份证明原件；</w:t>
      </w:r>
    </w:p>
    <w:p w14:paraId="0448E01F">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3.供应商信用承诺书原件；</w:t>
      </w:r>
    </w:p>
    <w:p w14:paraId="000F5303">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服务承诺书；</w:t>
      </w:r>
    </w:p>
    <w:p w14:paraId="08CFEFAD">
      <w:pPr>
        <w:tabs>
          <w:tab w:val="left" w:pos="3375"/>
        </w:tabs>
        <w:autoSpaceDE w:val="0"/>
        <w:autoSpaceDN w:val="0"/>
        <w:adjustRightInd w:val="0"/>
        <w:snapToGrid w:val="0"/>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《中小企业声明函》等原件</w:t>
      </w:r>
      <w:r>
        <w:rPr>
          <w:rFonts w:hint="eastAsia" w:ascii="宋体" w:hAnsi="宋体" w:cs="宋体"/>
          <w:color w:val="auto"/>
          <w:sz w:val="24"/>
          <w:highlight w:val="none"/>
          <w:lang w:val="zh-CN"/>
        </w:rPr>
        <w:t>；</w:t>
      </w:r>
    </w:p>
    <w:p w14:paraId="5995E321">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.供应商基本情况表及按竞争性磋商公告资格要求提供相应的佐证材料（以下材料均须提供复印件（或扫描件）并加盖公章）；</w:t>
      </w:r>
    </w:p>
    <w:p w14:paraId="0558DF19">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企业法人营业执照或事业单位法人登记证明或社会组织或其他组织或自然人证明材料；</w:t>
      </w:r>
    </w:p>
    <w:p w14:paraId="3E74E751">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）项目负责人社保证明材料；</w:t>
      </w:r>
    </w:p>
    <w:p w14:paraId="57B6D236">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.其它需要提交的资格审查材料。</w:t>
      </w:r>
    </w:p>
    <w:p w14:paraId="0244F575">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二、商务技术文件</w:t>
      </w:r>
    </w:p>
    <w:p w14:paraId="635B1FB7">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41C990B">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2990DDFE">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77378D4A">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F6435C7">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7424CC77">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三、价格响应文件</w:t>
      </w:r>
    </w:p>
    <w:p w14:paraId="06BDD6CF">
      <w:pPr>
        <w:pStyle w:val="32"/>
        <w:adjustRightInd w:val="0"/>
        <w:snapToGrid w:val="0"/>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1.磋商报价总表；</w:t>
      </w:r>
    </w:p>
    <w:p w14:paraId="4796CD0D">
      <w:pPr>
        <w:pStyle w:val="32"/>
        <w:adjustRightInd w:val="0"/>
        <w:snapToGrid w:val="0"/>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2.分项报价明细表。</w:t>
      </w:r>
    </w:p>
    <w:p w14:paraId="571EBF24">
      <w:pPr>
        <w:adjustRightInd w:val="0"/>
        <w:snapToGrid w:val="0"/>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注：本表各分项报价合计应当与磋商报价总表报价合计相等。请各供应商务必按照以上要求填报，否则作为无效投标处理。</w:t>
      </w:r>
    </w:p>
    <w:p w14:paraId="45E5AB7D">
      <w:pPr>
        <w:tabs>
          <w:tab w:val="left" w:pos="3375"/>
        </w:tabs>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D790D8A">
      <w:pPr>
        <w:tabs>
          <w:tab w:val="left" w:pos="3375"/>
        </w:tabs>
        <w:autoSpaceDE w:val="0"/>
        <w:autoSpaceDN w:val="0"/>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四、电子版响应文件</w:t>
      </w:r>
    </w:p>
    <w:p w14:paraId="2F05060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电子版响应文件（</w:t>
      </w:r>
      <w:r>
        <w:rPr>
          <w:rFonts w:hint="eastAsia" w:ascii="宋体" w:hAnsi="宋体" w:cs="宋体"/>
          <w:b/>
          <w:bCs/>
          <w:color w:val="auto"/>
          <w:sz w:val="24"/>
          <w:highlight w:val="none"/>
        </w:rPr>
        <w:t>按“第二部分 磋商须知”中电子版响应文件要求</w:t>
      </w:r>
      <w:r>
        <w:rPr>
          <w:rFonts w:hint="eastAsia" w:ascii="宋体" w:hAnsi="宋体" w:cs="宋体"/>
          <w:b/>
          <w:bCs/>
          <w:color w:val="auto"/>
          <w:sz w:val="24"/>
          <w:highlight w:val="none"/>
          <w:lang w:val="zh-CN"/>
        </w:rPr>
        <w:t>提供</w:t>
      </w:r>
      <w:r>
        <w:rPr>
          <w:rFonts w:hint="eastAsia" w:ascii="宋体" w:hAnsi="宋体" w:cs="宋体"/>
          <w:b/>
          <w:color w:val="auto"/>
          <w:sz w:val="24"/>
          <w:highlight w:val="none"/>
        </w:rPr>
        <w:t>）</w:t>
      </w:r>
      <w:r>
        <w:rPr>
          <w:rFonts w:hint="eastAsia" w:ascii="宋体" w:hAnsi="宋体" w:cs="宋体"/>
          <w:color w:val="auto"/>
          <w:sz w:val="24"/>
          <w:highlight w:val="none"/>
        </w:rPr>
        <w:t>。</w:t>
      </w:r>
    </w:p>
    <w:p w14:paraId="4CEFA744">
      <w:pPr>
        <w:tabs>
          <w:tab w:val="left" w:pos="3375"/>
        </w:tabs>
        <w:autoSpaceDE w:val="0"/>
        <w:autoSpaceDN w:val="0"/>
        <w:adjustRightInd w:val="0"/>
        <w:snapToGrid w:val="0"/>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电子版响应文件不得设置密码并保证无病毒。</w:t>
      </w:r>
    </w:p>
    <w:p w14:paraId="7419E6B7">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第一部分格式：</w:t>
      </w:r>
    </w:p>
    <w:p w14:paraId="65F9C77C">
      <w:pPr>
        <w:tabs>
          <w:tab w:val="left" w:pos="159"/>
        </w:tabs>
        <w:rPr>
          <w:rFonts w:ascii="宋体" w:hAnsi="宋体" w:cs="宋体"/>
          <w:color w:val="auto"/>
          <w:sz w:val="28"/>
          <w:szCs w:val="28"/>
          <w:highlight w:val="none"/>
        </w:rPr>
      </w:pPr>
    </w:p>
    <w:p w14:paraId="08C8551D">
      <w:pPr>
        <w:snapToGrid w:val="0"/>
        <w:spacing w:line="300" w:lineRule="auto"/>
        <w:ind w:firstLine="906" w:firstLineChars="206"/>
        <w:contextualSpacing/>
        <w:rPr>
          <w:rFonts w:ascii="宋体" w:hAnsi="宋体" w:cs="宋体"/>
          <w:color w:val="auto"/>
          <w:sz w:val="44"/>
          <w:szCs w:val="44"/>
          <w:highlight w:val="none"/>
        </w:rPr>
      </w:pPr>
    </w:p>
    <w:p w14:paraId="44DB7AAB">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2026年南通市公路事业发展中心基础环境与安全运维服务项目</w:t>
      </w:r>
    </w:p>
    <w:p w14:paraId="6345EF61">
      <w:pPr>
        <w:tabs>
          <w:tab w:val="left" w:pos="6300"/>
        </w:tabs>
        <w:snapToGrid w:val="0"/>
        <w:spacing w:line="300" w:lineRule="auto"/>
        <w:jc w:val="center"/>
        <w:rPr>
          <w:rFonts w:hint="eastAsia" w:ascii="宋体" w:hAnsi="宋体" w:cs="宋体"/>
          <w:b/>
          <w:color w:val="auto"/>
          <w:w w:val="80"/>
          <w:sz w:val="32"/>
          <w:szCs w:val="32"/>
          <w:highlight w:val="none"/>
        </w:rPr>
      </w:pPr>
    </w:p>
    <w:p w14:paraId="726CC66B">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2026AQYW</w:t>
      </w:r>
    </w:p>
    <w:p w14:paraId="6F0A63C8">
      <w:pPr>
        <w:tabs>
          <w:tab w:val="left" w:pos="6300"/>
        </w:tabs>
        <w:snapToGrid w:val="0"/>
        <w:spacing w:line="300" w:lineRule="auto"/>
        <w:ind w:firstLine="3087" w:firstLineChars="1200"/>
        <w:jc w:val="both"/>
        <w:rPr>
          <w:rFonts w:hint="eastAsia"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档案编号：20251122</w:t>
      </w:r>
    </w:p>
    <w:p w14:paraId="426730EF">
      <w:pPr>
        <w:tabs>
          <w:tab w:val="left" w:pos="6300"/>
        </w:tabs>
        <w:snapToGrid w:val="0"/>
        <w:spacing w:line="300" w:lineRule="auto"/>
        <w:jc w:val="center"/>
        <w:rPr>
          <w:rFonts w:ascii="宋体" w:hAnsi="宋体" w:cs="宋体"/>
          <w:b/>
          <w:color w:val="auto"/>
          <w:w w:val="80"/>
          <w:sz w:val="32"/>
          <w:szCs w:val="32"/>
          <w:highlight w:val="none"/>
        </w:rPr>
      </w:pPr>
    </w:p>
    <w:p w14:paraId="58D714E8">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424EBD9B">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14:paraId="73DB14C4">
      <w:pPr>
        <w:spacing w:after="60"/>
        <w:jc w:val="center"/>
        <w:rPr>
          <w:rFonts w:ascii="宋体" w:hAnsi="宋体" w:cs="宋体"/>
          <w:b/>
          <w:bCs/>
          <w:color w:val="auto"/>
          <w:sz w:val="72"/>
          <w:szCs w:val="72"/>
          <w:highlight w:val="none"/>
        </w:rPr>
      </w:pPr>
    </w:p>
    <w:p w14:paraId="20D79FC4">
      <w:pPr>
        <w:spacing w:after="60"/>
        <w:jc w:val="center"/>
        <w:rPr>
          <w:rFonts w:ascii="宋体" w:hAnsi="宋体" w:cs="宋体"/>
          <w:b/>
          <w:bCs/>
          <w:color w:val="auto"/>
          <w:sz w:val="72"/>
          <w:szCs w:val="72"/>
          <w:highlight w:val="none"/>
        </w:rPr>
      </w:pPr>
    </w:p>
    <w:p w14:paraId="6A3CB1C7">
      <w:pPr>
        <w:spacing w:after="60"/>
        <w:jc w:val="center"/>
        <w:rPr>
          <w:rFonts w:ascii="宋体" w:hAnsi="宋体" w:cs="宋体"/>
          <w:b/>
          <w:bCs/>
          <w:color w:val="auto"/>
          <w:sz w:val="72"/>
          <w:szCs w:val="72"/>
          <w:highlight w:val="none"/>
        </w:rPr>
      </w:pPr>
    </w:p>
    <w:p w14:paraId="2DF8F8DD">
      <w:pPr>
        <w:spacing w:after="60"/>
        <w:jc w:val="center"/>
        <w:rPr>
          <w:rFonts w:ascii="宋体" w:hAnsi="宋体" w:cs="宋体"/>
          <w:b/>
          <w:bCs/>
          <w:color w:val="auto"/>
          <w:sz w:val="72"/>
          <w:szCs w:val="72"/>
          <w:highlight w:val="none"/>
        </w:rPr>
      </w:pPr>
    </w:p>
    <w:p w14:paraId="0E91FAFD">
      <w:pPr>
        <w:pStyle w:val="18"/>
        <w:ind w:left="0" w:leftChars="0" w:firstLine="0" w:firstLineChars="0"/>
        <w:rPr>
          <w:rFonts w:ascii="宋体" w:hAnsi="宋体" w:cs="宋体"/>
          <w:b/>
          <w:bCs/>
          <w:color w:val="auto"/>
          <w:sz w:val="72"/>
          <w:szCs w:val="72"/>
          <w:highlight w:val="none"/>
        </w:rPr>
      </w:pPr>
    </w:p>
    <w:p w14:paraId="01CFA4BE">
      <w:pPr>
        <w:spacing w:after="60"/>
        <w:jc w:val="center"/>
        <w:rPr>
          <w:rFonts w:ascii="宋体" w:hAnsi="宋体" w:cs="宋体"/>
          <w:b/>
          <w:bCs/>
          <w:color w:val="auto"/>
          <w:sz w:val="72"/>
          <w:szCs w:val="72"/>
          <w:highlight w:val="none"/>
        </w:rPr>
      </w:pPr>
    </w:p>
    <w:p w14:paraId="7093FD5A">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622156F9">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02847B11">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1768455F">
      <w:pPr>
        <w:snapToGrid w:val="0"/>
        <w:spacing w:line="360" w:lineRule="auto"/>
        <w:contextualSpacing/>
        <w:jc w:val="left"/>
        <w:rPr>
          <w:rFonts w:ascii="宋体" w:hAnsi="宋体" w:cs="宋体"/>
          <w:color w:val="auto"/>
          <w:sz w:val="24"/>
          <w:highlight w:val="none"/>
        </w:rPr>
      </w:pPr>
      <w:r>
        <w:rPr>
          <w:rFonts w:hint="eastAsia" w:ascii="宋体" w:hAnsi="宋体" w:cs="宋体"/>
          <w:color w:val="auto"/>
          <w:sz w:val="28"/>
          <w:szCs w:val="28"/>
          <w:highlight w:val="none"/>
        </w:rPr>
        <w:t>（一）资格审查文件</w:t>
      </w:r>
    </w:p>
    <w:p w14:paraId="540C570A">
      <w:pPr>
        <w:snapToGrid w:val="0"/>
        <w:spacing w:line="360" w:lineRule="auto"/>
        <w:contextualSpacing/>
        <w:jc w:val="left"/>
        <w:rPr>
          <w:rFonts w:ascii="宋体" w:hAnsi="宋体" w:cs="宋体"/>
          <w:color w:val="auto"/>
          <w:sz w:val="28"/>
          <w:szCs w:val="28"/>
          <w:highlight w:val="none"/>
        </w:rPr>
      </w:pPr>
      <w:r>
        <w:rPr>
          <w:rFonts w:hint="eastAsia" w:ascii="宋体" w:hAnsi="宋体" w:cs="宋体"/>
          <w:color w:val="auto"/>
          <w:sz w:val="28"/>
          <w:szCs w:val="28"/>
          <w:highlight w:val="none"/>
        </w:rPr>
        <w:t>附件1：</w:t>
      </w:r>
    </w:p>
    <w:p w14:paraId="51498120">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4EAB5712">
      <w:pPr>
        <w:spacing w:line="360" w:lineRule="auto"/>
        <w:jc w:val="center"/>
        <w:rPr>
          <w:rFonts w:ascii="宋体" w:hAnsi="宋体" w:cs="宋体"/>
          <w:b/>
          <w:color w:val="auto"/>
          <w:sz w:val="24"/>
          <w:highlight w:val="none"/>
        </w:rPr>
      </w:pPr>
    </w:p>
    <w:p w14:paraId="7EF2F00A">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u w:val="single"/>
        </w:rPr>
        <w:t>南通市公路事业发展中心</w:t>
      </w:r>
      <w:r>
        <w:rPr>
          <w:rFonts w:hint="eastAsia" w:ascii="宋体" w:hAnsi="宋体" w:cs="宋体"/>
          <w:b/>
          <w:color w:val="auto"/>
          <w:sz w:val="24"/>
          <w:highlight w:val="none"/>
        </w:rPr>
        <w:t>：</w:t>
      </w:r>
    </w:p>
    <w:p w14:paraId="29F6B4DA">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hint="eastAsia" w:ascii="宋体" w:hAnsi="宋体" w:cs="宋体"/>
          <w:color w:val="auto"/>
          <w:sz w:val="24"/>
          <w:highlight w:val="none"/>
          <w:u w:val="single"/>
        </w:rPr>
        <w:t xml:space="preserve">     （项目名称）                   项目</w:t>
      </w:r>
      <w:r>
        <w:rPr>
          <w:rFonts w:hint="eastAsia" w:ascii="宋体" w:hAnsi="宋体" w:cs="宋体"/>
          <w:color w:val="auto"/>
          <w:sz w:val="24"/>
          <w:highlight w:val="none"/>
        </w:rPr>
        <w:t>磋商文件（含所有澄清、修改文件），符合贵方提出的资格要求，自愿报名参加响应，并郑重声明：</w:t>
      </w:r>
    </w:p>
    <w:p w14:paraId="436B1E97">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我单位具有独立承担民事责任的能力；</w:t>
      </w:r>
    </w:p>
    <w:p w14:paraId="3BB65C71">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32E774FE">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306A5A6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2BFF23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我单位参加政府采购活动前3年内在经营活动中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1FA9E7B5">
      <w:pPr>
        <w:snapToGrid w:val="0"/>
        <w:spacing w:line="300" w:lineRule="auto"/>
        <w:ind w:firstLine="420"/>
        <w:contextualSpacing/>
        <w:rPr>
          <w:rFonts w:ascii="宋体" w:hAnsi="宋体" w:cs="宋体"/>
          <w:color w:val="auto"/>
          <w:sz w:val="28"/>
          <w:szCs w:val="28"/>
          <w:highlight w:val="none"/>
        </w:rPr>
      </w:pPr>
    </w:p>
    <w:p w14:paraId="062FFC60">
      <w:pPr>
        <w:snapToGrid w:val="0"/>
        <w:spacing w:line="360" w:lineRule="auto"/>
        <w:ind w:firstLine="4440" w:firstLineChars="1850"/>
        <w:contextualSpacing/>
        <w:rPr>
          <w:rFonts w:ascii="宋体" w:hAnsi="宋体" w:cs="宋体"/>
          <w:color w:val="auto"/>
          <w:sz w:val="24"/>
          <w:highlight w:val="none"/>
        </w:rPr>
      </w:pPr>
    </w:p>
    <w:p w14:paraId="3BA0D7D5">
      <w:pPr>
        <w:snapToGrid w:val="0"/>
        <w:spacing w:line="360" w:lineRule="auto"/>
        <w:ind w:firstLine="4440" w:firstLineChars="1850"/>
        <w:contextualSpacing/>
        <w:rPr>
          <w:rFonts w:ascii="宋体" w:hAnsi="宋体" w:cs="宋体"/>
          <w:color w:val="auto"/>
          <w:sz w:val="24"/>
          <w:highlight w:val="none"/>
        </w:rPr>
      </w:pPr>
    </w:p>
    <w:p w14:paraId="70CFEBA5">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70D23496">
      <w:pPr>
        <w:snapToGrid w:val="0"/>
        <w:spacing w:line="360" w:lineRule="auto"/>
        <w:contextualSpacing/>
        <w:rPr>
          <w:rFonts w:ascii="宋体" w:hAnsi="宋体" w:cs="宋体"/>
          <w:color w:val="auto"/>
          <w:sz w:val="24"/>
          <w:highlight w:val="none"/>
        </w:rPr>
      </w:pPr>
    </w:p>
    <w:p w14:paraId="5A117E3C">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    月    日</w:t>
      </w:r>
    </w:p>
    <w:p w14:paraId="0DE399C1">
      <w:pPr>
        <w:spacing w:line="600" w:lineRule="exact"/>
        <w:ind w:firstLine="576" w:firstLineChars="206"/>
        <w:rPr>
          <w:rFonts w:ascii="宋体" w:hAnsi="宋体" w:cs="宋体"/>
          <w:color w:val="auto"/>
          <w:sz w:val="28"/>
          <w:szCs w:val="28"/>
          <w:highlight w:val="none"/>
        </w:rPr>
      </w:pPr>
    </w:p>
    <w:p w14:paraId="7F266861">
      <w:pPr>
        <w:spacing w:line="600" w:lineRule="exact"/>
        <w:ind w:firstLine="576" w:firstLineChars="206"/>
        <w:rPr>
          <w:rFonts w:ascii="宋体" w:hAnsi="宋体" w:cs="宋体"/>
          <w:color w:val="auto"/>
          <w:sz w:val="28"/>
          <w:szCs w:val="28"/>
          <w:highlight w:val="none"/>
        </w:rPr>
      </w:pPr>
    </w:p>
    <w:p w14:paraId="558B3F4A">
      <w:pPr>
        <w:spacing w:line="600" w:lineRule="exact"/>
        <w:ind w:firstLine="576" w:firstLineChars="206"/>
        <w:rPr>
          <w:rFonts w:ascii="宋体" w:hAnsi="宋体" w:cs="宋体"/>
          <w:color w:val="auto"/>
          <w:sz w:val="28"/>
          <w:szCs w:val="28"/>
          <w:highlight w:val="none"/>
        </w:rPr>
      </w:pPr>
    </w:p>
    <w:p w14:paraId="126B5AAF">
      <w:pPr>
        <w:spacing w:line="600" w:lineRule="exact"/>
        <w:ind w:firstLine="576" w:firstLineChars="206"/>
        <w:rPr>
          <w:rFonts w:ascii="宋体" w:hAnsi="宋体" w:cs="宋体"/>
          <w:color w:val="auto"/>
          <w:sz w:val="28"/>
          <w:szCs w:val="28"/>
          <w:highlight w:val="none"/>
        </w:rPr>
      </w:pPr>
    </w:p>
    <w:p w14:paraId="5C4927C7">
      <w:pPr>
        <w:snapToGrid w:val="0"/>
        <w:spacing w:line="300" w:lineRule="auto"/>
        <w:contextualSpacing/>
        <w:rPr>
          <w:rFonts w:ascii="宋体" w:hAnsi="宋体" w:cs="宋体"/>
          <w:color w:val="auto"/>
          <w:sz w:val="28"/>
          <w:szCs w:val="28"/>
          <w:highlight w:val="none"/>
        </w:rPr>
      </w:pPr>
      <w:r>
        <w:rPr>
          <w:rFonts w:hint="eastAsia" w:ascii="宋体" w:hAnsi="宋体" w:cs="宋体"/>
          <w:b/>
          <w:bCs/>
          <w:color w:val="auto"/>
          <w:sz w:val="72"/>
          <w:szCs w:val="72"/>
          <w:highlight w:val="none"/>
        </w:rPr>
        <w:br w:type="page"/>
      </w:r>
      <w:r>
        <w:rPr>
          <w:rFonts w:hint="eastAsia" w:ascii="宋体" w:hAnsi="宋体" w:cs="宋体"/>
          <w:color w:val="auto"/>
          <w:sz w:val="28"/>
          <w:szCs w:val="28"/>
          <w:highlight w:val="none"/>
        </w:rPr>
        <w:t>附件2：</w:t>
      </w:r>
    </w:p>
    <w:p w14:paraId="73465D66">
      <w:pPr>
        <w:spacing w:before="120" w:beforeLines="50" w:after="120" w:afterLines="50"/>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14:paraId="500C9ADB">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14:paraId="2051E2BD">
      <w:pPr>
        <w:topLinePunct/>
        <w:spacing w:before="120" w:beforeLines="50" w:line="400" w:lineRule="exact"/>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的法定代表人，现委托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为我方代理人。代理人根据授权，以我方名义签署、澄清、说明、补正、递交、撤回、修改</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响应文件、签订合同和处理有关事宜，其法律后果由我方承担。</w:t>
      </w:r>
    </w:p>
    <w:p w14:paraId="3FE83F64">
      <w:pPr>
        <w:topLinePunct/>
        <w:spacing w:line="400" w:lineRule="exact"/>
        <w:rPr>
          <w:rFonts w:ascii="宋体" w:hAnsi="宋体" w:cs="宋体"/>
          <w:color w:val="auto"/>
          <w:sz w:val="24"/>
          <w:highlight w:val="none"/>
        </w:rPr>
      </w:pPr>
    </w:p>
    <w:p w14:paraId="6AF11E1E">
      <w:pPr>
        <w:topLinePunct/>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14:paraId="0AAB4B21">
      <w:pPr>
        <w:topLinePunct/>
        <w:spacing w:line="400" w:lineRule="exact"/>
        <w:rPr>
          <w:rFonts w:ascii="宋体" w:hAnsi="宋体" w:cs="宋体"/>
          <w:color w:val="auto"/>
          <w:sz w:val="24"/>
          <w:highlight w:val="none"/>
        </w:rPr>
      </w:pPr>
    </w:p>
    <w:p w14:paraId="55E27778">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2977EC87">
      <w:pPr>
        <w:topLinePunct/>
        <w:spacing w:line="400" w:lineRule="exact"/>
        <w:rPr>
          <w:rFonts w:ascii="宋体" w:hAnsi="宋体" w:cs="宋体"/>
          <w:color w:val="auto"/>
          <w:sz w:val="24"/>
          <w:highlight w:val="none"/>
        </w:rPr>
      </w:pPr>
    </w:p>
    <w:p w14:paraId="3F1614A4">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附：法定代表人身份证明及委托代理人身份证复印件。</w:t>
      </w:r>
    </w:p>
    <w:p w14:paraId="53C88416">
      <w:pPr>
        <w:topLinePunct/>
        <w:ind w:firstLine="480" w:firstLineChars="200"/>
        <w:rPr>
          <w:rFonts w:ascii="宋体" w:hAnsi="宋体" w:cs="宋体"/>
          <w:color w:val="auto"/>
          <w:sz w:val="24"/>
          <w:highlight w:val="none"/>
        </w:rPr>
      </w:pPr>
    </w:p>
    <w:p w14:paraId="15D954D9">
      <w:pPr>
        <w:topLinePunct/>
        <w:rPr>
          <w:rFonts w:ascii="宋体" w:hAnsi="宋体" w:cs="宋体"/>
          <w:color w:val="auto"/>
          <w:sz w:val="24"/>
          <w:highlight w:val="none"/>
        </w:rPr>
      </w:pPr>
    </w:p>
    <w:p w14:paraId="4403F0DD">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69686AF9">
      <w:pPr>
        <w:topLinePunct/>
        <w:rPr>
          <w:rFonts w:ascii="宋体" w:hAnsi="宋体" w:cs="宋体"/>
          <w:color w:val="auto"/>
          <w:sz w:val="24"/>
          <w:highlight w:val="none"/>
        </w:rPr>
      </w:pPr>
    </w:p>
    <w:p w14:paraId="62D9AF9B">
      <w:pPr>
        <w:wordWrap w:val="0"/>
        <w:topLinePun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13F9E344">
      <w:pPr>
        <w:topLinePunct/>
        <w:rPr>
          <w:rFonts w:ascii="宋体" w:hAnsi="宋体" w:cs="宋体"/>
          <w:color w:val="auto"/>
          <w:sz w:val="24"/>
          <w:highlight w:val="none"/>
        </w:rPr>
      </w:pPr>
    </w:p>
    <w:p w14:paraId="29B71D83">
      <w:pPr>
        <w:wordWrap w:val="0"/>
        <w:topLinePunct/>
        <w:rPr>
          <w:rFonts w:ascii="宋体" w:hAnsi="宋体" w:cs="宋体"/>
          <w:color w:val="auto"/>
          <w:sz w:val="24"/>
          <w:highlight w:val="none"/>
          <w:u w:val="single"/>
        </w:rPr>
      </w:pPr>
      <w:r>
        <w:rPr>
          <w:rFonts w:hint="eastAsia" w:ascii="宋体" w:hAnsi="宋体" w:cs="宋体"/>
          <w:color w:val="auto"/>
          <w:sz w:val="24"/>
          <w:highlight w:val="none"/>
        </w:rPr>
        <w:t>身份证号码：</w:t>
      </w:r>
    </w:p>
    <w:p w14:paraId="283FC2D2">
      <w:pPr>
        <w:topLinePunct/>
        <w:rPr>
          <w:rFonts w:ascii="宋体" w:hAnsi="宋体" w:cs="宋体"/>
          <w:color w:val="auto"/>
          <w:sz w:val="24"/>
          <w:highlight w:val="none"/>
        </w:rPr>
      </w:pPr>
    </w:p>
    <w:p w14:paraId="44B77A7D">
      <w:pPr>
        <w:topLinePunct/>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69F7789A">
      <w:pPr>
        <w:topLinePunct/>
        <w:rPr>
          <w:rFonts w:ascii="宋体" w:hAnsi="宋体" w:cs="宋体"/>
          <w:color w:val="auto"/>
          <w:sz w:val="24"/>
          <w:highlight w:val="none"/>
        </w:rPr>
      </w:pPr>
    </w:p>
    <w:p w14:paraId="17A99D31">
      <w:pPr>
        <w:wordWrap w:val="0"/>
        <w:topLinePunct/>
        <w:rPr>
          <w:rFonts w:ascii="宋体" w:hAnsi="宋体" w:cs="宋体"/>
          <w:color w:val="auto"/>
          <w:sz w:val="24"/>
          <w:highlight w:val="none"/>
        </w:rPr>
      </w:pPr>
      <w:r>
        <w:rPr>
          <w:rFonts w:hint="eastAsia" w:ascii="宋体" w:hAnsi="宋体" w:cs="宋体"/>
          <w:color w:val="auto"/>
          <w:sz w:val="24"/>
          <w:highlight w:val="none"/>
        </w:rPr>
        <w:t>身份证号码：</w:t>
      </w:r>
    </w:p>
    <w:p w14:paraId="200E2EA4">
      <w:pPr>
        <w:topLinePunct/>
        <w:spacing w:before="120" w:beforeLines="50" w:after="120" w:afterLines="5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4400ED">
      <w:pPr>
        <w:topLinePunct/>
        <w:spacing w:before="120" w:beforeLines="50" w:after="120" w:afterLines="50"/>
        <w:jc w:val="center"/>
        <w:rPr>
          <w:rFonts w:ascii="宋体" w:hAnsi="宋体" w:cs="宋体"/>
          <w:color w:val="auto"/>
          <w:sz w:val="36"/>
          <w:szCs w:val="36"/>
          <w:highlight w:val="none"/>
        </w:rPr>
      </w:pPr>
    </w:p>
    <w:p w14:paraId="69119EE6">
      <w:pPr>
        <w:topLinePunct/>
        <w:spacing w:line="400" w:lineRule="exact"/>
        <w:ind w:firstLine="560" w:firstLineChars="200"/>
        <w:rPr>
          <w:rFonts w:ascii="宋体" w:hAnsi="宋体" w:cs="宋体"/>
          <w:color w:val="auto"/>
          <w:sz w:val="28"/>
          <w:szCs w:val="28"/>
          <w:highlight w:val="none"/>
        </w:rPr>
      </w:pPr>
    </w:p>
    <w:p w14:paraId="0FC872FB">
      <w:pPr>
        <w:topLinePunct/>
        <w:spacing w:line="400" w:lineRule="exact"/>
        <w:ind w:firstLine="560" w:firstLineChars="200"/>
        <w:rPr>
          <w:rFonts w:ascii="宋体" w:hAnsi="宋体" w:cs="宋体"/>
          <w:color w:val="auto"/>
          <w:sz w:val="28"/>
          <w:szCs w:val="28"/>
          <w:highlight w:val="none"/>
        </w:rPr>
      </w:pPr>
    </w:p>
    <w:p w14:paraId="730E6B39">
      <w:pPr>
        <w:topLinePunct/>
        <w:spacing w:line="400" w:lineRule="exact"/>
        <w:ind w:firstLine="560" w:firstLineChars="200"/>
        <w:rPr>
          <w:rFonts w:ascii="宋体" w:hAnsi="宋体" w:cs="宋体"/>
          <w:color w:val="auto"/>
          <w:sz w:val="28"/>
          <w:szCs w:val="28"/>
          <w:highlight w:val="none"/>
        </w:rPr>
      </w:pPr>
    </w:p>
    <w:p w14:paraId="4AF4C5D8">
      <w:pPr>
        <w:topLinePunct/>
        <w:spacing w:line="400" w:lineRule="exact"/>
        <w:ind w:firstLine="560" w:firstLineChars="200"/>
        <w:rPr>
          <w:rFonts w:ascii="宋体" w:hAnsi="宋体" w:cs="宋体"/>
          <w:color w:val="auto"/>
          <w:sz w:val="28"/>
          <w:szCs w:val="28"/>
          <w:highlight w:val="none"/>
        </w:rPr>
      </w:pPr>
    </w:p>
    <w:p w14:paraId="4445ED3C">
      <w:pPr>
        <w:topLinePunct/>
        <w:spacing w:line="400" w:lineRule="exact"/>
        <w:ind w:firstLine="560" w:firstLineChars="200"/>
        <w:rPr>
          <w:rFonts w:ascii="宋体" w:hAnsi="宋体" w:cs="宋体"/>
          <w:color w:val="auto"/>
          <w:sz w:val="28"/>
          <w:szCs w:val="28"/>
          <w:highlight w:val="none"/>
        </w:rPr>
      </w:pPr>
    </w:p>
    <w:p w14:paraId="39DD2CEB">
      <w:pPr>
        <w:spacing w:before="120" w:beforeLines="50" w:after="120" w:afterLines="50"/>
        <w:jc w:val="left"/>
        <w:rPr>
          <w:rFonts w:ascii="宋体" w:hAnsi="宋体" w:cs="宋体"/>
          <w:b/>
          <w:bCs/>
          <w:color w:val="auto"/>
          <w:highlight w:val="none"/>
        </w:rPr>
      </w:pPr>
      <w:r>
        <w:rPr>
          <w:rFonts w:hint="eastAsia" w:ascii="宋体" w:hAnsi="宋体" w:cs="宋体"/>
          <w:b/>
          <w:bCs/>
          <w:color w:val="auto"/>
          <w:highlight w:val="none"/>
        </w:rPr>
        <w:t>注：如果由供应商的法定代表人签署投标响应文件，则无须提交授权委托书。</w:t>
      </w:r>
    </w:p>
    <w:p w14:paraId="732CE1E2">
      <w:pPr>
        <w:pStyle w:val="36"/>
        <w:topLinePunct/>
        <w:spacing w:line="400" w:lineRule="exact"/>
        <w:ind w:left="560" w:firstLine="0" w:firstLineChars="0"/>
        <w:rPr>
          <w:rFonts w:ascii="宋体" w:hAnsi="宋体" w:cs="宋体"/>
          <w:color w:val="auto"/>
          <w:sz w:val="28"/>
          <w:szCs w:val="28"/>
          <w:highlight w:val="none"/>
        </w:rPr>
      </w:pPr>
      <w:r>
        <w:rPr>
          <w:rFonts w:hint="eastAsia" w:ascii="宋体" w:hAnsi="宋体" w:cs="宋体"/>
          <w:color w:val="auto"/>
          <w:sz w:val="27"/>
          <w:szCs w:val="27"/>
          <w:highlight w:val="none"/>
        </w:rPr>
        <w:br w:type="page"/>
      </w:r>
    </w:p>
    <w:p w14:paraId="74D15E5E">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（二）</w:t>
      </w:r>
      <w:r>
        <w:rPr>
          <w:rFonts w:hint="eastAsia" w:ascii="宋体" w:hAnsi="宋体" w:cs="宋体"/>
          <w:b/>
          <w:color w:val="auto"/>
          <w:sz w:val="28"/>
          <w:szCs w:val="28"/>
          <w:highlight w:val="none"/>
        </w:rPr>
        <w:t>法定代表人身份证明</w:t>
      </w:r>
    </w:p>
    <w:p w14:paraId="349AAEAA">
      <w:pPr>
        <w:topLinePunct/>
        <w:rPr>
          <w:rFonts w:ascii="宋体" w:hAnsi="宋体" w:cs="宋体"/>
          <w:color w:val="auto"/>
          <w:sz w:val="28"/>
          <w:szCs w:val="28"/>
          <w:highlight w:val="none"/>
        </w:rPr>
      </w:pPr>
    </w:p>
    <w:p w14:paraId="78B9AFB4">
      <w:pPr>
        <w:topLinePunct/>
        <w:rPr>
          <w:rFonts w:ascii="宋体" w:hAnsi="宋体" w:cs="宋体"/>
          <w:color w:val="auto"/>
          <w:sz w:val="28"/>
          <w:szCs w:val="28"/>
          <w:highlight w:val="none"/>
        </w:rPr>
      </w:pPr>
    </w:p>
    <w:p w14:paraId="463CF6E4">
      <w:pPr>
        <w:topLinePun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65F71BA">
      <w:pPr>
        <w:topLinePunct/>
        <w:rPr>
          <w:rFonts w:ascii="宋体" w:hAnsi="宋体" w:cs="宋体"/>
          <w:color w:val="auto"/>
          <w:sz w:val="24"/>
          <w:highlight w:val="none"/>
        </w:rPr>
      </w:pPr>
    </w:p>
    <w:p w14:paraId="751029A7">
      <w:pPr>
        <w:topLinePunc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2FFE5FAC">
      <w:pPr>
        <w:topLinePunct/>
        <w:rPr>
          <w:rFonts w:ascii="宋体" w:hAnsi="宋体" w:cs="宋体"/>
          <w:color w:val="auto"/>
          <w:sz w:val="24"/>
          <w:highlight w:val="none"/>
        </w:rPr>
      </w:pPr>
    </w:p>
    <w:p w14:paraId="63C4CE57">
      <w:pPr>
        <w:topLinePunct/>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的法定代表人。</w:t>
      </w:r>
    </w:p>
    <w:p w14:paraId="6C61C0B9">
      <w:pPr>
        <w:topLinePunct/>
        <w:rPr>
          <w:rFonts w:ascii="宋体" w:hAnsi="宋体" w:cs="宋体"/>
          <w:color w:val="auto"/>
          <w:sz w:val="24"/>
          <w:highlight w:val="none"/>
        </w:rPr>
      </w:pPr>
    </w:p>
    <w:p w14:paraId="47FEB164">
      <w:pPr>
        <w:topLinePunct/>
        <w:rPr>
          <w:rFonts w:ascii="宋体" w:hAnsi="宋体" w:cs="宋体"/>
          <w:color w:val="auto"/>
          <w:sz w:val="24"/>
          <w:highlight w:val="none"/>
        </w:rPr>
      </w:pPr>
      <w:r>
        <w:rPr>
          <w:rFonts w:hint="eastAsia" w:ascii="宋体" w:hAnsi="宋体" w:cs="宋体"/>
          <w:color w:val="auto"/>
          <w:sz w:val="24"/>
          <w:highlight w:val="none"/>
        </w:rPr>
        <w:t>特此证明。</w:t>
      </w:r>
    </w:p>
    <w:p w14:paraId="44CEFAD1">
      <w:pPr>
        <w:topLinePunct/>
        <w:rPr>
          <w:rFonts w:ascii="宋体" w:hAnsi="宋体" w:cs="宋体"/>
          <w:color w:val="auto"/>
          <w:sz w:val="24"/>
          <w:highlight w:val="none"/>
        </w:rPr>
      </w:pPr>
    </w:p>
    <w:p w14:paraId="71192E46">
      <w:pPr>
        <w:topLinePunct/>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3DF098D4">
      <w:pPr>
        <w:topLinePunct/>
        <w:rPr>
          <w:rFonts w:ascii="宋体" w:hAnsi="宋体" w:cs="宋体"/>
          <w:color w:val="auto"/>
          <w:sz w:val="24"/>
          <w:highlight w:val="none"/>
        </w:rPr>
      </w:pPr>
    </w:p>
    <w:p w14:paraId="69A88E8F">
      <w:pPr>
        <w:topLinePunct/>
        <w:rPr>
          <w:rFonts w:ascii="宋体" w:hAnsi="宋体" w:cs="宋体"/>
          <w:color w:val="auto"/>
          <w:sz w:val="24"/>
          <w:highlight w:val="none"/>
        </w:rPr>
      </w:pPr>
    </w:p>
    <w:p w14:paraId="1728441B">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46898CF1">
      <w:pPr>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4B6851AB">
      <w:pPr>
        <w:topLinePunct/>
        <w:rPr>
          <w:rFonts w:ascii="宋体" w:hAnsi="宋体" w:cs="宋体"/>
          <w:color w:val="auto"/>
          <w:sz w:val="28"/>
          <w:szCs w:val="28"/>
          <w:highlight w:val="none"/>
        </w:rPr>
      </w:pPr>
    </w:p>
    <w:p w14:paraId="0FC59CFC">
      <w:pPr>
        <w:topLinePunct/>
        <w:rPr>
          <w:rFonts w:ascii="宋体" w:hAnsi="宋体" w:cs="宋体"/>
          <w:color w:val="auto"/>
          <w:sz w:val="28"/>
          <w:szCs w:val="28"/>
          <w:highlight w:val="none"/>
        </w:rPr>
      </w:pPr>
    </w:p>
    <w:p w14:paraId="74EBD28A">
      <w:pPr>
        <w:topLinePunct/>
        <w:rPr>
          <w:rFonts w:ascii="宋体" w:hAnsi="宋体" w:cs="宋体"/>
          <w:color w:val="auto"/>
          <w:sz w:val="28"/>
          <w:szCs w:val="28"/>
          <w:highlight w:val="none"/>
        </w:rPr>
      </w:pPr>
    </w:p>
    <w:p w14:paraId="20BC9C1C">
      <w:pPr>
        <w:rPr>
          <w:rFonts w:ascii="宋体" w:hAnsi="宋体" w:cs="宋体"/>
          <w:b/>
          <w:bCs/>
          <w:color w:val="auto"/>
          <w:highlight w:val="none"/>
        </w:rPr>
      </w:pPr>
    </w:p>
    <w:p w14:paraId="3BE799B5">
      <w:pPr>
        <w:spacing w:before="120" w:beforeLines="50" w:after="120" w:afterLines="50"/>
        <w:jc w:val="center"/>
        <w:rPr>
          <w:rFonts w:ascii="宋体" w:hAnsi="宋体" w:cs="宋体"/>
          <w:b/>
          <w:bCs/>
          <w:color w:val="auto"/>
          <w:highlight w:val="none"/>
        </w:rPr>
      </w:pPr>
    </w:p>
    <w:p w14:paraId="14D3EFCB">
      <w:pPr>
        <w:spacing w:before="120" w:beforeLines="50" w:after="120" w:afterLines="50"/>
        <w:jc w:val="center"/>
        <w:rPr>
          <w:rFonts w:ascii="宋体" w:hAnsi="宋体" w:cs="宋体"/>
          <w:b/>
          <w:bCs/>
          <w:color w:val="auto"/>
          <w:highlight w:val="none"/>
        </w:rPr>
      </w:pPr>
    </w:p>
    <w:p w14:paraId="15BA7C91">
      <w:pPr>
        <w:spacing w:before="120" w:beforeLines="50" w:after="120" w:afterLines="50"/>
        <w:jc w:val="center"/>
        <w:rPr>
          <w:rFonts w:ascii="宋体" w:hAnsi="宋体" w:cs="宋体"/>
          <w:b/>
          <w:bCs/>
          <w:color w:val="auto"/>
          <w:highlight w:val="none"/>
        </w:rPr>
      </w:pPr>
    </w:p>
    <w:p w14:paraId="2C487367">
      <w:pPr>
        <w:spacing w:before="120" w:beforeLines="50" w:after="120" w:afterLines="50"/>
        <w:jc w:val="center"/>
        <w:rPr>
          <w:rFonts w:ascii="宋体" w:hAnsi="宋体" w:cs="宋体"/>
          <w:b/>
          <w:bCs/>
          <w:color w:val="auto"/>
          <w:highlight w:val="none"/>
        </w:rPr>
      </w:pPr>
    </w:p>
    <w:p w14:paraId="73F3B0EE">
      <w:pPr>
        <w:spacing w:before="120" w:beforeLines="50" w:after="120" w:afterLines="50"/>
        <w:jc w:val="center"/>
        <w:rPr>
          <w:rFonts w:ascii="宋体" w:hAnsi="宋体" w:cs="宋体"/>
          <w:b/>
          <w:bCs/>
          <w:color w:val="auto"/>
          <w:highlight w:val="none"/>
        </w:rPr>
      </w:pPr>
    </w:p>
    <w:p w14:paraId="6653063B">
      <w:pPr>
        <w:snapToGrid w:val="0"/>
        <w:spacing w:line="300" w:lineRule="auto"/>
        <w:ind w:firstLine="420"/>
        <w:contextualSpacing/>
        <w:rPr>
          <w:rFonts w:ascii="宋体" w:hAnsi="宋体" w:cs="宋体"/>
          <w:b/>
          <w:color w:val="auto"/>
          <w:sz w:val="28"/>
          <w:szCs w:val="28"/>
          <w:highlight w:val="none"/>
        </w:rPr>
      </w:pPr>
    </w:p>
    <w:p w14:paraId="5EAE621D">
      <w:pPr>
        <w:spacing w:before="120" w:beforeLines="50" w:after="120" w:afterLines="5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21DA273C">
      <w:pPr>
        <w:pStyle w:val="18"/>
        <w:rPr>
          <w:rFonts w:ascii="宋体" w:hAnsi="宋体" w:cs="宋体"/>
          <w:color w:val="auto"/>
          <w:highlight w:val="none"/>
        </w:rPr>
      </w:pPr>
    </w:p>
    <w:p w14:paraId="20777AA5">
      <w:pPr>
        <w:pStyle w:val="18"/>
        <w:rPr>
          <w:rFonts w:ascii="宋体" w:hAnsi="宋体" w:cs="宋体"/>
          <w:color w:val="auto"/>
          <w:highlight w:val="none"/>
        </w:rPr>
      </w:pPr>
    </w:p>
    <w:p w14:paraId="2573E62B">
      <w:pPr>
        <w:pStyle w:val="18"/>
        <w:rPr>
          <w:rFonts w:ascii="宋体" w:hAnsi="宋体" w:cs="宋体"/>
          <w:color w:val="auto"/>
          <w:highlight w:val="none"/>
        </w:rPr>
      </w:pPr>
    </w:p>
    <w:p w14:paraId="3ACCFFDA">
      <w:pPr>
        <w:pStyle w:val="18"/>
        <w:rPr>
          <w:rFonts w:ascii="宋体" w:hAnsi="宋体" w:cs="宋体"/>
          <w:color w:val="auto"/>
          <w:highlight w:val="none"/>
        </w:rPr>
      </w:pPr>
    </w:p>
    <w:p w14:paraId="515F1EB4">
      <w:pPr>
        <w:pStyle w:val="18"/>
        <w:rPr>
          <w:rFonts w:ascii="宋体" w:hAnsi="宋体" w:cs="宋体"/>
          <w:color w:val="auto"/>
          <w:highlight w:val="none"/>
        </w:rPr>
      </w:pPr>
    </w:p>
    <w:p w14:paraId="26F6ED67">
      <w:pPr>
        <w:pStyle w:val="18"/>
        <w:rPr>
          <w:rFonts w:ascii="宋体" w:hAnsi="宋体" w:cs="宋体"/>
          <w:color w:val="auto"/>
          <w:highlight w:val="none"/>
        </w:rPr>
      </w:pPr>
    </w:p>
    <w:p w14:paraId="35E233A1">
      <w:pPr>
        <w:pStyle w:val="18"/>
        <w:rPr>
          <w:rFonts w:ascii="宋体" w:hAnsi="宋体" w:cs="宋体"/>
          <w:color w:val="auto"/>
          <w:highlight w:val="none"/>
        </w:rPr>
      </w:pPr>
    </w:p>
    <w:p w14:paraId="3200E786">
      <w:pPr>
        <w:pStyle w:val="18"/>
        <w:rPr>
          <w:rFonts w:ascii="宋体" w:hAnsi="宋体" w:cs="宋体"/>
          <w:color w:val="auto"/>
          <w:highlight w:val="none"/>
        </w:rPr>
      </w:pPr>
    </w:p>
    <w:p w14:paraId="3ABCC569">
      <w:pPr>
        <w:pStyle w:val="33"/>
        <w:spacing w:before="120" w:beforeLines="50" w:after="12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附件3：                </w:t>
      </w:r>
    </w:p>
    <w:p w14:paraId="39870565">
      <w:pPr>
        <w:pStyle w:val="33"/>
        <w:spacing w:before="120" w:beforeLines="50" w:after="12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14:paraId="522BB162">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14:paraId="3A0CC22C">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 xml:space="preserve"> </w:t>
      </w:r>
    </w:p>
    <w:p w14:paraId="1EFF762C">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项目投标活动，并郑重承诺：</w:t>
      </w:r>
    </w:p>
    <w:p w14:paraId="28D1D983">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在本项目的投标活动中遵守国家法律法规和有关规定，遵循公开、公平、公正和诚信原则。</w:t>
      </w:r>
    </w:p>
    <w:p w14:paraId="495A5362">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响应文件中所有内容均为我单位真实意愿表达，相关信息真实有效。</w:t>
      </w:r>
    </w:p>
    <w:p w14:paraId="4487092C">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无弄虚作假，无围标串标行为。</w:t>
      </w:r>
    </w:p>
    <w:p w14:paraId="315FCF4B">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若我方成交，在合同履行过程中严格执行有关</w:t>
      </w:r>
      <w:r>
        <w:rPr>
          <w:rFonts w:hint="eastAsia" w:ascii="宋体" w:hAnsi="宋体" w:cs="宋体"/>
          <w:color w:val="auto"/>
          <w:spacing w:val="-5"/>
          <w:sz w:val="24"/>
          <w:highlight w:val="none"/>
          <w:lang w:eastAsia="zh-CN"/>
        </w:rPr>
        <w:t>法律法规</w:t>
      </w:r>
      <w:r>
        <w:rPr>
          <w:rFonts w:hint="eastAsia" w:ascii="宋体" w:hAnsi="宋体" w:cs="宋体"/>
          <w:color w:val="auto"/>
          <w:spacing w:val="-5"/>
          <w:sz w:val="24"/>
          <w:highlight w:val="none"/>
        </w:rPr>
        <w:t>、规章和规范性文件的规定，不转包和违法分包。</w:t>
      </w:r>
    </w:p>
    <w:p w14:paraId="5273F39D">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我方如有违背承诺，愿意接受国家和相关主管部门依法进行的处罚，并记入相关责任主体和责任人信用档案，同时在相关网站上公开。</w:t>
      </w:r>
    </w:p>
    <w:p w14:paraId="7B19E490">
      <w:pPr>
        <w:spacing w:line="560" w:lineRule="exact"/>
        <w:ind w:firstLine="4370" w:firstLineChars="1900"/>
        <w:rPr>
          <w:rFonts w:ascii="宋体" w:hAnsi="宋体" w:cs="宋体"/>
          <w:color w:val="auto"/>
          <w:spacing w:val="-5"/>
          <w:sz w:val="24"/>
          <w:highlight w:val="none"/>
        </w:rPr>
      </w:pPr>
    </w:p>
    <w:p w14:paraId="1D5178FE">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14:paraId="218A6E04">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5DDD23D5">
      <w:pPr>
        <w:spacing w:line="360" w:lineRule="auto"/>
        <w:ind w:firstLine="3675"/>
        <w:rPr>
          <w:rFonts w:ascii="宋体" w:hAnsi="宋体" w:cs="宋体"/>
          <w:color w:val="auto"/>
          <w:sz w:val="24"/>
          <w:highlight w:val="none"/>
        </w:rPr>
      </w:pPr>
      <w:r>
        <w:rPr>
          <w:rFonts w:hint="eastAsia" w:ascii="宋体" w:hAnsi="宋体" w:cs="宋体"/>
          <w:color w:val="auto"/>
          <w:sz w:val="24"/>
          <w:highlight w:val="none"/>
        </w:rPr>
        <w:t>日期：   年   月   日</w:t>
      </w:r>
    </w:p>
    <w:p w14:paraId="3F3C5ED1">
      <w:pPr>
        <w:rPr>
          <w:rFonts w:ascii="宋体" w:hAnsi="宋体" w:cs="宋体"/>
          <w:color w:val="auto"/>
          <w:sz w:val="28"/>
          <w:szCs w:val="28"/>
          <w:highlight w:val="none"/>
        </w:rPr>
      </w:pPr>
      <w:r>
        <w:rPr>
          <w:rFonts w:hint="eastAsia" w:ascii="宋体" w:hAnsi="宋体" w:cs="宋体"/>
          <w:color w:val="auto"/>
          <w:sz w:val="24"/>
          <w:highlight w:val="none"/>
        </w:rPr>
        <w:br w:type="page"/>
      </w:r>
    </w:p>
    <w:p w14:paraId="2AC61F3B">
      <w:pPr>
        <w:pStyle w:val="33"/>
        <w:spacing w:before="120" w:beforeLines="50" w:after="12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附件</w:t>
      </w:r>
      <w:r>
        <w:rPr>
          <w:rFonts w:hint="eastAsia" w:ascii="宋体" w:hAnsi="宋体" w:eastAsia="宋体" w:cs="宋体"/>
          <w:b w:val="0"/>
          <w:color w:val="auto"/>
          <w:sz w:val="28"/>
          <w:szCs w:val="28"/>
          <w:highlight w:val="none"/>
          <w:lang w:val="en-US" w:eastAsia="zh-CN"/>
        </w:rPr>
        <w:t>4</w:t>
      </w:r>
      <w:r>
        <w:rPr>
          <w:rFonts w:hint="eastAsia" w:ascii="宋体" w:hAnsi="宋体" w:eastAsia="宋体" w:cs="宋体"/>
          <w:b w:val="0"/>
          <w:color w:val="auto"/>
          <w:sz w:val="28"/>
          <w:szCs w:val="28"/>
          <w:highlight w:val="none"/>
        </w:rPr>
        <w:t xml:space="preserve">：                </w:t>
      </w:r>
    </w:p>
    <w:p w14:paraId="65C30F19">
      <w:pPr>
        <w:pStyle w:val="33"/>
        <w:spacing w:before="120" w:beforeLines="50" w:after="12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承诺书</w:t>
      </w:r>
    </w:p>
    <w:p w14:paraId="2EDDE64A">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14:paraId="1460E3FB">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w:t>
      </w:r>
      <w:r>
        <w:rPr>
          <w:rFonts w:hint="eastAsia" w:ascii="宋体" w:hAnsi="宋体" w:cs="宋体"/>
          <w:color w:val="auto"/>
          <w:spacing w:val="-5"/>
          <w:sz w:val="24"/>
          <w:highlight w:val="none"/>
          <w:lang w:val="en-US" w:eastAsia="zh-CN"/>
        </w:rPr>
        <w:t>磋商</w:t>
      </w:r>
      <w:r>
        <w:rPr>
          <w:rFonts w:hint="eastAsia" w:ascii="宋体" w:hAnsi="宋体" w:cs="宋体"/>
          <w:color w:val="auto"/>
          <w:spacing w:val="-5"/>
          <w:sz w:val="24"/>
          <w:highlight w:val="none"/>
        </w:rPr>
        <w:t>活动，并郑重承诺：</w:t>
      </w:r>
    </w:p>
    <w:p w14:paraId="10417050">
      <w:pPr>
        <w:spacing w:line="560" w:lineRule="exact"/>
        <w:ind w:firstLine="460" w:firstLineChars="200"/>
        <w:rPr>
          <w:rFonts w:hint="default" w:ascii="宋体" w:hAnsi="宋体" w:cs="宋体"/>
          <w:color w:val="auto"/>
          <w:spacing w:val="-5"/>
          <w:sz w:val="24"/>
          <w:highlight w:val="none"/>
          <w:lang w:val="en-US" w:eastAsia="zh-CN"/>
        </w:rPr>
      </w:pPr>
      <w:r>
        <w:rPr>
          <w:rFonts w:hint="eastAsia" w:ascii="宋体" w:hAnsi="宋体" w:cs="宋体"/>
          <w:color w:val="auto"/>
          <w:spacing w:val="-5"/>
          <w:sz w:val="24"/>
          <w:highlight w:val="none"/>
        </w:rPr>
        <w:t>在签订合同前提供</w:t>
      </w:r>
      <w:r>
        <w:rPr>
          <w:rFonts w:hint="eastAsia" w:ascii="宋体" w:hAnsi="宋体" w:cs="宋体"/>
          <w:color w:val="auto"/>
          <w:spacing w:val="-5"/>
          <w:sz w:val="24"/>
          <w:highlight w:val="none"/>
          <w:lang w:val="en-US" w:eastAsia="zh-CN"/>
        </w:rPr>
        <w:t>外网出口防火墙、XDR、中心无线防火墙、中心探针、内网EDR、外网EDR、内网防火墙、服务器区防火墙等</w:t>
      </w:r>
      <w:r>
        <w:rPr>
          <w:rFonts w:hint="eastAsia" w:ascii="宋体" w:hAnsi="宋体" w:cs="宋体"/>
          <w:color w:val="auto"/>
          <w:spacing w:val="-5"/>
          <w:sz w:val="24"/>
          <w:highlight w:val="none"/>
        </w:rPr>
        <w:t>安全设备</w:t>
      </w:r>
      <w:r>
        <w:rPr>
          <w:rFonts w:hint="eastAsia" w:ascii="宋体" w:hAnsi="宋体" w:cs="宋体"/>
          <w:color w:val="auto"/>
          <w:spacing w:val="-5"/>
          <w:sz w:val="24"/>
          <w:highlight w:val="none"/>
          <w:lang w:val="en-US" w:eastAsia="zh-CN"/>
        </w:rPr>
        <w:t>厂商</w:t>
      </w:r>
      <w:r>
        <w:rPr>
          <w:rFonts w:hint="eastAsia" w:ascii="宋体" w:hAnsi="宋体" w:cs="宋体"/>
          <w:color w:val="auto"/>
          <w:spacing w:val="-5"/>
          <w:sz w:val="24"/>
          <w:highlight w:val="none"/>
        </w:rPr>
        <w:t>及安全特征库厂商出具的项目授权函及质保函原件且注册信息为采购人</w:t>
      </w:r>
      <w:r>
        <w:rPr>
          <w:rFonts w:hint="eastAsia" w:ascii="宋体" w:hAnsi="宋体" w:cs="宋体"/>
          <w:color w:val="auto"/>
          <w:spacing w:val="-5"/>
          <w:sz w:val="24"/>
          <w:highlight w:val="none"/>
          <w:lang w:eastAsia="zh-CN"/>
        </w:rPr>
        <w:t>。</w:t>
      </w:r>
      <w:r>
        <w:rPr>
          <w:rFonts w:hint="eastAsia" w:ascii="宋体" w:hAnsi="宋体" w:cs="宋体"/>
          <w:color w:val="auto"/>
          <w:spacing w:val="-5"/>
          <w:sz w:val="24"/>
          <w:highlight w:val="none"/>
          <w:lang w:val="en-US" w:eastAsia="zh-CN"/>
        </w:rPr>
        <w:t>否则，贵方有权无条件取消我方中标资格。</w:t>
      </w:r>
    </w:p>
    <w:p w14:paraId="69B451ED">
      <w:pPr>
        <w:spacing w:line="560" w:lineRule="exact"/>
        <w:ind w:firstLine="4370" w:firstLineChars="1900"/>
        <w:rPr>
          <w:rFonts w:ascii="宋体" w:hAnsi="宋体" w:cs="宋体"/>
          <w:color w:val="auto"/>
          <w:spacing w:val="-5"/>
          <w:sz w:val="24"/>
          <w:highlight w:val="none"/>
        </w:rPr>
      </w:pPr>
    </w:p>
    <w:p w14:paraId="71CDB3A3">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14:paraId="4734EF37">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57731944">
      <w:pPr>
        <w:rPr>
          <w:rFonts w:hint="eastAsia" w:ascii="宋体" w:hAnsi="宋体" w:cs="宋体"/>
          <w:color w:val="auto"/>
          <w:sz w:val="32"/>
          <w:szCs w:val="32"/>
          <w:highlight w:val="none"/>
        </w:rPr>
      </w:pPr>
      <w:r>
        <w:rPr>
          <w:rFonts w:hint="eastAsia" w:ascii="宋体" w:hAnsi="宋体" w:cs="宋体"/>
          <w:color w:val="auto"/>
          <w:sz w:val="24"/>
          <w:highlight w:val="none"/>
        </w:rPr>
        <w:t>日期：   年   月   日</w:t>
      </w:r>
      <w:r>
        <w:rPr>
          <w:rFonts w:hint="eastAsia" w:ascii="宋体" w:hAnsi="宋体" w:cs="宋体"/>
          <w:color w:val="auto"/>
          <w:sz w:val="32"/>
          <w:szCs w:val="32"/>
          <w:highlight w:val="none"/>
        </w:rPr>
        <w:br w:type="page"/>
      </w:r>
    </w:p>
    <w:p w14:paraId="5EFC28D9">
      <w:pPr>
        <w:widowControl/>
        <w:spacing w:line="360" w:lineRule="auto"/>
        <w:jc w:val="left"/>
        <w:rPr>
          <w:rFonts w:ascii="宋体" w:hAnsi="宋体" w:cs="宋体"/>
          <w:color w:val="auto"/>
          <w:sz w:val="28"/>
          <w:szCs w:val="28"/>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w:t>
      </w:r>
      <w:r>
        <w:rPr>
          <w:rFonts w:hint="eastAsia" w:ascii="宋体" w:hAnsi="宋体" w:cs="宋体"/>
          <w:color w:val="auto"/>
          <w:sz w:val="28"/>
          <w:szCs w:val="28"/>
          <w:highlight w:val="none"/>
        </w:rPr>
        <w:t>《中小企业声明函》等（如有）</w:t>
      </w:r>
    </w:p>
    <w:p w14:paraId="02C5757D">
      <w:pPr>
        <w:snapToGrid w:val="0"/>
        <w:spacing w:line="300" w:lineRule="auto"/>
        <w:outlineLvl w:val="0"/>
        <w:rPr>
          <w:rFonts w:ascii="宋体" w:hAnsi="宋体" w:cs="宋体"/>
          <w:color w:val="auto"/>
          <w:sz w:val="28"/>
          <w:szCs w:val="28"/>
          <w:highlight w:val="none"/>
        </w:rPr>
      </w:pPr>
    </w:p>
    <w:p w14:paraId="144E734A">
      <w:pPr>
        <w:spacing w:before="120" w:beforeLines="50" w:after="120" w:afterLines="50" w:line="300" w:lineRule="auto"/>
        <w:jc w:val="center"/>
        <w:outlineLvl w:val="0"/>
        <w:rPr>
          <w:rFonts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t>中小企业声明函（工程、服务）</w:t>
      </w:r>
    </w:p>
    <w:p w14:paraId="52038807">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bidi="zh-CN"/>
        </w:rPr>
        <w:t>（单位名称）</w:t>
      </w:r>
      <w:r>
        <w:rPr>
          <w:rFonts w:hint="eastAsia" w:ascii="宋体" w:hAnsi="宋体" w:cs="宋体"/>
          <w:color w:val="auto"/>
          <w:sz w:val="24"/>
          <w:highlight w:val="none"/>
          <w:lang w:bidi="zh-CN"/>
        </w:rPr>
        <w:t>的</w:t>
      </w:r>
      <w:r>
        <w:rPr>
          <w:rFonts w:hint="eastAsia" w:ascii="宋体" w:hAnsi="宋体" w:cs="宋体"/>
          <w:color w:val="auto"/>
          <w:sz w:val="24"/>
          <w:highlight w:val="none"/>
          <w:u w:val="single"/>
          <w:lang w:bidi="zh-CN"/>
        </w:rPr>
        <w:t>（项目名称）</w:t>
      </w:r>
      <w:r>
        <w:rPr>
          <w:rFonts w:hint="eastAsia" w:ascii="宋体" w:hAnsi="宋体" w:cs="宋体"/>
          <w:color w:val="auto"/>
          <w:sz w:val="24"/>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4683480B">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1.</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50865520">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2.</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0A31F9AA">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w:t>
      </w:r>
    </w:p>
    <w:p w14:paraId="0FD91030">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以上企业，不属于大企业的分支机构，不存在控股股东为大企业的情形，也不存在与大企业的负责人为同一人的情形。</w:t>
      </w:r>
    </w:p>
    <w:p w14:paraId="2BB89E61">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本企业对上述声明内容的真实性负责。如有虚假，将依法承担相应责任。</w:t>
      </w:r>
    </w:p>
    <w:p w14:paraId="4DBCF7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1B550315">
      <w:pPr>
        <w:adjustRightInd w:val="0"/>
        <w:snapToGrid w:val="0"/>
        <w:spacing w:line="360" w:lineRule="auto"/>
        <w:ind w:firstLine="960" w:firstLineChars="400"/>
        <w:rPr>
          <w:rFonts w:ascii="宋体" w:hAnsi="宋体" w:cs="宋体"/>
          <w:color w:val="auto"/>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中标或成交供应商为小型、微型单位的，此声明函将随中标或成交结果同时公告，接受社会监督。）</w:t>
      </w:r>
    </w:p>
    <w:p w14:paraId="537AC3A8">
      <w:pPr>
        <w:adjustRightInd w:val="0"/>
        <w:snapToGrid w:val="0"/>
        <w:spacing w:line="360" w:lineRule="auto"/>
        <w:outlineLvl w:val="0"/>
        <w:rPr>
          <w:rFonts w:ascii="宋体" w:hAnsi="宋体" w:cs="宋体"/>
          <w:color w:val="auto"/>
          <w:sz w:val="24"/>
          <w:highlight w:val="none"/>
          <w:lang w:bidi="zh-CN"/>
        </w:rPr>
      </w:pPr>
    </w:p>
    <w:p w14:paraId="7F17A0E4">
      <w:pPr>
        <w:adjustRightInd w:val="0"/>
        <w:snapToGrid w:val="0"/>
        <w:spacing w:line="360" w:lineRule="auto"/>
        <w:outlineLvl w:val="0"/>
        <w:rPr>
          <w:rFonts w:ascii="宋体" w:hAnsi="宋体" w:cs="宋体"/>
          <w:color w:val="auto"/>
          <w:sz w:val="24"/>
          <w:highlight w:val="none"/>
          <w:lang w:bidi="zh-CN"/>
        </w:rPr>
      </w:pPr>
    </w:p>
    <w:p w14:paraId="73125B34">
      <w:pPr>
        <w:adjustRightInd w:val="0"/>
        <w:snapToGrid w:val="0"/>
        <w:spacing w:line="36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企业名称（盖章）：</w:t>
      </w:r>
    </w:p>
    <w:p w14:paraId="6AE79DAB">
      <w:pPr>
        <w:spacing w:line="30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日期：</w:t>
      </w:r>
    </w:p>
    <w:p w14:paraId="2DD13304">
      <w:pPr>
        <w:spacing w:line="560" w:lineRule="exact"/>
        <w:ind w:firstLine="240" w:firstLineChars="100"/>
        <w:rPr>
          <w:rFonts w:ascii="宋体" w:hAnsi="宋体" w:cs="宋体"/>
          <w:color w:val="auto"/>
          <w:sz w:val="24"/>
          <w:highlight w:val="none"/>
        </w:rPr>
      </w:pPr>
    </w:p>
    <w:p w14:paraId="3B824D4E">
      <w:pPr>
        <w:spacing w:line="300" w:lineRule="auto"/>
        <w:contextualSpacing/>
        <w:rPr>
          <w:rFonts w:ascii="宋体" w:hAnsi="宋体" w:cs="宋体"/>
          <w:color w:val="auto"/>
          <w:sz w:val="24"/>
          <w:highlight w:val="none"/>
        </w:rPr>
      </w:pPr>
    </w:p>
    <w:p w14:paraId="6B042A3A">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残疾人福利性单位声明函</w:t>
      </w:r>
    </w:p>
    <w:p w14:paraId="33A66511">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32D085E">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0D9FFED">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76E409C7">
      <w:pPr>
        <w:spacing w:line="588" w:lineRule="exact"/>
        <w:ind w:firstLine="1440" w:firstLineChars="6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中标或成交供应商为残疾人福利单位的，此声明函将随中标或成交结果同时公告，接受社会监督）</w:t>
      </w:r>
    </w:p>
    <w:p w14:paraId="2B64C386">
      <w:pPr>
        <w:spacing w:line="588" w:lineRule="exact"/>
        <w:ind w:firstLine="480" w:firstLineChars="200"/>
        <w:rPr>
          <w:rFonts w:ascii="宋体" w:hAnsi="宋体" w:cs="宋体"/>
          <w:color w:val="auto"/>
          <w:sz w:val="24"/>
          <w:highlight w:val="none"/>
        </w:rPr>
      </w:pPr>
    </w:p>
    <w:p w14:paraId="68CF0AD0">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供应商全称（盖章）：</w:t>
      </w:r>
    </w:p>
    <w:p w14:paraId="32E2FCE3">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877FEB8">
      <w:pPr>
        <w:spacing w:line="420" w:lineRule="exact"/>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监狱和戒毒企业证明材料</w:t>
      </w:r>
    </w:p>
    <w:p w14:paraId="05D3168D">
      <w:pPr>
        <w:spacing w:line="420" w:lineRule="exact"/>
        <w:ind w:firstLine="495" w:firstLineChars="177"/>
        <w:rPr>
          <w:rFonts w:ascii="宋体" w:hAnsi="宋体" w:cs="宋体"/>
          <w:color w:val="auto"/>
          <w:sz w:val="28"/>
          <w:szCs w:val="28"/>
          <w:highlight w:val="none"/>
        </w:rPr>
      </w:pPr>
    </w:p>
    <w:p w14:paraId="7E280453">
      <w:pPr>
        <w:spacing w:line="420" w:lineRule="exact"/>
        <w:ind w:firstLine="426" w:firstLineChars="177"/>
        <w:jc w:val="center"/>
        <w:rPr>
          <w:rFonts w:ascii="宋体" w:hAnsi="宋体" w:cs="宋体"/>
          <w:b/>
          <w:color w:val="auto"/>
          <w:sz w:val="24"/>
          <w:highlight w:val="none"/>
        </w:rPr>
      </w:pPr>
      <w:r>
        <w:rPr>
          <w:rFonts w:hint="eastAsia" w:ascii="宋体" w:hAnsi="宋体" w:cs="宋体"/>
          <w:b/>
          <w:color w:val="auto"/>
          <w:sz w:val="24"/>
          <w:highlight w:val="none"/>
        </w:rPr>
        <w:t>（格式自拟）</w:t>
      </w:r>
    </w:p>
    <w:p w14:paraId="1942C201">
      <w:pPr>
        <w:spacing w:line="420" w:lineRule="exact"/>
        <w:ind w:firstLine="424" w:firstLineChars="177"/>
        <w:rPr>
          <w:rFonts w:ascii="宋体" w:hAnsi="宋体" w:cs="宋体"/>
          <w:color w:val="auto"/>
          <w:sz w:val="24"/>
          <w:highlight w:val="none"/>
        </w:rPr>
      </w:pPr>
    </w:p>
    <w:p w14:paraId="122223EF">
      <w:pPr>
        <w:spacing w:line="42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1F4D54A">
      <w:pPr>
        <w:spacing w:line="300" w:lineRule="auto"/>
        <w:contextualSpacing/>
        <w:rPr>
          <w:rFonts w:ascii="宋体" w:hAnsi="宋体" w:cs="宋体"/>
          <w:b/>
          <w:bCs/>
          <w:color w:val="auto"/>
          <w:sz w:val="24"/>
          <w:highlight w:val="none"/>
        </w:rPr>
      </w:pPr>
    </w:p>
    <w:p w14:paraId="3FA980CE">
      <w:pPr>
        <w:kinsoku w:val="0"/>
        <w:topLinePunct/>
        <w:spacing w:line="420" w:lineRule="exact"/>
        <w:jc w:val="center"/>
        <w:rPr>
          <w:rFonts w:ascii="宋体" w:hAnsi="宋体" w:cs="宋体"/>
          <w:color w:val="auto"/>
          <w:sz w:val="24"/>
          <w:highlight w:val="none"/>
        </w:rPr>
      </w:pPr>
    </w:p>
    <w:p w14:paraId="57591BD3">
      <w:pPr>
        <w:adjustRightInd w:val="0"/>
        <w:snapToGrid w:val="0"/>
        <w:spacing w:line="360" w:lineRule="auto"/>
        <w:jc w:val="left"/>
        <w:rPr>
          <w:rFonts w:ascii="宋体" w:hAnsi="宋体" w:cs="宋体"/>
          <w:color w:val="auto"/>
          <w:sz w:val="24"/>
          <w:highlight w:val="none"/>
        </w:rPr>
      </w:pPr>
    </w:p>
    <w:p w14:paraId="6F4D2CC8">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735AFA5">
      <w:pPr>
        <w:rPr>
          <w:rFonts w:ascii="宋体" w:hAnsi="宋体" w:cs="宋体"/>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w:t>
      </w:r>
    </w:p>
    <w:p w14:paraId="63B21D57">
      <w:pPr>
        <w:snapToGrid w:val="0"/>
        <w:spacing w:line="520" w:lineRule="exact"/>
        <w:jc w:val="center"/>
        <w:outlineLvl w:val="2"/>
        <w:rPr>
          <w:rFonts w:ascii="宋体" w:hAnsi="宋体" w:cs="宋体"/>
          <w:color w:val="auto"/>
          <w:highlight w:val="none"/>
        </w:rPr>
      </w:pPr>
      <w:r>
        <w:rPr>
          <w:rFonts w:hint="eastAsia" w:ascii="宋体" w:hAnsi="宋体" w:cs="宋体"/>
          <w:b/>
          <w:bCs/>
          <w:color w:val="auto"/>
          <w:sz w:val="28"/>
          <w:szCs w:val="28"/>
          <w:highlight w:val="none"/>
        </w:rPr>
        <w:t>供应商基本情况表</w:t>
      </w:r>
    </w:p>
    <w:tbl>
      <w:tblPr>
        <w:tblStyle w:val="1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0F07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727113C1">
            <w:pPr>
              <w:jc w:val="center"/>
              <w:rPr>
                <w:rFonts w:ascii="宋体" w:hAnsi="宋体" w:cs="宋体"/>
                <w:color w:val="auto"/>
                <w:sz w:val="24"/>
                <w:highlight w:val="none"/>
              </w:rPr>
            </w:pPr>
            <w:r>
              <w:rPr>
                <w:rFonts w:hint="eastAsia" w:ascii="宋体" w:hAnsi="宋体" w:cs="宋体"/>
                <w:color w:val="auto"/>
                <w:sz w:val="24"/>
                <w:highlight w:val="none"/>
              </w:rPr>
              <w:t>供应商全称</w:t>
            </w:r>
          </w:p>
        </w:tc>
        <w:tc>
          <w:tcPr>
            <w:tcW w:w="6859" w:type="dxa"/>
            <w:gridSpan w:val="3"/>
            <w:vAlign w:val="center"/>
          </w:tcPr>
          <w:p w14:paraId="692AEDC9">
            <w:pPr>
              <w:jc w:val="center"/>
              <w:rPr>
                <w:rFonts w:ascii="宋体" w:hAnsi="宋体" w:cs="宋体"/>
                <w:b/>
                <w:color w:val="auto"/>
                <w:sz w:val="24"/>
                <w:highlight w:val="none"/>
              </w:rPr>
            </w:pPr>
          </w:p>
        </w:tc>
      </w:tr>
      <w:tr w14:paraId="632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1FBF690E">
            <w:pPr>
              <w:jc w:val="center"/>
              <w:rPr>
                <w:rFonts w:ascii="宋体" w:hAnsi="宋体" w:cs="宋体"/>
                <w:color w:val="auto"/>
                <w:sz w:val="24"/>
                <w:highlight w:val="none"/>
              </w:rPr>
            </w:pPr>
            <w:r>
              <w:rPr>
                <w:rFonts w:hint="eastAsia" w:ascii="宋体" w:hAnsi="宋体" w:cs="宋体"/>
                <w:color w:val="auto"/>
                <w:sz w:val="24"/>
                <w:highlight w:val="none"/>
              </w:rPr>
              <w:t>主要业务范围</w:t>
            </w:r>
          </w:p>
        </w:tc>
        <w:tc>
          <w:tcPr>
            <w:tcW w:w="6859" w:type="dxa"/>
            <w:gridSpan w:val="3"/>
            <w:vAlign w:val="center"/>
          </w:tcPr>
          <w:p w14:paraId="6AD96CE9">
            <w:pPr>
              <w:jc w:val="center"/>
              <w:rPr>
                <w:rFonts w:ascii="宋体" w:hAnsi="宋体" w:cs="宋体"/>
                <w:b/>
                <w:color w:val="auto"/>
                <w:sz w:val="24"/>
                <w:highlight w:val="none"/>
              </w:rPr>
            </w:pPr>
          </w:p>
        </w:tc>
      </w:tr>
      <w:tr w14:paraId="46C8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9AC1775">
            <w:pPr>
              <w:jc w:val="center"/>
              <w:rPr>
                <w:rFonts w:ascii="宋体" w:hAnsi="宋体" w:cs="宋体"/>
                <w:color w:val="auto"/>
                <w:sz w:val="24"/>
                <w:highlight w:val="none"/>
              </w:rPr>
            </w:pPr>
            <w:r>
              <w:rPr>
                <w:rFonts w:hint="eastAsia" w:ascii="宋体" w:hAnsi="宋体" w:cs="宋体"/>
                <w:color w:val="auto"/>
                <w:sz w:val="24"/>
                <w:highlight w:val="none"/>
              </w:rPr>
              <w:t>法定代表人姓名</w:t>
            </w:r>
          </w:p>
        </w:tc>
        <w:tc>
          <w:tcPr>
            <w:tcW w:w="3036" w:type="dxa"/>
            <w:vAlign w:val="center"/>
          </w:tcPr>
          <w:p w14:paraId="6561FAF6">
            <w:pPr>
              <w:jc w:val="center"/>
              <w:rPr>
                <w:rFonts w:ascii="宋体" w:hAnsi="宋体" w:cs="宋体"/>
                <w:b/>
                <w:color w:val="auto"/>
                <w:sz w:val="24"/>
                <w:highlight w:val="none"/>
              </w:rPr>
            </w:pPr>
          </w:p>
        </w:tc>
        <w:tc>
          <w:tcPr>
            <w:tcW w:w="1536" w:type="dxa"/>
            <w:vAlign w:val="center"/>
          </w:tcPr>
          <w:p w14:paraId="43DBDDE1">
            <w:pPr>
              <w:jc w:val="center"/>
              <w:rPr>
                <w:rFonts w:ascii="宋体" w:hAnsi="宋体" w:cs="宋体"/>
                <w:color w:val="auto"/>
                <w:sz w:val="24"/>
                <w:highlight w:val="none"/>
              </w:rPr>
            </w:pPr>
            <w:r>
              <w:rPr>
                <w:rFonts w:hint="eastAsia" w:ascii="宋体" w:hAnsi="宋体" w:cs="宋体"/>
                <w:color w:val="auto"/>
                <w:sz w:val="24"/>
                <w:highlight w:val="none"/>
              </w:rPr>
              <w:t>职    务</w:t>
            </w:r>
          </w:p>
        </w:tc>
        <w:tc>
          <w:tcPr>
            <w:tcW w:w="2287" w:type="dxa"/>
          </w:tcPr>
          <w:p w14:paraId="3A9BBA5F">
            <w:pPr>
              <w:rPr>
                <w:rFonts w:ascii="宋体" w:hAnsi="宋体" w:cs="宋体"/>
                <w:b/>
                <w:color w:val="auto"/>
                <w:sz w:val="24"/>
                <w:highlight w:val="none"/>
              </w:rPr>
            </w:pPr>
          </w:p>
        </w:tc>
      </w:tr>
      <w:tr w14:paraId="5E25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483C4B3">
            <w:pPr>
              <w:jc w:val="center"/>
              <w:rPr>
                <w:rFonts w:ascii="宋体" w:hAnsi="宋体" w:cs="宋体"/>
                <w:color w:val="auto"/>
                <w:sz w:val="24"/>
                <w:highlight w:val="none"/>
              </w:rPr>
            </w:pPr>
            <w:r>
              <w:rPr>
                <w:rFonts w:hint="eastAsia" w:ascii="宋体" w:hAnsi="宋体" w:cs="宋体"/>
                <w:color w:val="auto"/>
                <w:sz w:val="24"/>
                <w:highlight w:val="none"/>
              </w:rPr>
              <w:t>供应商地址</w:t>
            </w:r>
          </w:p>
        </w:tc>
        <w:tc>
          <w:tcPr>
            <w:tcW w:w="3036" w:type="dxa"/>
            <w:vAlign w:val="center"/>
          </w:tcPr>
          <w:p w14:paraId="1C173A93">
            <w:pPr>
              <w:jc w:val="center"/>
              <w:rPr>
                <w:rFonts w:ascii="宋体" w:hAnsi="宋体" w:cs="宋体"/>
                <w:b/>
                <w:color w:val="auto"/>
                <w:sz w:val="24"/>
                <w:highlight w:val="none"/>
              </w:rPr>
            </w:pPr>
          </w:p>
        </w:tc>
        <w:tc>
          <w:tcPr>
            <w:tcW w:w="1536" w:type="dxa"/>
            <w:vAlign w:val="center"/>
          </w:tcPr>
          <w:p w14:paraId="18665DEB">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87" w:type="dxa"/>
          </w:tcPr>
          <w:p w14:paraId="68FF2FB4">
            <w:pPr>
              <w:rPr>
                <w:rFonts w:ascii="宋体" w:hAnsi="宋体" w:cs="宋体"/>
                <w:b/>
                <w:color w:val="auto"/>
                <w:sz w:val="24"/>
                <w:highlight w:val="none"/>
              </w:rPr>
            </w:pPr>
          </w:p>
        </w:tc>
      </w:tr>
      <w:tr w14:paraId="3FF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8E07BAB">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3036" w:type="dxa"/>
            <w:vAlign w:val="center"/>
          </w:tcPr>
          <w:p w14:paraId="389EC93A">
            <w:pPr>
              <w:jc w:val="center"/>
              <w:rPr>
                <w:rFonts w:ascii="宋体" w:hAnsi="宋体" w:cs="宋体"/>
                <w:b/>
                <w:color w:val="auto"/>
                <w:sz w:val="24"/>
                <w:highlight w:val="none"/>
              </w:rPr>
            </w:pPr>
          </w:p>
        </w:tc>
        <w:tc>
          <w:tcPr>
            <w:tcW w:w="1536" w:type="dxa"/>
            <w:vAlign w:val="center"/>
          </w:tcPr>
          <w:p w14:paraId="7D3DC02B">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287" w:type="dxa"/>
          </w:tcPr>
          <w:p w14:paraId="4FBAC2F5">
            <w:pPr>
              <w:rPr>
                <w:rFonts w:ascii="宋体" w:hAnsi="宋体" w:cs="宋体"/>
                <w:b/>
                <w:color w:val="auto"/>
                <w:sz w:val="24"/>
                <w:highlight w:val="none"/>
              </w:rPr>
            </w:pPr>
          </w:p>
        </w:tc>
      </w:tr>
      <w:tr w14:paraId="7AE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40A84DCA">
            <w:pPr>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3036" w:type="dxa"/>
            <w:vAlign w:val="center"/>
          </w:tcPr>
          <w:p w14:paraId="06ECFDFF">
            <w:pPr>
              <w:jc w:val="center"/>
              <w:rPr>
                <w:rFonts w:ascii="宋体" w:hAnsi="宋体" w:cs="宋体"/>
                <w:b/>
                <w:color w:val="auto"/>
                <w:sz w:val="24"/>
                <w:highlight w:val="none"/>
              </w:rPr>
            </w:pPr>
          </w:p>
        </w:tc>
        <w:tc>
          <w:tcPr>
            <w:tcW w:w="1536" w:type="dxa"/>
            <w:vAlign w:val="center"/>
          </w:tcPr>
          <w:p w14:paraId="387EE434">
            <w:pPr>
              <w:jc w:val="center"/>
              <w:rPr>
                <w:rFonts w:ascii="宋体" w:hAnsi="宋体" w:cs="宋体"/>
                <w:color w:val="auto"/>
                <w:sz w:val="24"/>
                <w:highlight w:val="none"/>
              </w:rPr>
            </w:pPr>
            <w:r>
              <w:rPr>
                <w:rFonts w:hint="eastAsia" w:ascii="宋体" w:hAnsi="宋体" w:cs="宋体"/>
                <w:color w:val="auto"/>
                <w:sz w:val="24"/>
                <w:highlight w:val="none"/>
              </w:rPr>
              <w:t>现 有 职</w:t>
            </w:r>
          </w:p>
          <w:p w14:paraId="1887DD88">
            <w:pPr>
              <w:jc w:val="center"/>
              <w:rPr>
                <w:rFonts w:ascii="宋体" w:hAnsi="宋体" w:cs="宋体"/>
                <w:color w:val="auto"/>
                <w:sz w:val="24"/>
                <w:highlight w:val="none"/>
              </w:rPr>
            </w:pPr>
            <w:r>
              <w:rPr>
                <w:rFonts w:hint="eastAsia" w:ascii="宋体" w:hAnsi="宋体" w:cs="宋体"/>
                <w:color w:val="auto"/>
                <w:sz w:val="24"/>
                <w:highlight w:val="none"/>
              </w:rPr>
              <w:t>工 人 数</w:t>
            </w:r>
          </w:p>
        </w:tc>
        <w:tc>
          <w:tcPr>
            <w:tcW w:w="2287" w:type="dxa"/>
          </w:tcPr>
          <w:p w14:paraId="0377C597">
            <w:pPr>
              <w:rPr>
                <w:rFonts w:ascii="宋体" w:hAnsi="宋体" w:cs="宋体"/>
                <w:b/>
                <w:color w:val="auto"/>
                <w:sz w:val="24"/>
                <w:highlight w:val="none"/>
              </w:rPr>
            </w:pPr>
          </w:p>
        </w:tc>
      </w:tr>
      <w:tr w14:paraId="429B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50B7EE21">
            <w:pPr>
              <w:pStyle w:val="13"/>
              <w:jc w:val="center"/>
              <w:rPr>
                <w:rFonts w:ascii="宋体" w:hAnsi="宋体" w:cs="宋体"/>
                <w:color w:val="auto"/>
                <w:sz w:val="24"/>
                <w:szCs w:val="24"/>
                <w:highlight w:val="none"/>
              </w:rPr>
            </w:pPr>
            <w:r>
              <w:rPr>
                <w:rFonts w:hint="eastAsia" w:ascii="宋体" w:hAnsi="宋体" w:cs="宋体"/>
                <w:color w:val="auto"/>
                <w:sz w:val="24"/>
                <w:szCs w:val="24"/>
                <w:highlight w:val="none"/>
              </w:rPr>
              <w:t>资质等级证书（如有）</w:t>
            </w:r>
          </w:p>
        </w:tc>
        <w:tc>
          <w:tcPr>
            <w:tcW w:w="6859" w:type="dxa"/>
            <w:gridSpan w:val="3"/>
          </w:tcPr>
          <w:p w14:paraId="3ED1FACF">
            <w:pPr>
              <w:rPr>
                <w:rFonts w:ascii="宋体" w:hAnsi="宋体" w:cs="宋体"/>
                <w:b/>
                <w:color w:val="auto"/>
                <w:sz w:val="24"/>
                <w:highlight w:val="none"/>
              </w:rPr>
            </w:pPr>
          </w:p>
          <w:p w14:paraId="79B95B26">
            <w:pPr>
              <w:rPr>
                <w:rFonts w:ascii="宋体" w:hAnsi="宋体" w:cs="宋体"/>
                <w:color w:val="auto"/>
                <w:sz w:val="24"/>
                <w:highlight w:val="none"/>
              </w:rPr>
            </w:pPr>
            <w:r>
              <w:rPr>
                <w:rFonts w:hint="eastAsia" w:ascii="宋体" w:hAnsi="宋体" w:cs="宋体"/>
                <w:color w:val="auto"/>
                <w:sz w:val="24"/>
                <w:highlight w:val="none"/>
              </w:rPr>
              <w:t>等 级：                   证书号：</w:t>
            </w:r>
          </w:p>
        </w:tc>
      </w:tr>
      <w:tr w14:paraId="0E9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6BCE8B8E">
            <w:pPr>
              <w:rPr>
                <w:rFonts w:ascii="宋体" w:hAnsi="宋体" w:cs="宋体"/>
                <w:color w:val="auto"/>
                <w:sz w:val="24"/>
                <w:highlight w:val="none"/>
              </w:rPr>
            </w:pPr>
            <w:r>
              <w:rPr>
                <w:rFonts w:hint="eastAsia" w:ascii="宋体" w:hAnsi="宋体" w:cs="宋体"/>
                <w:color w:val="auto"/>
                <w:sz w:val="24"/>
                <w:highlight w:val="none"/>
              </w:rPr>
              <w:t>单位简介：</w:t>
            </w:r>
          </w:p>
          <w:p w14:paraId="0F101F82">
            <w:pPr>
              <w:rPr>
                <w:rFonts w:ascii="宋体" w:hAnsi="宋体" w:cs="宋体"/>
                <w:color w:val="auto"/>
                <w:sz w:val="24"/>
                <w:highlight w:val="none"/>
              </w:rPr>
            </w:pPr>
            <w:r>
              <w:rPr>
                <w:rFonts w:hint="eastAsia" w:ascii="宋体" w:hAnsi="宋体" w:cs="宋体"/>
                <w:color w:val="auto"/>
                <w:sz w:val="24"/>
                <w:highlight w:val="none"/>
              </w:rPr>
              <w:t xml:space="preserve">技术人员总数：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w:t>
            </w:r>
          </w:p>
        </w:tc>
      </w:tr>
    </w:tbl>
    <w:p w14:paraId="061BF2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1F642AA6">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208F9A7B">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8677746">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5D5EDDB5">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注：本表后附竞争性磋商公告资格要求提供相应的佐证材料（以下材料均须提供复印件（或扫描件）并加盖公章）；</w:t>
      </w:r>
    </w:p>
    <w:p w14:paraId="7CC377AA">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企业法人营业执照或事业单位法人登记证明或社会组织或其他组织或自然人证明材料；</w:t>
      </w:r>
    </w:p>
    <w:p w14:paraId="0DB11E04">
      <w:pPr>
        <w:tabs>
          <w:tab w:val="left" w:pos="3375"/>
        </w:tabs>
        <w:autoSpaceDE w:val="0"/>
        <w:autoSpaceDN w:val="0"/>
        <w:adjustRightInd w:val="0"/>
        <w:snapToGrid w:val="0"/>
        <w:spacing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）项目负责人社保证明材料；</w:t>
      </w:r>
    </w:p>
    <w:p w14:paraId="53B027D9">
      <w:pPr>
        <w:tabs>
          <w:tab w:val="left" w:pos="3375"/>
        </w:tabs>
        <w:autoSpaceDE w:val="0"/>
        <w:autoSpaceDN w:val="0"/>
        <w:adjustRightInd w:val="0"/>
        <w:snapToGrid w:val="0"/>
        <w:spacing w:line="440" w:lineRule="exact"/>
        <w:ind w:firstLine="480" w:firstLineChars="200"/>
        <w:rPr>
          <w:rFonts w:hint="default" w:ascii="宋体" w:hAnsi="宋体" w:cs="宋体"/>
          <w:color w:val="auto"/>
          <w:sz w:val="24"/>
          <w:highlight w:val="none"/>
          <w:lang w:val="en-US" w:eastAsia="zh-CN"/>
        </w:rPr>
      </w:pPr>
    </w:p>
    <w:p w14:paraId="56B7F498">
      <w:pPr>
        <w:spacing w:line="300" w:lineRule="auto"/>
        <w:jc w:val="center"/>
        <w:rPr>
          <w:rFonts w:hint="eastAsia" w:ascii="宋体" w:hAnsi="宋体"/>
          <w:bCs/>
          <w:color w:val="auto"/>
          <w:sz w:val="32"/>
          <w:szCs w:val="32"/>
          <w:highlight w:val="none"/>
        </w:rPr>
      </w:pPr>
    </w:p>
    <w:p w14:paraId="23781883">
      <w:pPr>
        <w:spacing w:line="300" w:lineRule="auto"/>
        <w:jc w:val="center"/>
        <w:rPr>
          <w:rFonts w:hint="eastAsia" w:ascii="宋体" w:hAnsi="宋体"/>
          <w:bCs/>
          <w:color w:val="auto"/>
          <w:sz w:val="32"/>
          <w:szCs w:val="32"/>
          <w:highlight w:val="none"/>
        </w:rPr>
      </w:pPr>
    </w:p>
    <w:p w14:paraId="0E8DE7AA">
      <w:pPr>
        <w:spacing w:line="300" w:lineRule="auto"/>
        <w:jc w:val="center"/>
        <w:rPr>
          <w:rFonts w:hint="eastAsia" w:ascii="宋体" w:hAnsi="宋体"/>
          <w:bCs/>
          <w:color w:val="auto"/>
          <w:sz w:val="32"/>
          <w:szCs w:val="32"/>
          <w:highlight w:val="none"/>
        </w:rPr>
      </w:pPr>
    </w:p>
    <w:p w14:paraId="77D0F714">
      <w:pPr>
        <w:spacing w:line="300" w:lineRule="auto"/>
        <w:jc w:val="center"/>
        <w:rPr>
          <w:rFonts w:hint="eastAsia" w:ascii="宋体" w:hAnsi="宋体"/>
          <w:bCs/>
          <w:color w:val="auto"/>
          <w:sz w:val="32"/>
          <w:szCs w:val="32"/>
          <w:highlight w:val="none"/>
        </w:rPr>
      </w:pPr>
    </w:p>
    <w:p w14:paraId="6BF69A5A">
      <w:pPr>
        <w:spacing w:line="300" w:lineRule="auto"/>
        <w:jc w:val="center"/>
        <w:rPr>
          <w:rFonts w:hint="eastAsia" w:ascii="宋体" w:hAnsi="宋体"/>
          <w:bCs/>
          <w:color w:val="auto"/>
          <w:sz w:val="32"/>
          <w:szCs w:val="32"/>
          <w:highlight w:val="none"/>
        </w:rPr>
      </w:pPr>
    </w:p>
    <w:p w14:paraId="12E723E6">
      <w:pPr>
        <w:rPr>
          <w:rFonts w:ascii="宋体" w:hAnsi="宋体" w:cs="宋体"/>
          <w:color w:val="auto"/>
          <w:highlight w:val="none"/>
        </w:rPr>
      </w:pPr>
      <w:r>
        <w:rPr>
          <w:rFonts w:hint="eastAsia" w:ascii="宋体" w:hAnsi="宋体"/>
          <w:bCs/>
          <w:color w:val="auto"/>
          <w:sz w:val="32"/>
          <w:szCs w:val="32"/>
          <w:highlight w:val="none"/>
        </w:rPr>
        <w:br w:type="page"/>
      </w:r>
    </w:p>
    <w:p w14:paraId="1C7065BA">
      <w:pPr>
        <w:tabs>
          <w:tab w:val="left" w:pos="3375"/>
        </w:tabs>
        <w:spacing w:line="360" w:lineRule="auto"/>
        <w:rPr>
          <w:rFonts w:ascii="宋体" w:hAnsi="宋体" w:cs="宋体"/>
          <w:color w:val="auto"/>
          <w:sz w:val="24"/>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w:t>
      </w:r>
      <w:r>
        <w:rPr>
          <w:rFonts w:hint="eastAsia" w:ascii="宋体" w:hAnsi="宋体" w:cs="宋体"/>
          <w:color w:val="auto"/>
          <w:sz w:val="24"/>
          <w:highlight w:val="none"/>
        </w:rPr>
        <w:t xml:space="preserve">                  其它需要提交的资格审查材料</w:t>
      </w:r>
    </w:p>
    <w:p w14:paraId="2C37D411">
      <w:pPr>
        <w:spacing w:after="120" w:line="360" w:lineRule="auto"/>
        <w:ind w:left="420" w:leftChars="200" w:firstLine="400" w:firstLineChars="200"/>
        <w:rPr>
          <w:rFonts w:ascii="宋体" w:hAnsi="宋体" w:cs="宋体"/>
          <w:color w:val="auto"/>
          <w:kern w:val="0"/>
          <w:sz w:val="20"/>
          <w:highlight w:val="none"/>
        </w:rPr>
      </w:pPr>
    </w:p>
    <w:p w14:paraId="0AE11C8B">
      <w:pPr>
        <w:tabs>
          <w:tab w:val="left" w:pos="3375"/>
        </w:tabs>
        <w:autoSpaceDE w:val="0"/>
        <w:autoSpaceDN w:val="0"/>
        <w:adjustRightInd w:val="0"/>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①其他</w:t>
      </w:r>
    </w:p>
    <w:p w14:paraId="67E900A3">
      <w:pPr>
        <w:pStyle w:val="18"/>
        <w:ind w:firstLine="480"/>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highlight w:val="none"/>
        </w:rPr>
        <w:br w:type="page"/>
      </w:r>
    </w:p>
    <w:p w14:paraId="463F5113">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第二部分格式：</w:t>
      </w:r>
    </w:p>
    <w:p w14:paraId="00D13311">
      <w:pPr>
        <w:snapToGrid w:val="0"/>
        <w:spacing w:line="300" w:lineRule="auto"/>
        <w:contextualSpacing/>
        <w:rPr>
          <w:rFonts w:ascii="宋体" w:hAnsi="宋体" w:cs="宋体"/>
          <w:color w:val="auto"/>
          <w:sz w:val="32"/>
          <w:szCs w:val="32"/>
          <w:highlight w:val="none"/>
        </w:rPr>
      </w:pPr>
    </w:p>
    <w:p w14:paraId="55F87B2C">
      <w:pPr>
        <w:autoSpaceDE w:val="0"/>
        <w:autoSpaceDN w:val="0"/>
        <w:adjustRightInd w:val="0"/>
        <w:jc w:val="center"/>
        <w:rPr>
          <w:rFonts w:ascii="宋体" w:hAnsi="宋体" w:cs="宋体"/>
          <w:b/>
          <w:color w:val="auto"/>
          <w:sz w:val="32"/>
          <w:szCs w:val="32"/>
          <w:highlight w:val="none"/>
        </w:rPr>
      </w:pPr>
    </w:p>
    <w:p w14:paraId="686303D0">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2026年南通市公路事业发展中心基础环境与安全运维服务项目</w:t>
      </w:r>
    </w:p>
    <w:p w14:paraId="432CEB63">
      <w:pPr>
        <w:pStyle w:val="18"/>
        <w:rPr>
          <w:rFonts w:ascii="宋体" w:hAnsi="宋体" w:cs="宋体"/>
          <w:color w:val="auto"/>
          <w:highlight w:val="none"/>
        </w:rPr>
      </w:pPr>
    </w:p>
    <w:p w14:paraId="6F0E1CD3">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2026AQYW</w:t>
      </w:r>
    </w:p>
    <w:p w14:paraId="368FFF67">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rPr>
      </w:pPr>
      <w:r>
        <w:rPr>
          <w:rFonts w:hint="eastAsia" w:ascii="宋体" w:hAnsi="宋体" w:cs="宋体"/>
          <w:b/>
          <w:color w:val="auto"/>
          <w:w w:val="80"/>
          <w:sz w:val="32"/>
          <w:szCs w:val="32"/>
          <w:highlight w:val="none"/>
        </w:rPr>
        <w:t>档案编号：20251122</w:t>
      </w:r>
    </w:p>
    <w:p w14:paraId="5AE94D09">
      <w:pPr>
        <w:tabs>
          <w:tab w:val="left" w:pos="6300"/>
        </w:tabs>
        <w:snapToGrid w:val="0"/>
        <w:spacing w:line="300" w:lineRule="auto"/>
        <w:jc w:val="center"/>
        <w:rPr>
          <w:rFonts w:ascii="宋体" w:hAnsi="宋体" w:cs="宋体"/>
          <w:b/>
          <w:color w:val="auto"/>
          <w:w w:val="80"/>
          <w:sz w:val="32"/>
          <w:szCs w:val="32"/>
          <w:highlight w:val="none"/>
        </w:rPr>
      </w:pPr>
    </w:p>
    <w:p w14:paraId="50E0002A">
      <w:pPr>
        <w:tabs>
          <w:tab w:val="left" w:pos="6300"/>
        </w:tabs>
        <w:snapToGrid w:val="0"/>
        <w:spacing w:line="300" w:lineRule="auto"/>
        <w:jc w:val="center"/>
        <w:rPr>
          <w:rFonts w:ascii="宋体" w:hAnsi="宋体" w:cs="宋体"/>
          <w:b/>
          <w:color w:val="auto"/>
          <w:w w:val="80"/>
          <w:sz w:val="32"/>
          <w:szCs w:val="32"/>
          <w:highlight w:val="none"/>
        </w:rPr>
      </w:pPr>
    </w:p>
    <w:p w14:paraId="4D56E3C1">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5040DFFC">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（商务技术响应文件）</w:t>
      </w:r>
    </w:p>
    <w:p w14:paraId="26368725">
      <w:pPr>
        <w:spacing w:after="60"/>
        <w:jc w:val="center"/>
        <w:rPr>
          <w:rFonts w:ascii="宋体" w:hAnsi="宋体" w:cs="宋体"/>
          <w:b/>
          <w:bCs/>
          <w:color w:val="auto"/>
          <w:sz w:val="72"/>
          <w:szCs w:val="72"/>
          <w:highlight w:val="none"/>
        </w:rPr>
      </w:pPr>
    </w:p>
    <w:p w14:paraId="75F168A4">
      <w:pPr>
        <w:spacing w:after="60"/>
        <w:jc w:val="center"/>
        <w:rPr>
          <w:rFonts w:ascii="宋体" w:hAnsi="宋体" w:cs="宋体"/>
          <w:b/>
          <w:bCs/>
          <w:color w:val="auto"/>
          <w:sz w:val="72"/>
          <w:szCs w:val="72"/>
          <w:highlight w:val="none"/>
        </w:rPr>
      </w:pPr>
    </w:p>
    <w:p w14:paraId="0993526D">
      <w:pPr>
        <w:spacing w:after="60"/>
        <w:jc w:val="center"/>
        <w:rPr>
          <w:rFonts w:ascii="宋体" w:hAnsi="宋体" w:cs="宋体"/>
          <w:b/>
          <w:bCs/>
          <w:color w:val="auto"/>
          <w:sz w:val="72"/>
          <w:szCs w:val="72"/>
          <w:highlight w:val="none"/>
        </w:rPr>
      </w:pPr>
    </w:p>
    <w:p w14:paraId="6A2D5C90">
      <w:pPr>
        <w:spacing w:after="60"/>
        <w:jc w:val="center"/>
        <w:rPr>
          <w:rFonts w:ascii="宋体" w:hAnsi="宋体" w:cs="宋体"/>
          <w:b/>
          <w:bCs/>
          <w:color w:val="auto"/>
          <w:sz w:val="72"/>
          <w:szCs w:val="72"/>
          <w:highlight w:val="none"/>
        </w:rPr>
      </w:pPr>
    </w:p>
    <w:p w14:paraId="7BBB8BBE">
      <w:pPr>
        <w:pStyle w:val="18"/>
        <w:ind w:left="0" w:leftChars="0" w:firstLine="0" w:firstLineChars="0"/>
        <w:rPr>
          <w:rFonts w:ascii="宋体" w:hAnsi="宋体" w:cs="宋体"/>
          <w:b/>
          <w:bCs/>
          <w:color w:val="auto"/>
          <w:sz w:val="72"/>
          <w:szCs w:val="72"/>
          <w:highlight w:val="none"/>
        </w:rPr>
      </w:pPr>
    </w:p>
    <w:p w14:paraId="53BD3E34">
      <w:pPr>
        <w:spacing w:after="60"/>
        <w:jc w:val="center"/>
        <w:rPr>
          <w:rFonts w:ascii="宋体" w:hAnsi="宋体" w:cs="宋体"/>
          <w:b/>
          <w:bCs/>
          <w:color w:val="auto"/>
          <w:sz w:val="72"/>
          <w:szCs w:val="72"/>
          <w:highlight w:val="none"/>
        </w:rPr>
      </w:pPr>
    </w:p>
    <w:p w14:paraId="212346BD">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292CC5B0">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25806FF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3FEE9100">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EF09D7D">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6AF4708F">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3709AF7B">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54462DB">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54B0CECD">
      <w:pPr>
        <w:snapToGrid w:val="0"/>
        <w:spacing w:line="300" w:lineRule="auto"/>
        <w:contextualSpacing/>
        <w:rPr>
          <w:rFonts w:ascii="宋体" w:hAnsi="宋体" w:cs="宋体"/>
          <w:color w:val="auto"/>
          <w:sz w:val="32"/>
          <w:szCs w:val="32"/>
          <w:highlight w:val="none"/>
        </w:rPr>
      </w:pPr>
    </w:p>
    <w:p w14:paraId="349141CC">
      <w:pPr>
        <w:pStyle w:val="18"/>
        <w:rPr>
          <w:rFonts w:ascii="宋体" w:hAnsi="宋体" w:cs="宋体"/>
          <w:color w:val="auto"/>
          <w:highlight w:val="none"/>
        </w:rPr>
      </w:pPr>
    </w:p>
    <w:p w14:paraId="774E3306">
      <w:pPr>
        <w:pStyle w:val="18"/>
        <w:rPr>
          <w:rFonts w:ascii="宋体" w:hAnsi="宋体" w:cs="宋体"/>
          <w:color w:val="auto"/>
          <w:highlight w:val="none"/>
        </w:rPr>
      </w:pPr>
    </w:p>
    <w:p w14:paraId="16C7A245">
      <w:pPr>
        <w:pStyle w:val="18"/>
        <w:rPr>
          <w:rFonts w:ascii="宋体" w:hAnsi="宋体" w:cs="宋体"/>
          <w:color w:val="auto"/>
          <w:highlight w:val="none"/>
        </w:rPr>
      </w:pPr>
    </w:p>
    <w:p w14:paraId="3E466012">
      <w:pPr>
        <w:pStyle w:val="18"/>
        <w:rPr>
          <w:rFonts w:ascii="宋体" w:hAnsi="宋体" w:cs="宋体"/>
          <w:color w:val="auto"/>
          <w:highlight w:val="none"/>
        </w:rPr>
      </w:pPr>
    </w:p>
    <w:p w14:paraId="62AD001F">
      <w:pPr>
        <w:pStyle w:val="18"/>
        <w:rPr>
          <w:rFonts w:ascii="宋体" w:hAnsi="宋体" w:cs="宋体"/>
          <w:color w:val="auto"/>
          <w:highlight w:val="none"/>
        </w:rPr>
      </w:pPr>
    </w:p>
    <w:p w14:paraId="49A38269">
      <w:pPr>
        <w:pStyle w:val="18"/>
        <w:rPr>
          <w:rFonts w:ascii="宋体" w:hAnsi="宋体" w:cs="宋体"/>
          <w:color w:val="auto"/>
          <w:highlight w:val="none"/>
        </w:rPr>
      </w:pPr>
    </w:p>
    <w:p w14:paraId="43574BE9">
      <w:pPr>
        <w:pStyle w:val="18"/>
        <w:rPr>
          <w:rFonts w:ascii="宋体" w:hAnsi="宋体" w:cs="宋体"/>
          <w:color w:val="auto"/>
          <w:highlight w:val="none"/>
        </w:rPr>
      </w:pPr>
    </w:p>
    <w:p w14:paraId="6B6B478E">
      <w:pPr>
        <w:pStyle w:val="18"/>
        <w:rPr>
          <w:rFonts w:ascii="宋体" w:hAnsi="宋体" w:cs="宋体"/>
          <w:color w:val="auto"/>
          <w:highlight w:val="none"/>
        </w:rPr>
      </w:pPr>
    </w:p>
    <w:p w14:paraId="6265097C">
      <w:pPr>
        <w:pStyle w:val="18"/>
        <w:rPr>
          <w:rFonts w:ascii="宋体" w:hAnsi="宋体" w:cs="宋体"/>
          <w:color w:val="auto"/>
          <w:highlight w:val="none"/>
        </w:rPr>
      </w:pPr>
    </w:p>
    <w:p w14:paraId="344A71CF">
      <w:pPr>
        <w:pStyle w:val="18"/>
        <w:rPr>
          <w:rFonts w:ascii="宋体" w:hAnsi="宋体" w:cs="宋体"/>
          <w:color w:val="auto"/>
          <w:highlight w:val="none"/>
        </w:rPr>
      </w:pPr>
    </w:p>
    <w:p w14:paraId="5F428BC6">
      <w:pPr>
        <w:pStyle w:val="18"/>
        <w:rPr>
          <w:rFonts w:ascii="宋体" w:hAnsi="宋体" w:cs="宋体"/>
          <w:color w:val="auto"/>
          <w:highlight w:val="none"/>
        </w:rPr>
      </w:pPr>
    </w:p>
    <w:p w14:paraId="1B635154">
      <w:pPr>
        <w:pStyle w:val="18"/>
        <w:rPr>
          <w:rFonts w:ascii="宋体" w:hAnsi="宋体" w:cs="宋体"/>
          <w:color w:val="auto"/>
          <w:highlight w:val="none"/>
        </w:rPr>
      </w:pPr>
    </w:p>
    <w:p w14:paraId="35EF952F">
      <w:pPr>
        <w:pStyle w:val="18"/>
        <w:rPr>
          <w:rFonts w:ascii="宋体" w:hAnsi="宋体" w:cs="宋体"/>
          <w:color w:val="auto"/>
          <w:highlight w:val="none"/>
        </w:rPr>
      </w:pPr>
    </w:p>
    <w:p w14:paraId="1F6B212F">
      <w:pPr>
        <w:pStyle w:val="18"/>
        <w:rPr>
          <w:rFonts w:ascii="宋体" w:hAnsi="宋体" w:cs="宋体"/>
          <w:color w:val="auto"/>
          <w:highlight w:val="none"/>
        </w:rPr>
      </w:pPr>
    </w:p>
    <w:p w14:paraId="5B25AA4D">
      <w:pPr>
        <w:pStyle w:val="18"/>
        <w:rPr>
          <w:rFonts w:ascii="宋体" w:hAnsi="宋体" w:cs="宋体"/>
          <w:color w:val="auto"/>
          <w:highlight w:val="none"/>
        </w:rPr>
      </w:pPr>
    </w:p>
    <w:p w14:paraId="7A03BD38">
      <w:pPr>
        <w:pStyle w:val="18"/>
        <w:rPr>
          <w:rFonts w:ascii="宋体" w:hAnsi="宋体" w:cs="宋体"/>
          <w:color w:val="auto"/>
          <w:highlight w:val="none"/>
        </w:rPr>
      </w:pPr>
    </w:p>
    <w:p w14:paraId="1BCF1DC6">
      <w:pPr>
        <w:pStyle w:val="18"/>
        <w:rPr>
          <w:rFonts w:ascii="宋体" w:hAnsi="宋体" w:cs="宋体"/>
          <w:color w:val="auto"/>
          <w:highlight w:val="none"/>
        </w:rPr>
      </w:pPr>
    </w:p>
    <w:p w14:paraId="75F5DBB2">
      <w:pPr>
        <w:pStyle w:val="18"/>
        <w:rPr>
          <w:rFonts w:ascii="宋体" w:hAnsi="宋体" w:cs="宋体"/>
          <w:color w:val="auto"/>
          <w:highlight w:val="none"/>
        </w:rPr>
      </w:pPr>
    </w:p>
    <w:p w14:paraId="7DD77D8B">
      <w:pPr>
        <w:pStyle w:val="18"/>
        <w:rPr>
          <w:rFonts w:ascii="宋体" w:hAnsi="宋体" w:cs="宋体"/>
          <w:color w:val="auto"/>
          <w:highlight w:val="none"/>
        </w:rPr>
      </w:pPr>
    </w:p>
    <w:p w14:paraId="371C4640">
      <w:pPr>
        <w:pStyle w:val="18"/>
        <w:rPr>
          <w:rFonts w:ascii="宋体" w:hAnsi="宋体" w:cs="宋体"/>
          <w:color w:val="auto"/>
          <w:highlight w:val="none"/>
        </w:rPr>
      </w:pPr>
    </w:p>
    <w:p w14:paraId="6FEDB210">
      <w:pPr>
        <w:pStyle w:val="18"/>
        <w:rPr>
          <w:rFonts w:ascii="宋体" w:hAnsi="宋体" w:cs="宋体"/>
          <w:color w:val="auto"/>
          <w:highlight w:val="none"/>
        </w:rPr>
      </w:pPr>
    </w:p>
    <w:p w14:paraId="13FD169A">
      <w:pPr>
        <w:pStyle w:val="18"/>
        <w:rPr>
          <w:rFonts w:ascii="宋体" w:hAnsi="宋体" w:cs="宋体"/>
          <w:color w:val="auto"/>
          <w:highlight w:val="none"/>
        </w:rPr>
      </w:pPr>
    </w:p>
    <w:p w14:paraId="5B1BE06B">
      <w:pPr>
        <w:pStyle w:val="18"/>
        <w:rPr>
          <w:rFonts w:ascii="宋体" w:hAnsi="宋体" w:cs="宋体"/>
          <w:color w:val="auto"/>
          <w:highlight w:val="none"/>
        </w:rPr>
      </w:pPr>
    </w:p>
    <w:p w14:paraId="2FA39E3E">
      <w:pPr>
        <w:pStyle w:val="18"/>
        <w:rPr>
          <w:rFonts w:ascii="宋体" w:hAnsi="宋体" w:cs="宋体"/>
          <w:color w:val="auto"/>
          <w:highlight w:val="none"/>
        </w:rPr>
      </w:pPr>
    </w:p>
    <w:p w14:paraId="161D1E15">
      <w:pPr>
        <w:pStyle w:val="18"/>
        <w:rPr>
          <w:rFonts w:ascii="宋体" w:hAnsi="宋体" w:cs="宋体"/>
          <w:color w:val="auto"/>
          <w:highlight w:val="none"/>
        </w:rPr>
      </w:pPr>
    </w:p>
    <w:p w14:paraId="1BBE5FC8">
      <w:pPr>
        <w:pStyle w:val="18"/>
        <w:rPr>
          <w:rFonts w:ascii="宋体" w:hAnsi="宋体" w:cs="宋体"/>
          <w:color w:val="auto"/>
          <w:highlight w:val="none"/>
        </w:rPr>
      </w:pPr>
    </w:p>
    <w:p w14:paraId="325BAA22">
      <w:pPr>
        <w:pStyle w:val="18"/>
        <w:rPr>
          <w:rFonts w:ascii="宋体" w:hAnsi="宋体" w:cs="宋体"/>
          <w:color w:val="auto"/>
          <w:highlight w:val="none"/>
        </w:rPr>
      </w:pPr>
    </w:p>
    <w:p w14:paraId="60791313">
      <w:pPr>
        <w:snapToGrid w:val="0"/>
        <w:spacing w:line="360" w:lineRule="auto"/>
        <w:jc w:val="center"/>
        <w:outlineLvl w:val="3"/>
        <w:rPr>
          <w:rFonts w:ascii="宋体" w:hAnsi="宋体" w:cs="宋体"/>
          <w:bCs/>
          <w:color w:val="auto"/>
          <w:sz w:val="28"/>
          <w:szCs w:val="28"/>
          <w:highlight w:val="none"/>
        </w:rPr>
      </w:pPr>
      <w:r>
        <w:rPr>
          <w:rFonts w:hint="eastAsia" w:ascii="宋体" w:hAnsi="宋体" w:cs="宋体"/>
          <w:bCs/>
          <w:color w:val="auto"/>
          <w:sz w:val="28"/>
          <w:szCs w:val="28"/>
          <w:highlight w:val="none"/>
        </w:rPr>
        <w:t>竞争性磋商响应函</w:t>
      </w:r>
    </w:p>
    <w:p w14:paraId="1141DF4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rPr>
        <w:t>：</w:t>
      </w:r>
    </w:p>
    <w:p w14:paraId="76A944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（项目名称)项目竞争性磋商的邀请，我方授权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（职务）为全权代表参加该项目的磋商响应工作，全权处理本次磋商的有关事宜。同时，我公司声明如下：</w:t>
      </w:r>
    </w:p>
    <w:p w14:paraId="3033AAC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（1）我方愿意按照磋商文件的一切要求，提供完成该项目的全部内容</w:t>
      </w:r>
      <w:r>
        <w:rPr>
          <w:rFonts w:hint="eastAsia" w:ascii="宋体" w:hAnsi="宋体" w:cs="宋体"/>
          <w:color w:val="auto"/>
          <w:sz w:val="24"/>
          <w:highlight w:val="none"/>
          <w:lang w:val="zh-CN"/>
        </w:rPr>
        <w:t>。</w:t>
      </w:r>
    </w:p>
    <w:p w14:paraId="4165CB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（2）我方已经详细审查了全部磋商文件，我方已完全清晰理解磋商文件的要求，不存在任何含糊不清和误解之处，同意放弃对这些文件所提出的异议和质疑的权利。</w:t>
      </w:r>
    </w:p>
    <w:p w14:paraId="2C3241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（3）我方承诺提供的磋商响应文件的有效期，从磋商响应文件接收截止之日算起，45个“日历天”内保持有效。</w:t>
      </w:r>
    </w:p>
    <w:p w14:paraId="5C80E5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（4）我方愿意提供采购人在磋商文件中要求的所有资料。</w:t>
      </w:r>
    </w:p>
    <w:p w14:paraId="188102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（5）我方承诺在本次磋商响应中提供的一切文件，无论是原件还是复印件均真实有效，绝无任何虚假、伪造和夸大的成份。否则，愿承担相应的后果和法律责任。</w:t>
      </w:r>
    </w:p>
    <w:p w14:paraId="6E9904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（6）我方尊重评审小组所作评定结果，同时也清楚理解到磋商报价最低并非意味着必定获得中标或成交资格。</w:t>
      </w:r>
    </w:p>
    <w:p w14:paraId="4C0988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（7）一旦我方成交，我方将根据磋商文件的规定，严格履行磋商文件中规定的每一项要求，按期、按质、按量履行合同的义务。</w:t>
      </w:r>
    </w:p>
    <w:p w14:paraId="10963A0D">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磋商响应供应商：（盖</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公章）</w:t>
      </w:r>
    </w:p>
    <w:p w14:paraId="5CD45BDB">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签字或盖章</w:t>
      </w:r>
      <w:r>
        <w:rPr>
          <w:rFonts w:hint="eastAsia" w:ascii="宋体" w:hAnsi="宋体" w:cs="宋体"/>
          <w:bCs/>
          <w:color w:val="auto"/>
          <w:sz w:val="24"/>
          <w:highlight w:val="none"/>
        </w:rPr>
        <w:t>）</w:t>
      </w:r>
    </w:p>
    <w:p w14:paraId="09F4E31F">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4EE0DEA">
      <w:pPr>
        <w:pStyle w:val="18"/>
        <w:rPr>
          <w:rFonts w:ascii="宋体" w:hAnsi="宋体" w:cs="宋体"/>
          <w:color w:val="auto"/>
          <w:highlight w:val="none"/>
        </w:rPr>
      </w:pPr>
    </w:p>
    <w:p w14:paraId="27846D6D">
      <w:pPr>
        <w:widowControl/>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D78CE5A">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第三部分格式：</w:t>
      </w:r>
    </w:p>
    <w:p w14:paraId="71B52CC3">
      <w:pPr>
        <w:snapToGrid w:val="0"/>
        <w:spacing w:line="300" w:lineRule="auto"/>
        <w:contextualSpacing/>
        <w:rPr>
          <w:rFonts w:ascii="宋体" w:hAnsi="宋体" w:cs="宋体"/>
          <w:color w:val="auto"/>
          <w:sz w:val="32"/>
          <w:szCs w:val="32"/>
          <w:highlight w:val="none"/>
        </w:rPr>
      </w:pPr>
    </w:p>
    <w:p w14:paraId="61C545AD">
      <w:pPr>
        <w:autoSpaceDE w:val="0"/>
        <w:autoSpaceDN w:val="0"/>
        <w:adjustRightInd w:val="0"/>
        <w:jc w:val="center"/>
        <w:rPr>
          <w:rFonts w:ascii="宋体" w:hAnsi="宋体" w:cs="宋体"/>
          <w:b/>
          <w:color w:val="auto"/>
          <w:sz w:val="32"/>
          <w:szCs w:val="32"/>
          <w:highlight w:val="none"/>
        </w:rPr>
      </w:pPr>
    </w:p>
    <w:p w14:paraId="5E354D33">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2026年南通市公路事业发展中心基础环境与安全运维服务项目</w:t>
      </w:r>
    </w:p>
    <w:p w14:paraId="3FD3934F">
      <w:pPr>
        <w:pStyle w:val="18"/>
        <w:rPr>
          <w:rFonts w:ascii="宋体" w:hAnsi="宋体" w:cs="宋体"/>
          <w:color w:val="auto"/>
          <w:highlight w:val="none"/>
        </w:rPr>
      </w:pPr>
    </w:p>
    <w:p w14:paraId="0FE7457D">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2026AQYW</w:t>
      </w:r>
    </w:p>
    <w:p w14:paraId="7D850102">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rPr>
      </w:pPr>
      <w:r>
        <w:rPr>
          <w:rFonts w:hint="eastAsia" w:ascii="宋体" w:hAnsi="宋体" w:cs="宋体"/>
          <w:b/>
          <w:color w:val="auto"/>
          <w:w w:val="80"/>
          <w:sz w:val="32"/>
          <w:szCs w:val="32"/>
          <w:highlight w:val="none"/>
        </w:rPr>
        <w:t>档案编号：20251122</w:t>
      </w:r>
    </w:p>
    <w:p w14:paraId="1D230B55">
      <w:pPr>
        <w:tabs>
          <w:tab w:val="left" w:pos="6300"/>
        </w:tabs>
        <w:snapToGrid w:val="0"/>
        <w:spacing w:line="300" w:lineRule="auto"/>
        <w:jc w:val="center"/>
        <w:rPr>
          <w:rFonts w:ascii="宋体" w:hAnsi="宋体" w:cs="宋体"/>
          <w:b/>
          <w:color w:val="auto"/>
          <w:w w:val="80"/>
          <w:sz w:val="32"/>
          <w:szCs w:val="32"/>
          <w:highlight w:val="none"/>
        </w:rPr>
      </w:pPr>
    </w:p>
    <w:p w14:paraId="095C33E7">
      <w:pPr>
        <w:tabs>
          <w:tab w:val="left" w:pos="6300"/>
        </w:tabs>
        <w:snapToGrid w:val="0"/>
        <w:spacing w:line="300" w:lineRule="auto"/>
        <w:jc w:val="center"/>
        <w:rPr>
          <w:rFonts w:ascii="宋体" w:hAnsi="宋体" w:cs="宋体"/>
          <w:b/>
          <w:color w:val="auto"/>
          <w:w w:val="80"/>
          <w:sz w:val="32"/>
          <w:szCs w:val="32"/>
          <w:highlight w:val="none"/>
        </w:rPr>
      </w:pPr>
    </w:p>
    <w:p w14:paraId="4660CE92">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1A90E388">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（价格响应文件）</w:t>
      </w:r>
    </w:p>
    <w:p w14:paraId="4215A6B4">
      <w:pPr>
        <w:spacing w:after="60"/>
        <w:jc w:val="center"/>
        <w:rPr>
          <w:rFonts w:ascii="宋体" w:hAnsi="宋体" w:cs="宋体"/>
          <w:b/>
          <w:bCs/>
          <w:color w:val="auto"/>
          <w:sz w:val="72"/>
          <w:szCs w:val="72"/>
          <w:highlight w:val="none"/>
        </w:rPr>
      </w:pPr>
    </w:p>
    <w:p w14:paraId="1E181A60">
      <w:pPr>
        <w:spacing w:after="60"/>
        <w:jc w:val="center"/>
        <w:rPr>
          <w:rFonts w:ascii="宋体" w:hAnsi="宋体" w:cs="宋体"/>
          <w:b/>
          <w:bCs/>
          <w:color w:val="auto"/>
          <w:sz w:val="72"/>
          <w:szCs w:val="72"/>
          <w:highlight w:val="none"/>
        </w:rPr>
      </w:pPr>
    </w:p>
    <w:p w14:paraId="140985A3">
      <w:pPr>
        <w:spacing w:after="60"/>
        <w:jc w:val="center"/>
        <w:rPr>
          <w:rFonts w:ascii="宋体" w:hAnsi="宋体" w:cs="宋体"/>
          <w:b/>
          <w:bCs/>
          <w:color w:val="auto"/>
          <w:sz w:val="72"/>
          <w:szCs w:val="72"/>
          <w:highlight w:val="none"/>
        </w:rPr>
      </w:pPr>
    </w:p>
    <w:p w14:paraId="05A0DCE0">
      <w:pPr>
        <w:spacing w:after="60"/>
        <w:jc w:val="center"/>
        <w:rPr>
          <w:rFonts w:ascii="宋体" w:hAnsi="宋体" w:cs="宋体"/>
          <w:b/>
          <w:bCs/>
          <w:color w:val="auto"/>
          <w:sz w:val="72"/>
          <w:szCs w:val="72"/>
          <w:highlight w:val="none"/>
        </w:rPr>
      </w:pPr>
    </w:p>
    <w:p w14:paraId="2E1BEAFE">
      <w:pPr>
        <w:pStyle w:val="18"/>
        <w:ind w:left="0" w:leftChars="0" w:firstLine="0" w:firstLineChars="0"/>
        <w:rPr>
          <w:rFonts w:ascii="宋体" w:hAnsi="宋体" w:cs="宋体"/>
          <w:b/>
          <w:bCs/>
          <w:color w:val="auto"/>
          <w:sz w:val="72"/>
          <w:szCs w:val="72"/>
          <w:highlight w:val="none"/>
        </w:rPr>
      </w:pPr>
    </w:p>
    <w:p w14:paraId="481FEC02">
      <w:pPr>
        <w:spacing w:after="60"/>
        <w:jc w:val="center"/>
        <w:rPr>
          <w:rFonts w:ascii="宋体" w:hAnsi="宋体" w:cs="宋体"/>
          <w:b/>
          <w:bCs/>
          <w:color w:val="auto"/>
          <w:sz w:val="72"/>
          <w:szCs w:val="72"/>
          <w:highlight w:val="none"/>
        </w:rPr>
      </w:pPr>
    </w:p>
    <w:p w14:paraId="6286CFE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0239B32A">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14235010">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50B60366">
      <w:pPr>
        <w:widowControl/>
        <w:jc w:val="left"/>
        <w:rPr>
          <w:rFonts w:ascii="宋体" w:hAnsi="宋体" w:cs="宋体"/>
          <w:color w:val="auto"/>
          <w:sz w:val="32"/>
          <w:szCs w:val="32"/>
          <w:highlight w:val="none"/>
        </w:rPr>
      </w:pPr>
    </w:p>
    <w:p w14:paraId="2F28F77B">
      <w:pPr>
        <w:snapToGrid w:val="0"/>
        <w:spacing w:line="30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61C888BD">
      <w:pPr>
        <w:snapToGrid w:val="0"/>
        <w:jc w:val="center"/>
        <w:rPr>
          <w:rFonts w:ascii="宋体" w:hAnsi="宋体" w:cs="宋体"/>
          <w:b/>
          <w:color w:val="auto"/>
          <w:sz w:val="36"/>
          <w:szCs w:val="36"/>
          <w:highlight w:val="none"/>
        </w:rPr>
      </w:pPr>
      <w:r>
        <w:rPr>
          <w:rFonts w:hint="eastAsia" w:ascii="宋体" w:hAnsi="宋体" w:cs="宋体"/>
          <w:b/>
          <w:color w:val="auto"/>
          <w:sz w:val="36"/>
          <w:szCs w:val="36"/>
          <w:highlight w:val="none"/>
        </w:rPr>
        <w:t>磋商报价总表</w:t>
      </w:r>
    </w:p>
    <w:tbl>
      <w:tblPr>
        <w:tblStyle w:val="19"/>
        <w:tblW w:w="9597" w:type="dxa"/>
        <w:tblInd w:w="95" w:type="dxa"/>
        <w:tblLayout w:type="fixed"/>
        <w:tblCellMar>
          <w:top w:w="0" w:type="dxa"/>
          <w:left w:w="108" w:type="dxa"/>
          <w:bottom w:w="0" w:type="dxa"/>
          <w:right w:w="108" w:type="dxa"/>
        </w:tblCellMar>
      </w:tblPr>
      <w:tblGrid>
        <w:gridCol w:w="2990"/>
        <w:gridCol w:w="3638"/>
        <w:gridCol w:w="236"/>
        <w:gridCol w:w="1513"/>
        <w:gridCol w:w="980"/>
        <w:gridCol w:w="240"/>
      </w:tblGrid>
      <w:tr w14:paraId="5F739BA9">
        <w:tblPrEx>
          <w:tblCellMar>
            <w:top w:w="0" w:type="dxa"/>
            <w:left w:w="108" w:type="dxa"/>
            <w:bottom w:w="0" w:type="dxa"/>
            <w:right w:w="108" w:type="dxa"/>
          </w:tblCellMar>
        </w:tblPrEx>
        <w:trPr>
          <w:trHeight w:val="405" w:hRule="atLeast"/>
        </w:trPr>
        <w:tc>
          <w:tcPr>
            <w:tcW w:w="2990" w:type="dxa"/>
            <w:tcBorders>
              <w:top w:val="nil"/>
              <w:left w:val="nil"/>
              <w:bottom w:val="nil"/>
              <w:right w:val="nil"/>
            </w:tcBorders>
            <w:noWrap/>
            <w:vAlign w:val="center"/>
          </w:tcPr>
          <w:p w14:paraId="7D55F9C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tc>
        <w:tc>
          <w:tcPr>
            <w:tcW w:w="3638" w:type="dxa"/>
            <w:tcBorders>
              <w:top w:val="nil"/>
              <w:left w:val="nil"/>
              <w:bottom w:val="nil"/>
              <w:right w:val="nil"/>
            </w:tcBorders>
            <w:noWrap/>
            <w:vAlign w:val="center"/>
          </w:tcPr>
          <w:p w14:paraId="544006F2">
            <w:pPr>
              <w:widowControl/>
              <w:spacing w:line="240" w:lineRule="exact"/>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14:paraId="12AAFF53">
            <w:pPr>
              <w:widowControl/>
              <w:spacing w:line="240" w:lineRule="exact"/>
              <w:jc w:val="left"/>
              <w:rPr>
                <w:rFonts w:ascii="宋体" w:hAnsi="宋体" w:cs="宋体"/>
                <w:color w:val="auto"/>
                <w:kern w:val="0"/>
                <w:sz w:val="24"/>
                <w:highlight w:val="none"/>
              </w:rPr>
            </w:pPr>
          </w:p>
        </w:tc>
        <w:tc>
          <w:tcPr>
            <w:tcW w:w="2493" w:type="dxa"/>
            <w:gridSpan w:val="2"/>
            <w:tcBorders>
              <w:top w:val="nil"/>
              <w:left w:val="nil"/>
              <w:bottom w:val="nil"/>
              <w:right w:val="nil"/>
            </w:tcBorders>
            <w:noWrap/>
            <w:vAlign w:val="center"/>
          </w:tcPr>
          <w:p w14:paraId="372C9F11">
            <w:pPr>
              <w:widowControl/>
              <w:spacing w:line="240" w:lineRule="exact"/>
              <w:jc w:val="left"/>
              <w:rPr>
                <w:rFonts w:ascii="宋体" w:hAnsi="宋体" w:cs="宋体"/>
                <w:color w:val="auto"/>
                <w:kern w:val="0"/>
                <w:sz w:val="24"/>
                <w:highlight w:val="none"/>
              </w:rPr>
            </w:pPr>
          </w:p>
        </w:tc>
        <w:tc>
          <w:tcPr>
            <w:tcW w:w="240" w:type="dxa"/>
            <w:tcBorders>
              <w:top w:val="nil"/>
              <w:left w:val="nil"/>
              <w:bottom w:val="nil"/>
              <w:right w:val="nil"/>
            </w:tcBorders>
            <w:noWrap/>
            <w:vAlign w:val="center"/>
          </w:tcPr>
          <w:p w14:paraId="6A99F4A9">
            <w:pPr>
              <w:widowControl/>
              <w:spacing w:line="240" w:lineRule="exact"/>
              <w:jc w:val="left"/>
              <w:rPr>
                <w:rFonts w:ascii="宋体" w:hAnsi="宋体" w:cs="宋体"/>
                <w:color w:val="auto"/>
                <w:kern w:val="0"/>
                <w:sz w:val="24"/>
                <w:highlight w:val="none"/>
              </w:rPr>
            </w:pPr>
          </w:p>
        </w:tc>
      </w:tr>
      <w:tr w14:paraId="17DAB564">
        <w:tblPrEx>
          <w:tblCellMar>
            <w:top w:w="0" w:type="dxa"/>
            <w:left w:w="108" w:type="dxa"/>
            <w:bottom w:w="0" w:type="dxa"/>
            <w:right w:w="108" w:type="dxa"/>
          </w:tblCellMar>
        </w:tblPrEx>
        <w:trPr>
          <w:trHeight w:val="420" w:hRule="atLeast"/>
        </w:trPr>
        <w:tc>
          <w:tcPr>
            <w:tcW w:w="2990" w:type="dxa"/>
            <w:tcBorders>
              <w:top w:val="nil"/>
              <w:left w:val="nil"/>
              <w:bottom w:val="nil"/>
              <w:right w:val="nil"/>
            </w:tcBorders>
            <w:noWrap/>
            <w:vAlign w:val="center"/>
          </w:tcPr>
          <w:p w14:paraId="0D6840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tc>
        <w:tc>
          <w:tcPr>
            <w:tcW w:w="3638" w:type="dxa"/>
            <w:tcBorders>
              <w:top w:val="nil"/>
              <w:left w:val="nil"/>
              <w:bottom w:val="nil"/>
              <w:right w:val="nil"/>
            </w:tcBorders>
            <w:noWrap/>
            <w:vAlign w:val="center"/>
          </w:tcPr>
          <w:p w14:paraId="65FAC6EF">
            <w:pPr>
              <w:widowControl/>
              <w:spacing w:line="240" w:lineRule="exact"/>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14:paraId="19AFBCD8">
            <w:pPr>
              <w:widowControl/>
              <w:spacing w:line="240" w:lineRule="exact"/>
              <w:jc w:val="left"/>
              <w:rPr>
                <w:rFonts w:ascii="宋体" w:hAnsi="宋体" w:cs="宋体"/>
                <w:color w:val="auto"/>
                <w:kern w:val="0"/>
                <w:sz w:val="24"/>
                <w:highlight w:val="none"/>
              </w:rPr>
            </w:pPr>
          </w:p>
        </w:tc>
        <w:tc>
          <w:tcPr>
            <w:tcW w:w="2493" w:type="dxa"/>
            <w:gridSpan w:val="2"/>
            <w:tcBorders>
              <w:top w:val="nil"/>
              <w:left w:val="nil"/>
              <w:bottom w:val="nil"/>
              <w:right w:val="nil"/>
            </w:tcBorders>
            <w:noWrap/>
            <w:vAlign w:val="center"/>
          </w:tcPr>
          <w:p w14:paraId="7B770D2C">
            <w:pPr>
              <w:widowControl/>
              <w:spacing w:line="240" w:lineRule="exact"/>
              <w:jc w:val="left"/>
              <w:rPr>
                <w:rFonts w:ascii="宋体" w:hAnsi="宋体" w:cs="宋体"/>
                <w:color w:val="auto"/>
                <w:kern w:val="0"/>
                <w:sz w:val="24"/>
                <w:highlight w:val="none"/>
              </w:rPr>
            </w:pPr>
          </w:p>
        </w:tc>
        <w:tc>
          <w:tcPr>
            <w:tcW w:w="240" w:type="dxa"/>
            <w:tcBorders>
              <w:top w:val="nil"/>
              <w:left w:val="nil"/>
              <w:bottom w:val="nil"/>
              <w:right w:val="nil"/>
            </w:tcBorders>
            <w:noWrap/>
            <w:vAlign w:val="center"/>
          </w:tcPr>
          <w:p w14:paraId="74B0A13F">
            <w:pPr>
              <w:widowControl/>
              <w:spacing w:line="240" w:lineRule="exact"/>
              <w:jc w:val="left"/>
              <w:rPr>
                <w:rFonts w:ascii="宋体" w:hAnsi="宋体" w:cs="宋体"/>
                <w:color w:val="auto"/>
                <w:kern w:val="0"/>
                <w:sz w:val="24"/>
                <w:highlight w:val="none"/>
              </w:rPr>
            </w:pPr>
          </w:p>
        </w:tc>
      </w:tr>
      <w:tr w14:paraId="6FB78EB9">
        <w:tblPrEx>
          <w:tblCellMar>
            <w:top w:w="0" w:type="dxa"/>
            <w:left w:w="108" w:type="dxa"/>
            <w:bottom w:w="0" w:type="dxa"/>
            <w:right w:w="108" w:type="dxa"/>
          </w:tblCellMar>
        </w:tblPrEx>
        <w:trPr>
          <w:gridAfter w:val="2"/>
          <w:wAfter w:w="1220" w:type="dxa"/>
          <w:trHeight w:val="383" w:hRule="atLeast"/>
        </w:trPr>
        <w:tc>
          <w:tcPr>
            <w:tcW w:w="2990" w:type="dxa"/>
            <w:vMerge w:val="restart"/>
            <w:tcBorders>
              <w:top w:val="single" w:color="auto" w:sz="4" w:space="0"/>
              <w:left w:val="single" w:color="auto" w:sz="4" w:space="0"/>
              <w:bottom w:val="single" w:color="auto" w:sz="4" w:space="0"/>
              <w:right w:val="single" w:color="auto" w:sz="4" w:space="0"/>
            </w:tcBorders>
            <w:noWrap/>
            <w:vAlign w:val="center"/>
          </w:tcPr>
          <w:p w14:paraId="7D4C7A3E">
            <w:pPr>
              <w:widowControl/>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投标总报价</w:t>
            </w:r>
          </w:p>
        </w:tc>
        <w:tc>
          <w:tcPr>
            <w:tcW w:w="5387" w:type="dxa"/>
            <w:gridSpan w:val="3"/>
            <w:tcBorders>
              <w:top w:val="single" w:color="auto" w:sz="4" w:space="0"/>
              <w:left w:val="nil"/>
              <w:bottom w:val="single" w:color="auto" w:sz="4" w:space="0"/>
              <w:right w:val="single" w:color="auto" w:sz="4" w:space="0"/>
            </w:tcBorders>
            <w:noWrap/>
            <w:vAlign w:val="center"/>
          </w:tcPr>
          <w:p w14:paraId="2621F2E9">
            <w:pPr>
              <w:widowControl/>
              <w:spacing w:line="2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大写：</w:t>
            </w:r>
          </w:p>
        </w:tc>
      </w:tr>
      <w:tr w14:paraId="2B01B502">
        <w:tblPrEx>
          <w:tblCellMar>
            <w:top w:w="0" w:type="dxa"/>
            <w:left w:w="108" w:type="dxa"/>
            <w:bottom w:w="0" w:type="dxa"/>
            <w:right w:w="108" w:type="dxa"/>
          </w:tblCellMar>
        </w:tblPrEx>
        <w:trPr>
          <w:gridAfter w:val="2"/>
          <w:wAfter w:w="1220" w:type="dxa"/>
          <w:trHeight w:val="417" w:hRule="atLeast"/>
        </w:trPr>
        <w:tc>
          <w:tcPr>
            <w:tcW w:w="2990" w:type="dxa"/>
            <w:vMerge w:val="continue"/>
            <w:tcBorders>
              <w:top w:val="single" w:color="auto" w:sz="4" w:space="0"/>
              <w:left w:val="single" w:color="auto" w:sz="4" w:space="0"/>
              <w:bottom w:val="single" w:color="auto" w:sz="4" w:space="0"/>
              <w:right w:val="single" w:color="auto" w:sz="4" w:space="0"/>
            </w:tcBorders>
            <w:vAlign w:val="center"/>
          </w:tcPr>
          <w:p w14:paraId="23AAEA89">
            <w:pPr>
              <w:widowControl/>
              <w:spacing w:line="240" w:lineRule="exact"/>
              <w:jc w:val="center"/>
              <w:rPr>
                <w:rFonts w:ascii="宋体" w:hAnsi="宋体" w:cs="宋体"/>
                <w:color w:val="auto"/>
                <w:kern w:val="0"/>
                <w:sz w:val="24"/>
                <w:highlight w:val="none"/>
              </w:rPr>
            </w:pPr>
          </w:p>
        </w:tc>
        <w:tc>
          <w:tcPr>
            <w:tcW w:w="5387" w:type="dxa"/>
            <w:gridSpan w:val="3"/>
            <w:tcBorders>
              <w:top w:val="single" w:color="auto" w:sz="4" w:space="0"/>
              <w:left w:val="nil"/>
              <w:bottom w:val="single" w:color="auto" w:sz="4" w:space="0"/>
              <w:right w:val="single" w:color="auto" w:sz="4" w:space="0"/>
            </w:tcBorders>
            <w:noWrap/>
            <w:vAlign w:val="center"/>
          </w:tcPr>
          <w:p w14:paraId="2845C401">
            <w:pPr>
              <w:widowControl/>
              <w:spacing w:line="2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小写：</w:t>
            </w:r>
          </w:p>
        </w:tc>
      </w:tr>
    </w:tbl>
    <w:p w14:paraId="36349554">
      <w:pPr>
        <w:snapToGrid w:val="0"/>
        <w:spacing w:line="360" w:lineRule="auto"/>
        <w:ind w:firstLine="480" w:firstLineChars="200"/>
        <w:contextualSpacing/>
        <w:jc w:val="left"/>
        <w:rPr>
          <w:rFonts w:ascii="宋体" w:hAnsi="宋体" w:cs="宋体"/>
          <w:color w:val="auto"/>
          <w:sz w:val="24"/>
          <w:highlight w:val="none"/>
        </w:rPr>
      </w:pPr>
    </w:p>
    <w:p w14:paraId="135446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4E058263">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0B9B1AE8">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25C16B2D">
      <w:pPr>
        <w:snapToGrid w:val="0"/>
        <w:spacing w:line="360" w:lineRule="auto"/>
        <w:ind w:firstLine="480" w:firstLineChars="200"/>
        <w:contextualSpacing/>
        <w:jc w:val="left"/>
        <w:rPr>
          <w:rFonts w:ascii="宋体" w:hAnsi="宋体" w:cs="宋体"/>
          <w:color w:val="auto"/>
          <w:sz w:val="24"/>
          <w:highlight w:val="none"/>
        </w:rPr>
      </w:pPr>
    </w:p>
    <w:p w14:paraId="6FBA55E6">
      <w:pPr>
        <w:pStyle w:val="18"/>
        <w:rPr>
          <w:rFonts w:ascii="宋体" w:hAnsi="宋体" w:cs="宋体"/>
          <w:color w:val="auto"/>
          <w:highlight w:val="none"/>
        </w:rPr>
      </w:pPr>
    </w:p>
    <w:p w14:paraId="3D43B531">
      <w:pPr>
        <w:pStyle w:val="18"/>
        <w:rPr>
          <w:rFonts w:ascii="宋体" w:hAnsi="宋体" w:cs="宋体"/>
          <w:color w:val="auto"/>
          <w:highlight w:val="none"/>
        </w:rPr>
      </w:pPr>
    </w:p>
    <w:p w14:paraId="39653581">
      <w:pPr>
        <w:pStyle w:val="18"/>
        <w:rPr>
          <w:rFonts w:ascii="宋体" w:hAnsi="宋体" w:cs="宋体"/>
          <w:color w:val="auto"/>
          <w:highlight w:val="none"/>
        </w:rPr>
      </w:pPr>
    </w:p>
    <w:p w14:paraId="7E8B7B14">
      <w:pPr>
        <w:pStyle w:val="18"/>
        <w:rPr>
          <w:rFonts w:ascii="宋体" w:hAnsi="宋体" w:cs="宋体"/>
          <w:color w:val="auto"/>
          <w:highlight w:val="none"/>
        </w:rPr>
      </w:pPr>
    </w:p>
    <w:p w14:paraId="5421458A">
      <w:pPr>
        <w:snapToGrid w:val="0"/>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kern w:val="0"/>
          <w:sz w:val="24"/>
          <w:highlight w:val="none"/>
        </w:rPr>
        <w:t>供应商此表为首轮报价，最终报价在磋商现场填写</w:t>
      </w:r>
      <w:r>
        <w:rPr>
          <w:rFonts w:hint="eastAsia" w:ascii="宋体" w:hAnsi="宋体" w:cs="宋体"/>
          <w:color w:val="auto"/>
          <w:sz w:val="24"/>
          <w:highlight w:val="none"/>
        </w:rPr>
        <w:t>。</w:t>
      </w:r>
      <w:r>
        <w:rPr>
          <w:rFonts w:hint="eastAsia" w:ascii="宋体" w:hAnsi="宋体" w:cs="宋体"/>
          <w:b/>
          <w:color w:val="auto"/>
          <w:kern w:val="0"/>
          <w:sz w:val="24"/>
          <w:highlight w:val="none"/>
        </w:rPr>
        <w:t>响应文件密封提交时只需填写磋商报价总计（首次）的报价。</w:t>
      </w:r>
    </w:p>
    <w:p w14:paraId="131111BD">
      <w:pPr>
        <w:widowControl/>
        <w:jc w:val="left"/>
        <w:rPr>
          <w:rFonts w:ascii="宋体" w:hAnsi="宋体" w:cs="宋体"/>
          <w:color w:val="auto"/>
          <w:highlight w:val="none"/>
        </w:rPr>
      </w:pPr>
    </w:p>
    <w:p w14:paraId="3578BFB8">
      <w:pPr>
        <w:pStyle w:val="18"/>
        <w:rPr>
          <w:rFonts w:ascii="宋体" w:hAnsi="宋体" w:cs="宋体"/>
          <w:color w:val="auto"/>
          <w:highlight w:val="none"/>
        </w:rPr>
        <w:sectPr>
          <w:footerReference r:id="rId5" w:type="default"/>
          <w:pgSz w:w="11905" w:h="16838"/>
          <w:pgMar w:top="1429" w:right="1429" w:bottom="1429" w:left="1429" w:header="850" w:footer="992" w:gutter="0"/>
          <w:cols w:space="0" w:num="1"/>
          <w:rtlGutter w:val="0"/>
          <w:docGrid w:linePitch="286" w:charSpace="0"/>
        </w:sectPr>
      </w:pPr>
      <w:r>
        <w:rPr>
          <w:rFonts w:hint="eastAsia" w:ascii="宋体" w:hAnsi="宋体" w:cs="宋体"/>
          <w:color w:val="auto"/>
          <w:highlight w:val="none"/>
        </w:rPr>
        <w:br w:type="page"/>
      </w:r>
    </w:p>
    <w:p w14:paraId="29F30DA1">
      <w:pPr>
        <w:widowControl/>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附件2：</w:t>
      </w:r>
      <w:bookmarkStart w:id="152" w:name="_Toc217446086"/>
    </w:p>
    <w:bookmarkEnd w:id="152"/>
    <w:p w14:paraId="3943BDE2">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分项报价明细表</w:t>
      </w:r>
    </w:p>
    <w:p w14:paraId="773D60B3">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项目名称：</w:t>
      </w:r>
    </w:p>
    <w:tbl>
      <w:tblPr>
        <w:tblStyle w:val="20"/>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4678"/>
        <w:gridCol w:w="596"/>
        <w:gridCol w:w="457"/>
        <w:gridCol w:w="1176"/>
        <w:gridCol w:w="1166"/>
        <w:gridCol w:w="653"/>
      </w:tblGrid>
      <w:tr w14:paraId="4EE2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66" w:type="dxa"/>
            <w:vAlign w:val="center"/>
          </w:tcPr>
          <w:p w14:paraId="4E5B9BD0">
            <w:pPr>
              <w:snapToGrid w:val="0"/>
              <w:ind w:left="0" w:leftChars="0" w:right="0" w:rightChars="0" w:firstLine="0" w:firstLineChars="0"/>
              <w:jc w:val="center"/>
              <w:rPr>
                <w:rFonts w:hint="default" w:ascii="仿宋_GB2312" w:hAnsi="仿宋_GB2312" w:eastAsia="仿宋_GB2312" w:cs="仿宋_GB2312"/>
                <w:b/>
                <w:bCs/>
                <w:color w:val="000000"/>
                <w:sz w:val="21"/>
                <w:szCs w:val="21"/>
                <w:highlight w:val="none"/>
                <w:u w:val="none"/>
                <w:lang w:val="en-US" w:eastAsia="zh-CN"/>
              </w:rPr>
            </w:pPr>
            <w:r>
              <w:rPr>
                <w:rFonts w:hint="eastAsia" w:ascii="仿宋_GB2312" w:hAnsi="仿宋_GB2312" w:eastAsia="仿宋_GB2312" w:cs="仿宋_GB2312"/>
                <w:b/>
                <w:bCs/>
                <w:color w:val="000000"/>
                <w:sz w:val="21"/>
                <w:szCs w:val="21"/>
                <w:highlight w:val="none"/>
                <w:u w:val="none"/>
                <w:lang w:val="en-US" w:eastAsia="zh-CN"/>
              </w:rPr>
              <w:t>序号</w:t>
            </w:r>
          </w:p>
        </w:tc>
        <w:tc>
          <w:tcPr>
            <w:tcW w:w="4678" w:type="dxa"/>
            <w:vAlign w:val="center"/>
          </w:tcPr>
          <w:p w14:paraId="281F95FE">
            <w:pPr>
              <w:snapToGrid w:val="0"/>
              <w:ind w:left="0" w:leftChars="0" w:right="0" w:rightChars="0" w:firstLine="0" w:firstLineChars="0"/>
              <w:jc w:val="center"/>
              <w:rPr>
                <w:rFonts w:hint="default" w:ascii="仿宋_GB2312" w:hAnsi="仿宋_GB2312" w:eastAsia="仿宋_GB2312" w:cs="仿宋_GB2312"/>
                <w:b/>
                <w:bCs/>
                <w:color w:val="000000"/>
                <w:sz w:val="21"/>
                <w:szCs w:val="21"/>
                <w:highlight w:val="none"/>
                <w:u w:val="none"/>
                <w:lang w:val="en-US" w:eastAsia="zh-CN"/>
              </w:rPr>
            </w:pPr>
            <w:r>
              <w:rPr>
                <w:rFonts w:hint="eastAsia" w:ascii="仿宋_GB2312" w:hAnsi="仿宋_GB2312" w:eastAsia="仿宋_GB2312" w:cs="仿宋_GB2312"/>
                <w:b/>
                <w:bCs/>
                <w:color w:val="000000"/>
                <w:sz w:val="21"/>
                <w:szCs w:val="21"/>
                <w:highlight w:val="none"/>
                <w:u w:val="none"/>
                <w:lang w:val="en-US" w:eastAsia="zh-CN"/>
              </w:rPr>
              <w:t>项目名称</w:t>
            </w:r>
          </w:p>
        </w:tc>
        <w:tc>
          <w:tcPr>
            <w:tcW w:w="596" w:type="dxa"/>
            <w:vAlign w:val="center"/>
          </w:tcPr>
          <w:p w14:paraId="5567DE0D">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lang w:eastAsia="zh-CN"/>
              </w:rPr>
            </w:pPr>
            <w:r>
              <w:rPr>
                <w:rFonts w:hint="eastAsia" w:ascii="仿宋_GB2312" w:hAnsi="仿宋_GB2312" w:eastAsia="仿宋_GB2312" w:cs="仿宋_GB2312"/>
                <w:b/>
                <w:bCs/>
                <w:color w:val="000000"/>
                <w:sz w:val="21"/>
                <w:szCs w:val="21"/>
                <w:highlight w:val="none"/>
                <w:u w:val="none"/>
                <w:lang w:val="en-US" w:eastAsia="zh-CN"/>
              </w:rPr>
              <w:t>数量</w:t>
            </w:r>
          </w:p>
        </w:tc>
        <w:tc>
          <w:tcPr>
            <w:tcW w:w="457" w:type="dxa"/>
            <w:vAlign w:val="center"/>
          </w:tcPr>
          <w:p w14:paraId="113C2412">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lang w:val="en-US" w:eastAsia="zh-CN"/>
              </w:rPr>
            </w:pPr>
            <w:r>
              <w:rPr>
                <w:rFonts w:hint="eastAsia" w:ascii="仿宋_GB2312" w:hAnsi="仿宋_GB2312" w:eastAsia="仿宋_GB2312" w:cs="仿宋_GB2312"/>
                <w:b/>
                <w:bCs/>
                <w:color w:val="000000"/>
                <w:sz w:val="21"/>
                <w:szCs w:val="21"/>
                <w:highlight w:val="none"/>
                <w:u w:val="none"/>
                <w:lang w:val="en-US" w:eastAsia="zh-CN"/>
              </w:rPr>
              <w:t>单位</w:t>
            </w:r>
          </w:p>
        </w:tc>
        <w:tc>
          <w:tcPr>
            <w:tcW w:w="1176" w:type="dxa"/>
            <w:vAlign w:val="center"/>
          </w:tcPr>
          <w:p w14:paraId="5E689CC7">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rPr>
            </w:pPr>
            <w:r>
              <w:rPr>
                <w:rFonts w:hint="eastAsia" w:ascii="仿宋_GB2312" w:hAnsi="仿宋_GB2312" w:eastAsia="仿宋_GB2312" w:cs="仿宋_GB2312"/>
                <w:b/>
                <w:bCs/>
                <w:color w:val="000000"/>
                <w:sz w:val="21"/>
                <w:szCs w:val="21"/>
                <w:highlight w:val="none"/>
                <w:u w:val="none"/>
              </w:rPr>
              <w:t>单价</w:t>
            </w:r>
          </w:p>
          <w:p w14:paraId="05911417">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rPr>
            </w:pPr>
            <w:r>
              <w:rPr>
                <w:rFonts w:hint="eastAsia" w:ascii="仿宋_GB2312" w:hAnsi="仿宋_GB2312" w:eastAsia="仿宋_GB2312" w:cs="仿宋_GB2312"/>
                <w:b/>
                <w:bCs/>
                <w:color w:val="000000"/>
                <w:sz w:val="21"/>
                <w:szCs w:val="21"/>
                <w:highlight w:val="none"/>
                <w:u w:val="none"/>
              </w:rPr>
              <w:t>（万元）</w:t>
            </w:r>
          </w:p>
        </w:tc>
        <w:tc>
          <w:tcPr>
            <w:tcW w:w="1166" w:type="dxa"/>
            <w:vAlign w:val="center"/>
          </w:tcPr>
          <w:p w14:paraId="6931CD1B">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rPr>
            </w:pPr>
            <w:r>
              <w:rPr>
                <w:rFonts w:hint="eastAsia" w:ascii="仿宋_GB2312" w:hAnsi="仿宋_GB2312" w:eastAsia="仿宋_GB2312" w:cs="仿宋_GB2312"/>
                <w:b/>
                <w:bCs/>
                <w:color w:val="000000"/>
                <w:sz w:val="21"/>
                <w:szCs w:val="21"/>
                <w:highlight w:val="none"/>
                <w:u w:val="none"/>
                <w:lang w:val="en-US" w:eastAsia="zh-CN"/>
              </w:rPr>
              <w:t>合计</w:t>
            </w:r>
            <w:r>
              <w:rPr>
                <w:rFonts w:hint="eastAsia" w:ascii="仿宋_GB2312" w:hAnsi="仿宋_GB2312" w:eastAsia="仿宋_GB2312" w:cs="仿宋_GB2312"/>
                <w:b/>
                <w:bCs/>
                <w:color w:val="000000"/>
                <w:sz w:val="21"/>
                <w:szCs w:val="21"/>
                <w:highlight w:val="none"/>
                <w:u w:val="none"/>
              </w:rPr>
              <w:t>金额</w:t>
            </w:r>
          </w:p>
          <w:p w14:paraId="64B523C8">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rPr>
            </w:pPr>
            <w:r>
              <w:rPr>
                <w:rFonts w:hint="eastAsia" w:ascii="仿宋_GB2312" w:hAnsi="仿宋_GB2312" w:eastAsia="仿宋_GB2312" w:cs="仿宋_GB2312"/>
                <w:b/>
                <w:bCs/>
                <w:color w:val="000000"/>
                <w:sz w:val="21"/>
                <w:szCs w:val="21"/>
                <w:highlight w:val="none"/>
                <w:u w:val="none"/>
              </w:rPr>
              <w:t>（万元）</w:t>
            </w:r>
          </w:p>
        </w:tc>
        <w:tc>
          <w:tcPr>
            <w:tcW w:w="653" w:type="dxa"/>
            <w:vAlign w:val="center"/>
          </w:tcPr>
          <w:p w14:paraId="4C90742C">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lang w:val="en-US" w:eastAsia="zh-CN"/>
              </w:rPr>
            </w:pPr>
            <w:r>
              <w:rPr>
                <w:rFonts w:hint="eastAsia" w:ascii="仿宋_GB2312" w:hAnsi="仿宋_GB2312" w:eastAsia="仿宋_GB2312" w:cs="仿宋_GB2312"/>
                <w:b/>
                <w:bCs/>
                <w:color w:val="000000"/>
                <w:sz w:val="21"/>
                <w:szCs w:val="21"/>
                <w:highlight w:val="none"/>
                <w:u w:val="none"/>
                <w:lang w:val="en-US" w:eastAsia="zh-CN"/>
              </w:rPr>
              <w:t>备注</w:t>
            </w:r>
          </w:p>
        </w:tc>
      </w:tr>
      <w:tr w14:paraId="6CDC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66" w:type="dxa"/>
            <w:vAlign w:val="center"/>
          </w:tcPr>
          <w:p w14:paraId="7B6DAAF7">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r>
              <w:rPr>
                <w:rFonts w:hint="default" w:ascii="仿宋_GB2312" w:hAnsi="Calibri" w:eastAsia="仿宋_GB2312" w:cs="Times New Roman"/>
                <w:sz w:val="21"/>
                <w:szCs w:val="21"/>
                <w:highlight w:val="none"/>
                <w:vertAlign w:val="baseline"/>
                <w:lang w:val="en-US"/>
              </w:rPr>
              <w:t>1</w:t>
            </w:r>
          </w:p>
        </w:tc>
        <w:tc>
          <w:tcPr>
            <w:tcW w:w="4678" w:type="dxa"/>
            <w:vAlign w:val="center"/>
          </w:tcPr>
          <w:p w14:paraId="4C970460">
            <w:pPr>
              <w:snapToGrid w:val="0"/>
              <w:ind w:left="0" w:leftChars="0" w:right="0" w:rightChars="0" w:firstLine="0" w:firstLineChars="0"/>
              <w:jc w:val="center"/>
              <w:rPr>
                <w:rFonts w:ascii="仿宋_GB2312" w:hAnsi="Calibri" w:eastAsia="仿宋_GB2312" w:cs="Times New Roman"/>
                <w:sz w:val="21"/>
                <w:szCs w:val="21"/>
                <w:highlight w:val="none"/>
                <w:vertAlign w:val="baseline"/>
              </w:rPr>
            </w:pPr>
            <w:r>
              <w:rPr>
                <w:rFonts w:hint="eastAsia" w:ascii="仿宋_GB2312" w:hAnsi="Calibri" w:eastAsia="仿宋_GB2312" w:cs="Times New Roman"/>
                <w:sz w:val="21"/>
                <w:szCs w:val="21"/>
                <w:highlight w:val="none"/>
                <w:vertAlign w:val="baseline"/>
              </w:rPr>
              <w:t>基础环境运维服务及安全软硬件产品维保服务</w:t>
            </w:r>
          </w:p>
        </w:tc>
        <w:tc>
          <w:tcPr>
            <w:tcW w:w="596" w:type="dxa"/>
            <w:vAlign w:val="center"/>
          </w:tcPr>
          <w:p w14:paraId="5B31E900">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eastAsia="zh-CN"/>
              </w:rPr>
            </w:pPr>
            <w:r>
              <w:rPr>
                <w:rFonts w:hint="eastAsia" w:ascii="仿宋_GB2312" w:hAnsi="仿宋_GB2312" w:eastAsia="仿宋_GB2312" w:cs="仿宋_GB2312"/>
                <w:sz w:val="21"/>
                <w:szCs w:val="21"/>
                <w:highlight w:val="none"/>
                <w:u w:val="none"/>
                <w:lang w:val="en-US" w:eastAsia="zh-CN"/>
              </w:rPr>
              <w:t>1</w:t>
            </w:r>
          </w:p>
        </w:tc>
        <w:tc>
          <w:tcPr>
            <w:tcW w:w="457" w:type="dxa"/>
            <w:vAlign w:val="center"/>
          </w:tcPr>
          <w:p w14:paraId="0F52CF40">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eastAsia="zh-CN"/>
              </w:rPr>
            </w:pPr>
            <w:r>
              <w:rPr>
                <w:rFonts w:hint="eastAsia" w:ascii="仿宋_GB2312" w:hAnsi="Calibri" w:eastAsia="仿宋_GB2312" w:cs="Times New Roman"/>
                <w:sz w:val="21"/>
                <w:szCs w:val="21"/>
                <w:highlight w:val="none"/>
                <w:vertAlign w:val="baseline"/>
                <w:lang w:val="en-US" w:eastAsia="zh-CN"/>
              </w:rPr>
              <w:t>项</w:t>
            </w:r>
          </w:p>
        </w:tc>
        <w:tc>
          <w:tcPr>
            <w:tcW w:w="1176" w:type="dxa"/>
            <w:vAlign w:val="center"/>
          </w:tcPr>
          <w:p w14:paraId="69B62C45">
            <w:pPr>
              <w:snapToGrid w:val="0"/>
              <w:ind w:left="0" w:leftChars="0" w:right="0" w:rightChars="0" w:firstLine="0" w:firstLineChars="0"/>
              <w:jc w:val="center"/>
              <w:rPr>
                <w:rFonts w:ascii="仿宋_GB2312" w:hAnsi="Calibri" w:eastAsia="仿宋_GB2312" w:cs="Times New Roman"/>
                <w:sz w:val="21"/>
                <w:szCs w:val="21"/>
                <w:highlight w:val="none"/>
                <w:vertAlign w:val="baseline"/>
              </w:rPr>
            </w:pPr>
          </w:p>
        </w:tc>
        <w:tc>
          <w:tcPr>
            <w:tcW w:w="1166" w:type="dxa"/>
            <w:shd w:val="clear" w:color="auto" w:fill="auto"/>
            <w:vAlign w:val="center"/>
          </w:tcPr>
          <w:p w14:paraId="285C69A9">
            <w:pPr>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2"/>
                <w:sz w:val="21"/>
                <w:szCs w:val="21"/>
                <w:highlight w:val="none"/>
                <w:u w:val="none"/>
                <w:lang w:val="en-US" w:eastAsia="zh-CN" w:bidi="ar-SA"/>
              </w:rPr>
            </w:pPr>
          </w:p>
        </w:tc>
        <w:tc>
          <w:tcPr>
            <w:tcW w:w="653" w:type="dxa"/>
            <w:shd w:val="clear" w:color="auto" w:fill="auto"/>
            <w:vAlign w:val="center"/>
          </w:tcPr>
          <w:p w14:paraId="05C622A8">
            <w:pPr>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sz w:val="21"/>
                <w:szCs w:val="21"/>
                <w:highlight w:val="none"/>
                <w:u w:val="none"/>
              </w:rPr>
            </w:pPr>
          </w:p>
        </w:tc>
      </w:tr>
      <w:tr w14:paraId="6D55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66" w:type="dxa"/>
            <w:vAlign w:val="center"/>
          </w:tcPr>
          <w:p w14:paraId="74D3DBD7">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r>
              <w:rPr>
                <w:rFonts w:hint="default" w:ascii="仿宋_GB2312" w:hAnsi="Calibri" w:eastAsia="仿宋_GB2312" w:cs="Times New Roman"/>
                <w:sz w:val="21"/>
                <w:szCs w:val="21"/>
                <w:highlight w:val="none"/>
                <w:vertAlign w:val="baseline"/>
                <w:lang w:val="en-US"/>
              </w:rPr>
              <w:t>2</w:t>
            </w:r>
          </w:p>
        </w:tc>
        <w:tc>
          <w:tcPr>
            <w:tcW w:w="4678" w:type="dxa"/>
            <w:vAlign w:val="center"/>
          </w:tcPr>
          <w:p w14:paraId="23F9C37B">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r>
              <w:rPr>
                <w:rFonts w:hint="default" w:ascii="仿宋_GB2312" w:hAnsi="Calibri" w:eastAsia="仿宋_GB2312" w:cs="Times New Roman"/>
                <w:sz w:val="21"/>
                <w:szCs w:val="21"/>
                <w:highlight w:val="none"/>
                <w:vertAlign w:val="baseline"/>
                <w:lang w:val="en-US"/>
              </w:rPr>
              <w:t>网络安全运维服务</w:t>
            </w:r>
          </w:p>
        </w:tc>
        <w:tc>
          <w:tcPr>
            <w:tcW w:w="596" w:type="dxa"/>
            <w:vAlign w:val="center"/>
          </w:tcPr>
          <w:p w14:paraId="7B210EDD">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eastAsia="zh-CN"/>
              </w:rPr>
            </w:pPr>
            <w:r>
              <w:rPr>
                <w:rFonts w:hint="eastAsia" w:ascii="仿宋_GB2312" w:hAnsi="Calibri" w:eastAsia="仿宋_GB2312" w:cs="Times New Roman"/>
                <w:sz w:val="21"/>
                <w:szCs w:val="21"/>
                <w:highlight w:val="none"/>
                <w:vertAlign w:val="baseline"/>
                <w:lang w:val="en-US" w:eastAsia="zh-CN"/>
              </w:rPr>
              <w:t>1</w:t>
            </w:r>
          </w:p>
        </w:tc>
        <w:tc>
          <w:tcPr>
            <w:tcW w:w="457" w:type="dxa"/>
            <w:vAlign w:val="center"/>
          </w:tcPr>
          <w:p w14:paraId="0DD951CF">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r>
              <w:rPr>
                <w:rFonts w:hint="eastAsia" w:ascii="仿宋_GB2312" w:hAnsi="Calibri" w:eastAsia="仿宋_GB2312" w:cs="Times New Roman"/>
                <w:sz w:val="21"/>
                <w:szCs w:val="21"/>
                <w:highlight w:val="none"/>
                <w:vertAlign w:val="baseline"/>
                <w:lang w:val="en-US" w:eastAsia="zh-CN"/>
              </w:rPr>
              <w:t>项</w:t>
            </w:r>
          </w:p>
        </w:tc>
        <w:tc>
          <w:tcPr>
            <w:tcW w:w="1176" w:type="dxa"/>
            <w:vAlign w:val="center"/>
          </w:tcPr>
          <w:p w14:paraId="6C958B98">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p>
        </w:tc>
        <w:tc>
          <w:tcPr>
            <w:tcW w:w="1166" w:type="dxa"/>
            <w:vAlign w:val="center"/>
          </w:tcPr>
          <w:p w14:paraId="07EB62C5">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p>
        </w:tc>
        <w:tc>
          <w:tcPr>
            <w:tcW w:w="653" w:type="dxa"/>
            <w:vAlign w:val="center"/>
          </w:tcPr>
          <w:p w14:paraId="2AFADE6E">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rPr>
            </w:pPr>
          </w:p>
        </w:tc>
      </w:tr>
      <w:tr w14:paraId="72D2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66" w:type="dxa"/>
            <w:vAlign w:val="center"/>
          </w:tcPr>
          <w:p w14:paraId="78913DC9">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eastAsia="zh-CN"/>
              </w:rPr>
            </w:pPr>
            <w:r>
              <w:rPr>
                <w:rFonts w:hint="eastAsia" w:ascii="仿宋_GB2312" w:hAnsi="Calibri" w:eastAsia="仿宋_GB2312" w:cs="Times New Roman"/>
                <w:sz w:val="21"/>
                <w:szCs w:val="21"/>
                <w:highlight w:val="none"/>
                <w:vertAlign w:val="baseline"/>
                <w:lang w:val="en-US" w:eastAsia="zh-CN"/>
              </w:rPr>
              <w:t>3</w:t>
            </w:r>
          </w:p>
        </w:tc>
        <w:tc>
          <w:tcPr>
            <w:tcW w:w="6907" w:type="dxa"/>
            <w:gridSpan w:val="4"/>
            <w:vAlign w:val="center"/>
          </w:tcPr>
          <w:p w14:paraId="5815187D">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eastAsia="zh-CN"/>
              </w:rPr>
            </w:pPr>
            <w:r>
              <w:rPr>
                <w:rFonts w:hint="eastAsia" w:ascii="仿宋_GB2312" w:hAnsi="Calibri" w:eastAsia="仿宋_GB2312" w:cs="Times New Roman"/>
                <w:sz w:val="21"/>
                <w:szCs w:val="21"/>
                <w:highlight w:val="none"/>
                <w:vertAlign w:val="baseline"/>
                <w:lang w:val="en-US" w:eastAsia="zh-CN"/>
              </w:rPr>
              <w:t>合计</w:t>
            </w:r>
          </w:p>
        </w:tc>
        <w:tc>
          <w:tcPr>
            <w:tcW w:w="1166" w:type="dxa"/>
            <w:vAlign w:val="center"/>
          </w:tcPr>
          <w:p w14:paraId="215C4C03">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p>
        </w:tc>
        <w:tc>
          <w:tcPr>
            <w:tcW w:w="653" w:type="dxa"/>
            <w:vAlign w:val="center"/>
          </w:tcPr>
          <w:p w14:paraId="7E91C4AA">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rPr>
            </w:pPr>
          </w:p>
        </w:tc>
      </w:tr>
    </w:tbl>
    <w:p w14:paraId="6649B10A">
      <w:pPr>
        <w:snapToGrid w:val="0"/>
        <w:spacing w:line="360" w:lineRule="auto"/>
        <w:outlineLvl w:val="0"/>
        <w:rPr>
          <w:rFonts w:ascii="宋体" w:hAnsi="宋体" w:cs="宋体"/>
          <w:color w:val="auto"/>
          <w:sz w:val="24"/>
          <w:highlight w:val="none"/>
        </w:rPr>
      </w:pPr>
    </w:p>
    <w:p w14:paraId="580718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p>
    <w:p w14:paraId="070759CD">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color w:val="auto"/>
          <w:sz w:val="24"/>
          <w:highlight w:val="none"/>
          <w:lang w:val="en-US" w:eastAsia="zh-CN"/>
        </w:rPr>
        <w:t>签字或盖章</w:t>
      </w:r>
      <w:r>
        <w:rPr>
          <w:rFonts w:hint="eastAsia" w:ascii="宋体" w:hAnsi="宋体" w:cs="宋体"/>
          <w:color w:val="auto"/>
          <w:sz w:val="24"/>
          <w:highlight w:val="none"/>
        </w:rPr>
        <w:t>）：</w:t>
      </w:r>
    </w:p>
    <w:p w14:paraId="7692FB23">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DF12981">
      <w:pPr>
        <w:snapToGrid w:val="0"/>
        <w:spacing w:line="360" w:lineRule="auto"/>
        <w:outlineLvl w:val="0"/>
        <w:rPr>
          <w:rFonts w:ascii="宋体" w:hAnsi="宋体" w:cs="宋体"/>
          <w:color w:val="auto"/>
          <w:sz w:val="24"/>
          <w:highlight w:val="none"/>
        </w:rPr>
      </w:pPr>
    </w:p>
    <w:p w14:paraId="58F8F750">
      <w:pPr>
        <w:snapToGrid w:val="0"/>
        <w:spacing w:line="360" w:lineRule="auto"/>
        <w:outlineLvl w:val="0"/>
        <w:rPr>
          <w:rFonts w:ascii="宋体" w:hAnsi="宋体" w:cs="宋体"/>
          <w:color w:val="auto"/>
          <w:sz w:val="24"/>
          <w:highlight w:val="none"/>
        </w:rPr>
      </w:pPr>
    </w:p>
    <w:p w14:paraId="20220CF3">
      <w:pPr>
        <w:adjustRightInd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注：供应商必须详细报出本项目投标总报价各个组成部分的报价。且</w:t>
      </w:r>
      <w:r>
        <w:rPr>
          <w:rFonts w:hint="eastAsia" w:ascii="宋体" w:hAnsi="宋体" w:cs="宋体"/>
          <w:b/>
          <w:bCs/>
          <w:color w:val="auto"/>
          <w:sz w:val="24"/>
          <w:highlight w:val="none"/>
        </w:rPr>
        <w:t>本表各分项报价合计应当与</w:t>
      </w:r>
      <w:r>
        <w:rPr>
          <w:rFonts w:hint="eastAsia" w:ascii="宋体" w:hAnsi="宋体" w:cs="宋体"/>
          <w:b/>
          <w:color w:val="auto"/>
          <w:kern w:val="0"/>
          <w:sz w:val="24"/>
          <w:highlight w:val="none"/>
          <w:lang w:val="zh-CN"/>
        </w:rPr>
        <w:t>磋商报价总表</w:t>
      </w:r>
      <w:r>
        <w:rPr>
          <w:rFonts w:hint="eastAsia" w:ascii="宋体" w:hAnsi="宋体" w:cs="宋体"/>
          <w:b/>
          <w:bCs/>
          <w:color w:val="auto"/>
          <w:sz w:val="24"/>
          <w:highlight w:val="none"/>
        </w:rPr>
        <w:t>报价合计相等。</w:t>
      </w:r>
    </w:p>
    <w:p w14:paraId="56B0C308">
      <w:pPr>
        <w:rPr>
          <w:rFonts w:ascii="宋体" w:hAnsi="宋体" w:cs="宋体"/>
          <w:b/>
          <w:bCs/>
          <w:color w:val="auto"/>
          <w:sz w:val="24"/>
          <w:highlight w:val="none"/>
        </w:rPr>
      </w:pPr>
    </w:p>
    <w:sectPr>
      <w:pgSz w:w="11905" w:h="16838"/>
      <w:pgMar w:top="1429" w:right="1429" w:bottom="1429" w:left="1429" w:header="850" w:footer="992" w:gutter="0"/>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Garamond">
    <w:altName w:val="仓耳舒圆体 W03"/>
    <w:panose1 w:val="02020404030301010803"/>
    <w:charset w:val="00"/>
    <w:family w:val="roman"/>
    <w:pitch w:val="default"/>
    <w:sig w:usb0="00000000" w:usb1="00000000" w:usb2="00000000" w:usb3="00000000" w:csb0="0000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264F">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5DFAD13B">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5DFAD13B">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7"/>
                    </w:pPr>
                  </w:p>
                </w:txbxContent>
              </v:textbox>
            </v:shape>
          </w:pict>
        </mc:Fallback>
      </mc:AlternateContent>
    </w:r>
  </w:p>
  <w:p w14:paraId="0C27AA4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B1D4">
    <w:pPr>
      <w:pStyle w:val="62"/>
      <w:jc w:val="center"/>
      <w:rPr>
        <w:b/>
        <w:i/>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A846D">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A846D">
                    <w:pPr>
                      <w:pStyle w:val="14"/>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03E4">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3FE07AA6">
                              <w:pPr>
                                <w:pStyle w:val="14"/>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3FE07AA6">
                        <w:pPr>
                          <w:pStyle w:val="14"/>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7"/>
                    </w:pPr>
                  </w:p>
                </w:txbxContent>
              </v:textbox>
            </v:shape>
          </w:pict>
        </mc:Fallback>
      </mc:AlternateContent>
    </w:r>
  </w:p>
  <w:p w14:paraId="49EC431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E9533"/>
    <w:multiLevelType w:val="singleLevel"/>
    <w:tmpl w:val="944E9533"/>
    <w:lvl w:ilvl="0" w:tentative="0">
      <w:start w:val="7"/>
      <w:numFmt w:val="decimal"/>
      <w:suff w:val="nothing"/>
      <w:lvlText w:val="%1、"/>
      <w:lvlJc w:val="left"/>
    </w:lvl>
  </w:abstractNum>
  <w:abstractNum w:abstractNumId="1">
    <w:nsid w:val="9AFA56C4"/>
    <w:multiLevelType w:val="singleLevel"/>
    <w:tmpl w:val="9AFA56C4"/>
    <w:lvl w:ilvl="0" w:tentative="0">
      <w:start w:val="1"/>
      <w:numFmt w:val="chineseCounting"/>
      <w:suff w:val="nothing"/>
      <w:lvlText w:val="（%1）"/>
      <w:lvlJc w:val="left"/>
      <w:rPr>
        <w:rFonts w:hint="eastAsia"/>
      </w:rPr>
    </w:lvl>
  </w:abstractNum>
  <w:abstractNum w:abstractNumId="2">
    <w:nsid w:val="BE9B0520"/>
    <w:multiLevelType w:val="singleLevel"/>
    <w:tmpl w:val="BE9B0520"/>
    <w:lvl w:ilvl="0" w:tentative="0">
      <w:start w:val="1"/>
      <w:numFmt w:val="chineseCounting"/>
      <w:suff w:val="nothing"/>
      <w:lvlText w:val="（%1）"/>
      <w:lvlJc w:val="left"/>
      <w:rPr>
        <w:rFonts w:hint="eastAsia"/>
      </w:rPr>
    </w:lvl>
  </w:abstractNum>
  <w:abstractNum w:abstractNumId="3">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4">
    <w:nsid w:val="6335DC7C"/>
    <w:multiLevelType w:val="singleLevel"/>
    <w:tmpl w:val="6335DC7C"/>
    <w:lvl w:ilvl="0" w:tentative="0">
      <w:start w:val="1"/>
      <w:numFmt w:val="chineseCounting"/>
      <w:suff w:val="nothing"/>
      <w:lvlText w:val="（%1）"/>
      <w:lvlJc w:val="left"/>
      <w:rPr>
        <w:rFonts w:hint="eastAsia"/>
      </w:rPr>
    </w:lvl>
  </w:abstractNum>
  <w:abstractNum w:abstractNumId="5">
    <w:nsid w:val="6F300EC0"/>
    <w:multiLevelType w:val="singleLevel"/>
    <w:tmpl w:val="6F300EC0"/>
    <w:lvl w:ilvl="0" w:tentative="0">
      <w:start w:val="5"/>
      <w:numFmt w:val="chineseCounting"/>
      <w:suff w:val="nothing"/>
      <w:lvlText w:val="%1、"/>
      <w:lvlJc w:val="left"/>
      <w:rPr>
        <w:rFonts w:hint="eastAsia"/>
      </w:rPr>
    </w:lvl>
  </w:abstractNum>
  <w:abstractNum w:abstractNumId="6">
    <w:nsid w:val="7C30D000"/>
    <w:multiLevelType w:val="singleLevel"/>
    <w:tmpl w:val="7C30D000"/>
    <w:lvl w:ilvl="0" w:tentative="0">
      <w:start w:val="5"/>
      <w:numFmt w:val="chineseCounting"/>
      <w:suff w:val="nothing"/>
      <w:lvlText w:val="%1、"/>
      <w:lvlJc w:val="left"/>
      <w:rPr>
        <w:rFonts w:hint="eastAsia"/>
      </w:r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C1D"/>
    <w:rsid w:val="009546A2"/>
    <w:rsid w:val="00954ECC"/>
    <w:rsid w:val="00971B84"/>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56D2E15"/>
    <w:rsid w:val="06871428"/>
    <w:rsid w:val="07A16AD8"/>
    <w:rsid w:val="08362309"/>
    <w:rsid w:val="099217C1"/>
    <w:rsid w:val="0A5E0C59"/>
    <w:rsid w:val="0AAC3FD4"/>
    <w:rsid w:val="0BA26B08"/>
    <w:rsid w:val="0C3A32A1"/>
    <w:rsid w:val="0C9D4705"/>
    <w:rsid w:val="0C9E28EC"/>
    <w:rsid w:val="0D7313F8"/>
    <w:rsid w:val="0EE3398A"/>
    <w:rsid w:val="0F396B61"/>
    <w:rsid w:val="0FCB26F9"/>
    <w:rsid w:val="104246CD"/>
    <w:rsid w:val="10BF4F03"/>
    <w:rsid w:val="120D40DA"/>
    <w:rsid w:val="12744319"/>
    <w:rsid w:val="1283614B"/>
    <w:rsid w:val="13400FC0"/>
    <w:rsid w:val="13A02D2C"/>
    <w:rsid w:val="146137CF"/>
    <w:rsid w:val="14AD65E3"/>
    <w:rsid w:val="15DE716E"/>
    <w:rsid w:val="162E0984"/>
    <w:rsid w:val="188B4CDC"/>
    <w:rsid w:val="19A30C3C"/>
    <w:rsid w:val="1B5C578B"/>
    <w:rsid w:val="1BAA4F92"/>
    <w:rsid w:val="1C53479C"/>
    <w:rsid w:val="1D3249F5"/>
    <w:rsid w:val="1EDF44F4"/>
    <w:rsid w:val="1F9F2DD9"/>
    <w:rsid w:val="201872BC"/>
    <w:rsid w:val="2483022C"/>
    <w:rsid w:val="24B67467"/>
    <w:rsid w:val="256A70DF"/>
    <w:rsid w:val="27A97396"/>
    <w:rsid w:val="27C33364"/>
    <w:rsid w:val="287E31E4"/>
    <w:rsid w:val="294A5C4F"/>
    <w:rsid w:val="29770441"/>
    <w:rsid w:val="2BE9306B"/>
    <w:rsid w:val="2C391C60"/>
    <w:rsid w:val="2CAE1922"/>
    <w:rsid w:val="2CD722CC"/>
    <w:rsid w:val="2F0D7070"/>
    <w:rsid w:val="2F98781F"/>
    <w:rsid w:val="3098637C"/>
    <w:rsid w:val="30CD4226"/>
    <w:rsid w:val="313244EC"/>
    <w:rsid w:val="31BF2A03"/>
    <w:rsid w:val="32380C07"/>
    <w:rsid w:val="331C0D46"/>
    <w:rsid w:val="33202078"/>
    <w:rsid w:val="349124F1"/>
    <w:rsid w:val="34A75F46"/>
    <w:rsid w:val="361231BE"/>
    <w:rsid w:val="364079A0"/>
    <w:rsid w:val="36603F29"/>
    <w:rsid w:val="36B93A98"/>
    <w:rsid w:val="36F37731"/>
    <w:rsid w:val="37D0630C"/>
    <w:rsid w:val="384462A9"/>
    <w:rsid w:val="38481C7E"/>
    <w:rsid w:val="3848736B"/>
    <w:rsid w:val="38E47094"/>
    <w:rsid w:val="39512A22"/>
    <w:rsid w:val="39747F9D"/>
    <w:rsid w:val="3B0A5163"/>
    <w:rsid w:val="3C3E5289"/>
    <w:rsid w:val="3CCC7501"/>
    <w:rsid w:val="3D536049"/>
    <w:rsid w:val="3E886BC8"/>
    <w:rsid w:val="425A2175"/>
    <w:rsid w:val="42704534"/>
    <w:rsid w:val="42D24401"/>
    <w:rsid w:val="430A1C61"/>
    <w:rsid w:val="431E1EF0"/>
    <w:rsid w:val="433E3844"/>
    <w:rsid w:val="434370AD"/>
    <w:rsid w:val="44F109D5"/>
    <w:rsid w:val="45060BA2"/>
    <w:rsid w:val="4554492E"/>
    <w:rsid w:val="45647A48"/>
    <w:rsid w:val="457F1EF2"/>
    <w:rsid w:val="459B6D55"/>
    <w:rsid w:val="45CF4C28"/>
    <w:rsid w:val="46DF28B7"/>
    <w:rsid w:val="470A303D"/>
    <w:rsid w:val="477E4B57"/>
    <w:rsid w:val="47E759F0"/>
    <w:rsid w:val="482D025C"/>
    <w:rsid w:val="4947569E"/>
    <w:rsid w:val="49757894"/>
    <w:rsid w:val="4A840191"/>
    <w:rsid w:val="4BB55C79"/>
    <w:rsid w:val="4E3F014B"/>
    <w:rsid w:val="4EC15329"/>
    <w:rsid w:val="4F457D08"/>
    <w:rsid w:val="4F7853F7"/>
    <w:rsid w:val="519B00B4"/>
    <w:rsid w:val="51DD6BC9"/>
    <w:rsid w:val="527B72D6"/>
    <w:rsid w:val="52BC29D7"/>
    <w:rsid w:val="52C443BD"/>
    <w:rsid w:val="53067DC6"/>
    <w:rsid w:val="53CF7776"/>
    <w:rsid w:val="53F43EF1"/>
    <w:rsid w:val="54091C4C"/>
    <w:rsid w:val="56AD4788"/>
    <w:rsid w:val="572834F8"/>
    <w:rsid w:val="57AA1988"/>
    <w:rsid w:val="57E80E47"/>
    <w:rsid w:val="59D55610"/>
    <w:rsid w:val="5A4540E7"/>
    <w:rsid w:val="5A854500"/>
    <w:rsid w:val="5BF62AB6"/>
    <w:rsid w:val="5CF66622"/>
    <w:rsid w:val="5D641CA2"/>
    <w:rsid w:val="5D7E263F"/>
    <w:rsid w:val="5DDD4037"/>
    <w:rsid w:val="5E0758EE"/>
    <w:rsid w:val="5FA212DE"/>
    <w:rsid w:val="5FC85532"/>
    <w:rsid w:val="5FD17AC2"/>
    <w:rsid w:val="60026A52"/>
    <w:rsid w:val="625B20CE"/>
    <w:rsid w:val="63337B03"/>
    <w:rsid w:val="63412E7D"/>
    <w:rsid w:val="640A23EA"/>
    <w:rsid w:val="65586327"/>
    <w:rsid w:val="6841330B"/>
    <w:rsid w:val="68E85E7D"/>
    <w:rsid w:val="6A372C18"/>
    <w:rsid w:val="6B575EFD"/>
    <w:rsid w:val="6B8D74E2"/>
    <w:rsid w:val="6BB34520"/>
    <w:rsid w:val="6BF15CBC"/>
    <w:rsid w:val="6C136D6D"/>
    <w:rsid w:val="6C712D2B"/>
    <w:rsid w:val="6D7142C9"/>
    <w:rsid w:val="6E81013B"/>
    <w:rsid w:val="6EC00D66"/>
    <w:rsid w:val="70D67B33"/>
    <w:rsid w:val="70F64FF1"/>
    <w:rsid w:val="710F25AA"/>
    <w:rsid w:val="71104394"/>
    <w:rsid w:val="71235CA4"/>
    <w:rsid w:val="71991A38"/>
    <w:rsid w:val="71CC633B"/>
    <w:rsid w:val="72CD4767"/>
    <w:rsid w:val="72F21378"/>
    <w:rsid w:val="75362644"/>
    <w:rsid w:val="758955BC"/>
    <w:rsid w:val="75C83CC5"/>
    <w:rsid w:val="76DE56C7"/>
    <w:rsid w:val="78D945F3"/>
    <w:rsid w:val="78DE680D"/>
    <w:rsid w:val="7CB64B7A"/>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
    <w:qFormat/>
    <w:uiPriority w:val="0"/>
    <w:pPr>
      <w:ind w:firstLine="420"/>
    </w:pPr>
    <w:rPr>
      <w:szCs w:val="20"/>
    </w:rPr>
  </w:style>
  <w:style w:type="paragraph" w:styleId="5">
    <w:name w:val="annotation text"/>
    <w:basedOn w:val="1"/>
    <w:link w:val="44"/>
    <w:semiHidden/>
    <w:unhideWhenUsed/>
    <w:qFormat/>
    <w:uiPriority w:val="99"/>
    <w:pPr>
      <w:jc w:val="left"/>
    </w:pPr>
  </w:style>
  <w:style w:type="paragraph" w:styleId="6">
    <w:name w:val="Body Text 3"/>
    <w:basedOn w:val="1"/>
    <w:link w:val="54"/>
    <w:semiHidden/>
    <w:unhideWhenUsed/>
    <w:qFormat/>
    <w:uiPriority w:val="99"/>
    <w:pPr>
      <w:spacing w:after="120"/>
    </w:pPr>
    <w:rPr>
      <w:sz w:val="16"/>
      <w:szCs w:val="16"/>
    </w:rPr>
  </w:style>
  <w:style w:type="paragraph" w:styleId="7">
    <w:name w:val="Body Text"/>
    <w:basedOn w:val="1"/>
    <w:next w:val="1"/>
    <w:qFormat/>
    <w:uiPriority w:val="0"/>
    <w:pPr>
      <w:spacing w:after="120"/>
    </w:pPr>
  </w:style>
  <w:style w:type="paragraph" w:styleId="8">
    <w:name w:val="Body Text Indent"/>
    <w:basedOn w:val="1"/>
    <w:next w:val="9"/>
    <w:link w:val="25"/>
    <w:unhideWhenUsed/>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index 4"/>
    <w:basedOn w:val="1"/>
    <w:next w:val="1"/>
    <w:qFormat/>
    <w:uiPriority w:val="99"/>
    <w:pPr>
      <w:ind w:left="600" w:leftChars="600"/>
    </w:pPr>
  </w:style>
  <w:style w:type="paragraph" w:styleId="11">
    <w:name w:val="toc 3"/>
    <w:basedOn w:val="1"/>
    <w:next w:val="1"/>
    <w:qFormat/>
    <w:uiPriority w:val="0"/>
    <w:pPr>
      <w:ind w:left="840" w:leftChars="400"/>
    </w:pPr>
  </w:style>
  <w:style w:type="paragraph" w:styleId="12">
    <w:name w:val="Plain Text"/>
    <w:basedOn w:val="1"/>
    <w:link w:val="52"/>
    <w:qFormat/>
    <w:uiPriority w:val="0"/>
    <w:rPr>
      <w:rFonts w:ascii="宋体" w:hAnsi="Courier New"/>
    </w:rPr>
  </w:style>
  <w:style w:type="paragraph" w:styleId="13">
    <w:name w:val="Balloon Text"/>
    <w:basedOn w:val="1"/>
    <w:link w:val="29"/>
    <w:qFormat/>
    <w:uiPriority w:val="0"/>
    <w:rPr>
      <w:sz w:val="18"/>
      <w:szCs w:val="18"/>
    </w:rPr>
  </w:style>
  <w:style w:type="paragraph" w:styleId="14">
    <w:name w:val="footer"/>
    <w:basedOn w:val="1"/>
    <w:link w:val="30"/>
    <w:qFormat/>
    <w:uiPriority w:val="99"/>
    <w:pPr>
      <w:tabs>
        <w:tab w:val="center" w:pos="4153"/>
        <w:tab w:val="right" w:pos="8306"/>
      </w:tabs>
      <w:snapToGrid w:val="0"/>
      <w:jc w:val="left"/>
    </w:pPr>
    <w:rPr>
      <w:sz w:val="18"/>
      <w:szCs w:val="18"/>
    </w:rPr>
  </w:style>
  <w:style w:type="paragraph" w:styleId="15">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annotation subject"/>
    <w:basedOn w:val="5"/>
    <w:next w:val="5"/>
    <w:link w:val="45"/>
    <w:semiHidden/>
    <w:unhideWhenUsed/>
    <w:qFormat/>
    <w:uiPriority w:val="99"/>
    <w:rPr>
      <w:b/>
      <w:bCs/>
    </w:rPr>
  </w:style>
  <w:style w:type="paragraph" w:styleId="18">
    <w:name w:val="Body Text First Indent 2"/>
    <w:basedOn w:val="8"/>
    <w:link w:val="26"/>
    <w:unhideWhenUsed/>
    <w:qFormat/>
    <w:uiPriority w:val="99"/>
    <w:pPr>
      <w:ind w:firstLine="420" w:firstLineChars="200"/>
    </w:p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character" w:styleId="23">
    <w:name w:val="annotation reference"/>
    <w:unhideWhenUsed/>
    <w:qFormat/>
    <w:uiPriority w:val="0"/>
    <w:rPr>
      <w:sz w:val="21"/>
      <w:szCs w:val="21"/>
    </w:rPr>
  </w:style>
  <w:style w:type="paragraph" w:customStyle="1" w:styleId="24">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5">
    <w:name w:val="正文文本缩进 Char"/>
    <w:basedOn w:val="21"/>
    <w:link w:val="8"/>
    <w:semiHidden/>
    <w:qFormat/>
    <w:uiPriority w:val="99"/>
    <w:rPr>
      <w:rFonts w:ascii="Times New Roman" w:hAnsi="Times New Roman" w:eastAsia="宋体" w:cs="Times New Roman"/>
      <w:szCs w:val="24"/>
    </w:rPr>
  </w:style>
  <w:style w:type="character" w:customStyle="1" w:styleId="26">
    <w:name w:val="正文首行缩进 2 Char1"/>
    <w:basedOn w:val="25"/>
    <w:link w:val="18"/>
    <w:qFormat/>
    <w:uiPriority w:val="99"/>
    <w:rPr>
      <w:rFonts w:ascii="Times New Roman" w:hAnsi="Times New Roman" w:eastAsia="宋体" w:cs="Times New Roman"/>
      <w:szCs w:val="24"/>
    </w:rPr>
  </w:style>
  <w:style w:type="character" w:customStyle="1" w:styleId="27">
    <w:name w:val="正文文本缩进 Char1"/>
    <w:qFormat/>
    <w:uiPriority w:val="0"/>
    <w:rPr>
      <w:kern w:val="2"/>
      <w:sz w:val="21"/>
      <w:szCs w:val="24"/>
    </w:rPr>
  </w:style>
  <w:style w:type="character" w:customStyle="1" w:styleId="28">
    <w:name w:val="正文缩进 Char1"/>
    <w:link w:val="4"/>
    <w:qFormat/>
    <w:uiPriority w:val="0"/>
    <w:rPr>
      <w:rFonts w:ascii="Times New Roman" w:hAnsi="Times New Roman" w:eastAsia="宋体" w:cs="Times New Roman"/>
      <w:szCs w:val="20"/>
    </w:rPr>
  </w:style>
  <w:style w:type="character" w:customStyle="1" w:styleId="29">
    <w:name w:val="批注框文本 Char"/>
    <w:basedOn w:val="21"/>
    <w:link w:val="13"/>
    <w:qFormat/>
    <w:uiPriority w:val="0"/>
    <w:rPr>
      <w:rFonts w:ascii="Times New Roman" w:hAnsi="Times New Roman" w:eastAsia="宋体" w:cs="Times New Roman"/>
      <w:sz w:val="18"/>
      <w:szCs w:val="18"/>
    </w:rPr>
  </w:style>
  <w:style w:type="character" w:customStyle="1" w:styleId="30">
    <w:name w:val="页脚 Char"/>
    <w:basedOn w:val="21"/>
    <w:link w:val="14"/>
    <w:qFormat/>
    <w:uiPriority w:val="99"/>
    <w:rPr>
      <w:rFonts w:ascii="Times New Roman" w:hAnsi="Times New Roman" w:eastAsia="宋体" w:cs="Times New Roman"/>
      <w:sz w:val="18"/>
      <w:szCs w:val="18"/>
    </w:rPr>
  </w:style>
  <w:style w:type="character" w:customStyle="1" w:styleId="31">
    <w:name w:val="正文缩进2格 Char"/>
    <w:link w:val="32"/>
    <w:qFormat/>
    <w:locked/>
    <w:uiPriority w:val="99"/>
    <w:rPr>
      <w:rFonts w:ascii="仿宋_GB2312" w:hAnsi="宋体" w:eastAsia="仿宋_GB2312"/>
      <w:sz w:val="31"/>
      <w:szCs w:val="28"/>
    </w:rPr>
  </w:style>
  <w:style w:type="paragraph" w:customStyle="1" w:styleId="32">
    <w:name w:val="正文缩进2格"/>
    <w:basedOn w:val="1"/>
    <w:link w:val="31"/>
    <w:qFormat/>
    <w:uiPriority w:val="99"/>
    <w:pPr>
      <w:spacing w:line="600" w:lineRule="exact"/>
      <w:ind w:firstLine="639" w:firstLineChars="206"/>
    </w:pPr>
    <w:rPr>
      <w:rFonts w:ascii="仿宋_GB2312" w:hAnsi="宋体" w:eastAsia="仿宋_GB2312" w:cstheme="minorBidi"/>
      <w:sz w:val="31"/>
      <w:szCs w:val="28"/>
    </w:rPr>
  </w:style>
  <w:style w:type="paragraph" w:customStyle="1" w:styleId="33">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4">
    <w:name w:val="我的正文 Char"/>
    <w:link w:val="35"/>
    <w:qFormat/>
    <w:locked/>
    <w:uiPriority w:val="0"/>
    <w:rPr>
      <w:rFonts w:ascii="宋体" w:hAnsi="宋体"/>
      <w:sz w:val="24"/>
      <w:szCs w:val="24"/>
    </w:rPr>
  </w:style>
  <w:style w:type="paragraph" w:customStyle="1" w:styleId="35">
    <w:name w:val="我的正文"/>
    <w:basedOn w:val="1"/>
    <w:link w:val="34"/>
    <w:qFormat/>
    <w:uiPriority w:val="0"/>
    <w:pPr>
      <w:snapToGrid w:val="0"/>
      <w:spacing w:line="300" w:lineRule="auto"/>
      <w:ind w:firstLine="150" w:firstLineChars="150"/>
    </w:pPr>
    <w:rPr>
      <w:rFonts w:ascii="宋体" w:hAnsi="宋体" w:eastAsiaTheme="minorEastAsia" w:cstheme="minorBidi"/>
      <w:sz w:val="24"/>
    </w:rPr>
  </w:style>
  <w:style w:type="paragraph" w:customStyle="1" w:styleId="36">
    <w:name w:val="列出段落1"/>
    <w:basedOn w:val="1"/>
    <w:qFormat/>
    <w:uiPriority w:val="34"/>
    <w:pPr>
      <w:ind w:firstLine="420" w:firstLineChars="200"/>
    </w:pPr>
  </w:style>
  <w:style w:type="character" w:customStyle="1" w:styleId="37">
    <w:name w:val="fontstyle01"/>
    <w:qFormat/>
    <w:uiPriority w:val="0"/>
    <w:rPr>
      <w:rFonts w:hint="eastAsia" w:ascii="宋体" w:hAnsi="宋体" w:eastAsia="宋体"/>
      <w:color w:val="000000"/>
      <w:sz w:val="24"/>
      <w:szCs w:val="24"/>
    </w:rPr>
  </w:style>
  <w:style w:type="paragraph" w:styleId="38">
    <w:name w:val="List Paragraph"/>
    <w:basedOn w:val="1"/>
    <w:qFormat/>
    <w:uiPriority w:val="34"/>
    <w:pPr>
      <w:ind w:firstLine="420" w:firstLineChars="200"/>
    </w:pPr>
  </w:style>
  <w:style w:type="paragraph" w:customStyle="1" w:styleId="39">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40">
    <w:name w:val="页眉 Char"/>
    <w:basedOn w:val="21"/>
    <w:link w:val="15"/>
    <w:qFormat/>
    <w:uiPriority w:val="99"/>
    <w:rPr>
      <w:rFonts w:ascii="Times New Roman" w:hAnsi="Times New Roman" w:eastAsia="宋体" w:cs="Times New Roman"/>
      <w:sz w:val="18"/>
      <w:szCs w:val="18"/>
    </w:rPr>
  </w:style>
  <w:style w:type="character" w:customStyle="1" w:styleId="41">
    <w:name w:val="font61"/>
    <w:basedOn w:val="21"/>
    <w:qFormat/>
    <w:uiPriority w:val="0"/>
    <w:rPr>
      <w:rFonts w:hint="eastAsia" w:ascii="宋体" w:hAnsi="宋体" w:eastAsia="宋体" w:cs="宋体"/>
      <w:color w:val="FF0000"/>
      <w:sz w:val="20"/>
      <w:szCs w:val="20"/>
      <w:u w:val="none"/>
    </w:rPr>
  </w:style>
  <w:style w:type="character" w:customStyle="1" w:styleId="42">
    <w:name w:val="font31"/>
    <w:basedOn w:val="21"/>
    <w:qFormat/>
    <w:uiPriority w:val="0"/>
    <w:rPr>
      <w:rFonts w:hint="eastAsia" w:ascii="宋体" w:hAnsi="宋体" w:eastAsia="宋体" w:cs="宋体"/>
      <w:color w:val="000000"/>
      <w:sz w:val="20"/>
      <w:szCs w:val="20"/>
      <w:u w:val="none"/>
    </w:rPr>
  </w:style>
  <w:style w:type="paragraph" w:customStyle="1" w:styleId="43">
    <w:name w:val="ces正文"/>
    <w:basedOn w:val="1"/>
    <w:qFormat/>
    <w:uiPriority w:val="0"/>
    <w:pPr>
      <w:spacing w:line="360" w:lineRule="auto"/>
      <w:ind w:firstLine="480" w:firstLineChars="200"/>
    </w:pPr>
    <w:rPr>
      <w:rFonts w:ascii="宋体" w:hAnsi="宋体"/>
      <w:sz w:val="24"/>
    </w:rPr>
  </w:style>
  <w:style w:type="character" w:customStyle="1" w:styleId="44">
    <w:name w:val="批注文字 Char"/>
    <w:basedOn w:val="21"/>
    <w:link w:val="5"/>
    <w:semiHidden/>
    <w:qFormat/>
    <w:uiPriority w:val="99"/>
    <w:rPr>
      <w:kern w:val="2"/>
      <w:sz w:val="21"/>
      <w:szCs w:val="24"/>
    </w:rPr>
  </w:style>
  <w:style w:type="character" w:customStyle="1" w:styleId="45">
    <w:name w:val="批注主题 Char"/>
    <w:basedOn w:val="44"/>
    <w:link w:val="17"/>
    <w:semiHidden/>
    <w:qFormat/>
    <w:uiPriority w:val="99"/>
    <w:rPr>
      <w:b/>
      <w:bCs/>
      <w:kern w:val="2"/>
      <w:sz w:val="21"/>
      <w:szCs w:val="24"/>
    </w:rPr>
  </w:style>
  <w:style w:type="paragraph" w:customStyle="1" w:styleId="4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正文缩进 Char"/>
    <w:qFormat/>
    <w:uiPriority w:val="0"/>
    <w:rPr>
      <w:kern w:val="2"/>
      <w:sz w:val="21"/>
    </w:rPr>
  </w:style>
  <w:style w:type="paragraph" w:customStyle="1" w:styleId="48">
    <w:name w:val="_Style 38"/>
    <w:basedOn w:val="8"/>
    <w:next w:val="18"/>
    <w:link w:val="49"/>
    <w:unhideWhenUsed/>
    <w:qFormat/>
    <w:uiPriority w:val="99"/>
    <w:pPr>
      <w:ind w:firstLine="420" w:firstLineChars="200"/>
    </w:pPr>
    <w:rPr>
      <w:kern w:val="0"/>
      <w:sz w:val="20"/>
      <w:szCs w:val="20"/>
    </w:rPr>
  </w:style>
  <w:style w:type="character" w:customStyle="1" w:styleId="49">
    <w:name w:val="正文首行缩进 2 Char"/>
    <w:link w:val="48"/>
    <w:semiHidden/>
    <w:qFormat/>
    <w:uiPriority w:val="99"/>
  </w:style>
  <w:style w:type="paragraph" w:customStyle="1" w:styleId="50">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51">
    <w:name w:val="网格型1"/>
    <w:basedOn w:val="19"/>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2">
    <w:name w:val="纯文本 Char"/>
    <w:basedOn w:val="21"/>
    <w:link w:val="12"/>
    <w:qFormat/>
    <w:uiPriority w:val="0"/>
    <w:rPr>
      <w:rFonts w:ascii="宋体" w:hAnsi="Courier New"/>
      <w:kern w:val="2"/>
      <w:sz w:val="21"/>
      <w:szCs w:val="24"/>
    </w:rPr>
  </w:style>
  <w:style w:type="character" w:customStyle="1" w:styleId="53">
    <w:name w:val="NormalCharacter"/>
    <w:autoRedefine/>
    <w:qFormat/>
    <w:uiPriority w:val="0"/>
  </w:style>
  <w:style w:type="character" w:customStyle="1" w:styleId="54">
    <w:name w:val="正文文本 3 Char"/>
    <w:basedOn w:val="21"/>
    <w:link w:val="6"/>
    <w:semiHidden/>
    <w:qFormat/>
    <w:uiPriority w:val="99"/>
    <w:rPr>
      <w:kern w:val="2"/>
      <w:sz w:val="16"/>
      <w:szCs w:val="16"/>
    </w:rPr>
  </w:style>
  <w:style w:type="paragraph" w:customStyle="1" w:styleId="55">
    <w:name w:val="样式1"/>
    <w:basedOn w:val="1"/>
    <w:qFormat/>
    <w:uiPriority w:val="0"/>
    <w:pPr>
      <w:spacing w:line="520" w:lineRule="exact"/>
      <w:ind w:firstLine="566" w:firstLineChars="236"/>
    </w:pPr>
    <w:rPr>
      <w:sz w:val="24"/>
    </w:rPr>
  </w:style>
  <w:style w:type="character" w:customStyle="1" w:styleId="56">
    <w:name w:val="批注引用1"/>
    <w:basedOn w:val="57"/>
    <w:qFormat/>
    <w:uiPriority w:val="0"/>
    <w:rPr>
      <w:rFonts w:ascii="Times New Roman" w:hAnsi="Times New Roman" w:eastAsia="宋体" w:cs="Times New Roman"/>
      <w:kern w:val="2"/>
      <w:sz w:val="21"/>
      <w:szCs w:val="24"/>
      <w:lang w:val="en-US" w:eastAsia="zh-CN" w:bidi="ar-SA"/>
    </w:rPr>
  </w:style>
  <w:style w:type="character" w:customStyle="1" w:styleId="57">
    <w:name w:val="默认段落字体1"/>
    <w:unhideWhenUsed/>
    <w:qFormat/>
    <w:uiPriority w:val="1"/>
  </w:style>
  <w:style w:type="paragraph" w:customStyle="1" w:styleId="58">
    <w:name w:val="正文首行缩进 21"/>
    <w:basedOn w:val="59"/>
    <w:qFormat/>
    <w:uiPriority w:val="99"/>
    <w:pPr>
      <w:spacing w:after="0" w:line="360" w:lineRule="auto"/>
      <w:ind w:left="0" w:firstLine="420"/>
    </w:pPr>
    <w:rPr>
      <w:rFonts w:ascii="宋体" w:hAnsi="宋体"/>
      <w:sz w:val="20"/>
      <w:szCs w:val="20"/>
    </w:rPr>
  </w:style>
  <w:style w:type="paragraph" w:customStyle="1" w:styleId="59">
    <w:name w:val="正文文本缩进1"/>
    <w:basedOn w:val="1"/>
    <w:unhideWhenUsed/>
    <w:qFormat/>
    <w:uiPriority w:val="99"/>
    <w:pPr>
      <w:spacing w:after="120"/>
      <w:ind w:left="420"/>
    </w:pPr>
  </w:style>
  <w:style w:type="paragraph" w:customStyle="1" w:styleId="60">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61">
    <w:name w:val="纯文本1"/>
    <w:basedOn w:val="1"/>
    <w:qFormat/>
    <w:uiPriority w:val="0"/>
    <w:rPr>
      <w:rFonts w:ascii="宋体" w:hAnsi="Courier New" w:cs="Courier New"/>
      <w:szCs w:val="21"/>
    </w:rPr>
  </w:style>
  <w:style w:type="paragraph" w:customStyle="1" w:styleId="62">
    <w:name w:val="页脚1"/>
    <w:basedOn w:val="1"/>
    <w:qFormat/>
    <w:uiPriority w:val="99"/>
    <w:pPr>
      <w:tabs>
        <w:tab w:val="center" w:pos="4153"/>
        <w:tab w:val="right" w:pos="8306"/>
      </w:tabs>
      <w:jc w:val="left"/>
    </w:pPr>
    <w:rPr>
      <w:sz w:val="18"/>
      <w:szCs w:val="18"/>
    </w:rPr>
  </w:style>
  <w:style w:type="character" w:customStyle="1" w:styleId="63">
    <w:name w:val="font21"/>
    <w:basedOn w:val="21"/>
    <w:qFormat/>
    <w:uiPriority w:val="0"/>
    <w:rPr>
      <w:rFonts w:hint="default" w:ascii="仿宋_GB2312" w:eastAsia="仿宋_GB2312" w:cs="仿宋_GB2312"/>
      <w:color w:val="000000"/>
      <w:sz w:val="24"/>
      <w:szCs w:val="24"/>
      <w:u w:val="none"/>
    </w:rPr>
  </w:style>
  <w:style w:type="character" w:customStyle="1" w:styleId="64">
    <w:name w:val="font81"/>
    <w:basedOn w:val="21"/>
    <w:qFormat/>
    <w:uiPriority w:val="0"/>
    <w:rPr>
      <w:rFonts w:hint="default" w:ascii="Times New Roman" w:hAnsi="Times New Roman" w:cs="Times New Roman"/>
      <w:color w:val="000000"/>
      <w:sz w:val="22"/>
      <w:szCs w:val="22"/>
      <w:u w:val="none"/>
    </w:rPr>
  </w:style>
  <w:style w:type="character" w:customStyle="1" w:styleId="65">
    <w:name w:val="font51"/>
    <w:basedOn w:val="21"/>
    <w:qFormat/>
    <w:uiPriority w:val="0"/>
    <w:rPr>
      <w:rFonts w:hint="eastAsia" w:ascii="宋体" w:hAnsi="宋体" w:eastAsia="宋体" w:cs="宋体"/>
      <w:color w:val="000000"/>
      <w:sz w:val="24"/>
      <w:szCs w:val="24"/>
      <w:u w:val="none"/>
    </w:rPr>
  </w:style>
  <w:style w:type="paragraph" w:styleId="66">
    <w:name w:val="No Spacing"/>
    <w:qFormat/>
    <w:uiPriority w:val="1"/>
    <w:pPr>
      <w:adjustRightInd w:val="0"/>
      <w:snapToGrid w:val="0"/>
    </w:pPr>
    <w:rPr>
      <w:rFonts w:ascii="Tahoma" w:hAnsi="Tahoma" w:eastAsia="微软雅黑" w:cs="Tahoma"/>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7559</Words>
  <Characters>8572</Characters>
  <Lines>253</Lines>
  <Paragraphs>71</Paragraphs>
  <TotalTime>18</TotalTime>
  <ScaleCrop>false</ScaleCrop>
  <LinksUpToDate>false</LinksUpToDate>
  <CharactersWithSpaces>8698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2024-11-28T02:57:00Z</dcterms:created>
  <dc:creator>吉加兵</dc:creator>
  <cp:lastModifiedBy>钱舒佳</cp:lastModifiedBy>
  <cp:lastPrinted>2022-03-01T06:57:00Z</cp:lastPrinted>
  <dcterms:modified xsi:type="dcterms:W3CDTF">2025-12-17T06:55:13Z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3272DE09740843E6981D838237520BD7_13</vt:lpwstr>
  </property>
  <property fmtid="{D5CDD505-2E9C-101B-9397-08002B2CF9AE}" pid="4" name="KSOTemplateDocerSaveRecord">
    <vt:lpwstr>eyJoZGlkIjoiNDY2MzJhYTE4Y2E5ODkyN2RiNWI2Njk5ZGM0MzUyMTYiLCJ1c2VySWQiOiI0MzcyNjg2NjkifQ==</vt:lpwstr>
  </property>
</Properties>
</file>